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672BA">
      <w:pPr>
        <w:pStyle w:val="85"/>
        <w:keepNext w:val="0"/>
        <w:keepLines w:val="0"/>
        <w:widowControl/>
        <w:suppressLineNumbers w:val="0"/>
        <w:bidi w:val="0"/>
        <w:spacing w:before="0" w:beforeAutospacing="0" w:after="160" w:afterAutospacing="0" w:line="29" w:lineRule="atLeast"/>
        <w:jc w:val="center"/>
      </w:pPr>
      <w:r>
        <w:rPr>
          <w:rFonts w:ascii="Arial" w:hAnsi="Arial" w:cs="Arial"/>
          <w:b/>
          <w:bCs/>
          <w:i w:val="0"/>
          <w:iCs w:val="0"/>
          <w:color w:val="000000"/>
          <w:sz w:val="24"/>
          <w:szCs w:val="24"/>
          <w:u w:val="none"/>
          <w:vertAlign w:val="baseline"/>
        </w:rPr>
        <w:t>Chapter 2 </w:t>
      </w:r>
    </w:p>
    <w:p w14:paraId="4CF0937F">
      <w:pPr>
        <w:pStyle w:val="85"/>
        <w:keepNext w:val="0"/>
        <w:keepLines w:val="0"/>
        <w:widowControl/>
        <w:suppressLineNumbers w:val="0"/>
        <w:bidi w:val="0"/>
        <w:spacing w:before="0" w:beforeAutospacing="0" w:after="160" w:afterAutospacing="0" w:line="29" w:lineRule="atLeast"/>
        <w:jc w:val="center"/>
      </w:pPr>
      <w:r>
        <w:rPr>
          <w:rFonts w:ascii="Arial" w:hAnsi="Arial" w:cs="Arial"/>
          <w:b/>
          <w:bCs/>
          <w:i w:val="0"/>
          <w:iCs w:val="0"/>
          <w:color w:val="000000"/>
          <w:sz w:val="24"/>
          <w:szCs w:val="24"/>
          <w:u w:val="none"/>
          <w:vertAlign w:val="baseline"/>
        </w:rPr>
        <w:t>REVIEW OF RELATED LITERATURE</w:t>
      </w:r>
    </w:p>
    <w:p w14:paraId="1A8DB18E">
      <w:pPr>
        <w:jc w:val="center"/>
      </w:pPr>
    </w:p>
    <w:p w14:paraId="379FC606">
      <w:pPr>
        <w:pStyle w:val="85"/>
        <w:keepNext w:val="0"/>
        <w:keepLines w:val="0"/>
        <w:widowControl/>
        <w:suppressLineNumbers w:val="0"/>
        <w:bidi w:val="0"/>
        <w:spacing w:before="0" w:beforeAutospacing="0" w:after="160" w:afterAutospacing="0" w:line="29" w:lineRule="atLeast"/>
      </w:pPr>
      <w:r>
        <w:rPr>
          <w:rFonts w:ascii="Arial" w:hAnsi="Arial" w:cs="Arial"/>
          <w:b/>
          <w:bCs/>
          <w:i w:val="0"/>
          <w:iCs w:val="0"/>
          <w:color w:val="000000"/>
          <w:sz w:val="24"/>
          <w:szCs w:val="24"/>
          <w:u w:val="none"/>
          <w:vertAlign w:val="baseline"/>
        </w:rPr>
        <w:t>Related Literature</w:t>
      </w:r>
    </w:p>
    <w:p w14:paraId="5559BC81">
      <w:pPr>
        <w:pStyle w:val="85"/>
        <w:keepNext w:val="0"/>
        <w:keepLines w:val="0"/>
        <w:widowControl/>
        <w:suppressLineNumbers w:val="0"/>
        <w:bidi w:val="0"/>
        <w:spacing w:before="0" w:beforeAutospacing="0" w:after="160" w:afterAutospacing="0" w:line="480" w:lineRule="auto"/>
        <w:ind w:left="0" w:firstLine="720"/>
        <w:jc w:val="both"/>
        <w:rPr>
          <w:rFonts w:hint="default" w:ascii="Arial" w:hAnsi="Arial" w:cs="Arial"/>
        </w:rPr>
      </w:pPr>
      <w:r>
        <w:rPr>
          <w:rFonts w:hint="default" w:ascii="Arial" w:hAnsi="Arial" w:cs="Arial"/>
          <w:i w:val="0"/>
          <w:iCs w:val="0"/>
          <w:color w:val="000000"/>
          <w:sz w:val="24"/>
          <w:szCs w:val="24"/>
          <w:u w:val="none"/>
          <w:vertAlign w:val="baseline"/>
        </w:rPr>
        <w:t xml:space="preserve">According to </w:t>
      </w:r>
      <w:r>
        <w:rPr>
          <w:rFonts w:hint="default" w:ascii="Arial" w:hAnsi="Arial" w:cs="Arial"/>
          <w:b/>
          <w:bCs/>
          <w:i w:val="0"/>
          <w:iCs w:val="0"/>
          <w:color w:val="000000"/>
          <w:sz w:val="24"/>
          <w:szCs w:val="24"/>
          <w:u w:val="none"/>
          <w:vertAlign w:val="baseline"/>
        </w:rPr>
        <w:t>Okaka (2022)</w:t>
      </w:r>
      <w:r>
        <w:rPr>
          <w:rFonts w:hint="default" w:ascii="Arial" w:hAnsi="Arial" w:cs="Arial"/>
          <w:i w:val="0"/>
          <w:iCs w:val="0"/>
          <w:color w:val="000000"/>
          <w:sz w:val="24"/>
          <w:szCs w:val="24"/>
          <w:u w:val="none"/>
          <w:vertAlign w:val="baseline"/>
        </w:rPr>
        <w:t xml:space="preserve"> in the study </w:t>
      </w:r>
      <w:r>
        <w:rPr>
          <w:rFonts w:hint="default" w:ascii="Arial" w:hAnsi="Arial" w:cs="Arial"/>
          <w:i/>
          <w:iCs/>
          <w:color w:val="000000"/>
          <w:sz w:val="24"/>
          <w:szCs w:val="24"/>
          <w:u w:val="none"/>
          <w:vertAlign w:val="baseline"/>
        </w:rPr>
        <w:t>A Systematic Literature Review of Web-Based Student Response Systems: Advantages and Challenges</w:t>
      </w:r>
      <w:r>
        <w:rPr>
          <w:rFonts w:hint="default" w:ascii="Arial" w:hAnsi="Arial" w:cs="Arial"/>
          <w:i w:val="0"/>
          <w:iCs w:val="0"/>
          <w:color w:val="000000"/>
          <w:sz w:val="24"/>
          <w:szCs w:val="24"/>
          <w:u w:val="none"/>
          <w:vertAlign w:val="baseline"/>
        </w:rPr>
        <w:t>, web-based student response systems provide an effective approach for gathering real-time feedback from students. The review highlighted that these systems increase student participation, promote interactive learning, and allow instructors to receive immediate responses that can help improve teaching methods. However, the study also identified several challenges, including technological limitations, concerns about system usability, and the need for proper implementation in educational institutions.</w:t>
      </w:r>
    </w:p>
    <w:p w14:paraId="4E4317AB">
      <w:pPr>
        <w:pStyle w:val="85"/>
        <w:keepNext w:val="0"/>
        <w:keepLines w:val="0"/>
        <w:widowControl/>
        <w:suppressLineNumbers w:val="0"/>
        <w:bidi w:val="0"/>
        <w:spacing w:before="0" w:beforeAutospacing="0" w:after="160" w:afterAutospacing="0" w:line="480" w:lineRule="auto"/>
        <w:ind w:left="0" w:firstLine="720"/>
        <w:jc w:val="both"/>
        <w:rPr>
          <w:rFonts w:hint="default" w:ascii="Arial" w:hAnsi="Arial" w:cs="Arial"/>
        </w:rPr>
      </w:pPr>
      <w:r>
        <w:rPr>
          <w:rFonts w:hint="default" w:ascii="Arial" w:hAnsi="Arial" w:cs="Arial"/>
          <w:i w:val="0"/>
          <w:iCs w:val="0"/>
          <w:color w:val="000000"/>
          <w:sz w:val="24"/>
          <w:szCs w:val="24"/>
          <w:u w:val="none"/>
          <w:vertAlign w:val="baseline"/>
        </w:rPr>
        <w:t xml:space="preserve">Similarly, the literature review </w:t>
      </w:r>
      <w:r>
        <w:rPr>
          <w:rFonts w:hint="default" w:ascii="Arial" w:hAnsi="Arial" w:cs="Arial"/>
          <w:i/>
          <w:iCs/>
          <w:color w:val="000000"/>
          <w:sz w:val="24"/>
          <w:szCs w:val="24"/>
          <w:u w:val="none"/>
          <w:vertAlign w:val="baseline"/>
        </w:rPr>
        <w:t>Online Peer Feedback in Higher Education: A Synthesis of the Literature</w:t>
      </w:r>
      <w:r>
        <w:rPr>
          <w:rFonts w:hint="default" w:ascii="Arial" w:hAnsi="Arial" w:cs="Arial"/>
          <w:i w:val="0"/>
          <w:iCs w:val="0"/>
          <w:color w:val="000000"/>
          <w:sz w:val="24"/>
          <w:szCs w:val="24"/>
          <w:u w:val="none"/>
          <w:vertAlign w:val="baseline"/>
        </w:rPr>
        <w:t xml:space="preserve"> conducted by </w:t>
      </w:r>
      <w:r>
        <w:rPr>
          <w:rFonts w:hint="default" w:ascii="Arial" w:hAnsi="Arial" w:cs="Arial"/>
          <w:b/>
          <w:bCs/>
          <w:i w:val="0"/>
          <w:iCs w:val="0"/>
          <w:color w:val="000000"/>
          <w:sz w:val="24"/>
          <w:szCs w:val="24"/>
          <w:u w:val="none"/>
          <w:vertAlign w:val="baseline"/>
        </w:rPr>
        <w:t>Taghizadeh Kerman, Banihashem, Karami, Er, van Ginkel, and Noroozi (2023)</w:t>
      </w:r>
      <w:r>
        <w:rPr>
          <w:rFonts w:hint="default" w:ascii="Arial" w:hAnsi="Arial" w:cs="Arial"/>
          <w:i w:val="0"/>
          <w:iCs w:val="0"/>
          <w:color w:val="000000"/>
          <w:sz w:val="24"/>
          <w:szCs w:val="24"/>
          <w:u w:val="none"/>
          <w:vertAlign w:val="baseline"/>
        </w:rPr>
        <w:t xml:space="preserve"> emphasized the importance of online feedback platforms in supporting collaborative learning environments. The study explained that digital feedback systems encourage students to actively participate in the evaluation process while enabling instructors to efficiently monitor and analyze feedback through web-based platforms.</w:t>
      </w:r>
    </w:p>
    <w:p w14:paraId="2325BA8E">
      <w:pPr>
        <w:pStyle w:val="85"/>
        <w:keepNext w:val="0"/>
        <w:keepLines w:val="0"/>
        <w:widowControl/>
        <w:suppressLineNumbers w:val="0"/>
        <w:bidi w:val="0"/>
        <w:spacing w:before="0" w:beforeAutospacing="0" w:after="160" w:afterAutospacing="0" w:line="480" w:lineRule="auto"/>
        <w:ind w:left="0" w:firstLine="720"/>
        <w:jc w:val="both"/>
        <w:rPr>
          <w:rFonts w:hint="default" w:ascii="Arial" w:hAnsi="Arial" w:cs="Arial"/>
        </w:rPr>
      </w:pPr>
      <w:r>
        <w:rPr>
          <w:rFonts w:hint="default" w:ascii="Arial" w:hAnsi="Arial" w:cs="Arial"/>
          <w:i w:val="0"/>
          <w:iCs w:val="0"/>
          <w:color w:val="000000"/>
          <w:sz w:val="24"/>
          <w:szCs w:val="24"/>
          <w:u w:val="none"/>
          <w:vertAlign w:val="baseline"/>
        </w:rPr>
        <w:t xml:space="preserve">Moreover, the study </w:t>
      </w:r>
      <w:r>
        <w:rPr>
          <w:rFonts w:hint="default" w:ascii="Arial" w:hAnsi="Arial" w:cs="Arial"/>
          <w:i/>
          <w:iCs/>
          <w:color w:val="000000"/>
          <w:sz w:val="24"/>
          <w:szCs w:val="24"/>
          <w:u w:val="none"/>
          <w:vertAlign w:val="baseline"/>
        </w:rPr>
        <w:t>A Systematic Review of Educational Online Peer-Review and Assessment Systems: Charting the Landscape</w:t>
      </w:r>
      <w:r>
        <w:rPr>
          <w:rFonts w:hint="default" w:ascii="Arial" w:hAnsi="Arial" w:cs="Arial"/>
          <w:i w:val="0"/>
          <w:iCs w:val="0"/>
          <w:color w:val="000000"/>
          <w:sz w:val="24"/>
          <w:szCs w:val="24"/>
          <w:u w:val="none"/>
          <w:vertAlign w:val="baseline"/>
        </w:rPr>
        <w:t xml:space="preserve"> by </w:t>
      </w:r>
      <w:r>
        <w:rPr>
          <w:rFonts w:hint="default" w:ascii="Arial" w:hAnsi="Arial" w:cs="Arial"/>
          <w:b/>
          <w:bCs/>
          <w:i w:val="0"/>
          <w:iCs w:val="0"/>
          <w:color w:val="000000"/>
          <w:sz w:val="24"/>
          <w:szCs w:val="24"/>
          <w:u w:val="none"/>
          <w:vertAlign w:val="baseline"/>
        </w:rPr>
        <w:t>Babik, Gehringer, Kidd, Sunday, Tinapple, and Gilbert (2024)</w:t>
      </w:r>
      <w:r>
        <w:rPr>
          <w:rFonts w:hint="default" w:ascii="Arial" w:hAnsi="Arial" w:cs="Arial"/>
          <w:i w:val="0"/>
          <w:iCs w:val="0"/>
          <w:color w:val="000000"/>
          <w:sz w:val="24"/>
          <w:szCs w:val="24"/>
          <w:u w:val="none"/>
          <w:vertAlign w:val="baseline"/>
        </w:rPr>
        <w:t xml:space="preserve"> discussed the role of online peer-review and assessment systems in modern education. The research found that web-based evaluation platforms allow faster data collection, organized feedback storage, and more efficient analysis compared to traditional paper-based evaluation methods.</w:t>
      </w:r>
    </w:p>
    <w:p w14:paraId="522FE44E">
      <w:pPr>
        <w:pStyle w:val="85"/>
        <w:keepNext w:val="0"/>
        <w:keepLines w:val="0"/>
        <w:widowControl/>
        <w:suppressLineNumbers w:val="0"/>
        <w:bidi w:val="0"/>
        <w:spacing w:before="0" w:beforeAutospacing="0" w:after="160" w:afterAutospacing="0" w:line="480" w:lineRule="auto"/>
        <w:ind w:left="0" w:firstLine="720"/>
        <w:jc w:val="both"/>
        <w:rPr>
          <w:rFonts w:hint="default" w:ascii="Arial" w:hAnsi="Arial" w:cs="Arial"/>
        </w:rPr>
      </w:pPr>
      <w:r>
        <w:rPr>
          <w:rFonts w:hint="default" w:ascii="Arial" w:hAnsi="Arial" w:cs="Arial"/>
          <w:b/>
          <w:bCs/>
          <w:i w:val="0"/>
          <w:iCs w:val="0"/>
          <w:color w:val="000000"/>
          <w:sz w:val="24"/>
          <w:szCs w:val="24"/>
          <w:u w:val="none"/>
          <w:vertAlign w:val="baseline"/>
        </w:rPr>
        <w:t>Another systematic review published in 2025,</w:t>
      </w:r>
      <w:r>
        <w:rPr>
          <w:rFonts w:hint="default" w:ascii="Arial" w:hAnsi="Arial" w:cs="Arial"/>
          <w:i w:val="0"/>
          <w:iCs w:val="0"/>
          <w:color w:val="000000"/>
          <w:sz w:val="24"/>
          <w:szCs w:val="24"/>
          <w:u w:val="none"/>
          <w:vertAlign w:val="baseline"/>
        </w:rPr>
        <w:t xml:space="preserve"> </w:t>
      </w:r>
      <w:r>
        <w:rPr>
          <w:rFonts w:hint="default" w:ascii="Arial" w:hAnsi="Arial" w:cs="Arial"/>
          <w:i/>
          <w:iCs/>
          <w:color w:val="000000"/>
          <w:sz w:val="24"/>
          <w:szCs w:val="24"/>
          <w:u w:val="none"/>
          <w:vertAlign w:val="baseline"/>
        </w:rPr>
        <w:t>Students’ Perceptions and Outcome of Teacher Feedback: A Systematic Review</w:t>
      </w:r>
      <w:r>
        <w:rPr>
          <w:rFonts w:hint="default" w:ascii="Arial" w:hAnsi="Arial" w:cs="Arial"/>
          <w:i w:val="0"/>
          <w:iCs w:val="0"/>
          <w:color w:val="000000"/>
          <w:sz w:val="24"/>
          <w:szCs w:val="24"/>
          <w:u w:val="none"/>
          <w:vertAlign w:val="baseline"/>
        </w:rPr>
        <w:t>, examined how teacher feedback influences student engagement and academic performance. The findings indicated that structured feedback mechanisms improve communication between students and instructors and help institutions identify areas for academic improvement.</w:t>
      </w:r>
    </w:p>
    <w:p w14:paraId="24787058">
      <w:pPr>
        <w:pStyle w:val="85"/>
        <w:keepNext w:val="0"/>
        <w:keepLines w:val="0"/>
        <w:widowControl/>
        <w:suppressLineNumbers w:val="0"/>
        <w:bidi w:val="0"/>
        <w:spacing w:before="0" w:beforeAutospacing="0" w:after="160" w:afterAutospacing="0" w:line="480" w:lineRule="auto"/>
        <w:ind w:left="0" w:firstLine="720"/>
        <w:jc w:val="both"/>
        <w:rPr>
          <w:rFonts w:hint="default" w:ascii="Arial" w:hAnsi="Arial" w:cs="Arial"/>
        </w:rPr>
      </w:pPr>
      <w:r>
        <w:rPr>
          <w:rFonts w:hint="default" w:ascii="Arial" w:hAnsi="Arial" w:cs="Arial"/>
          <w:i w:val="0"/>
          <w:iCs w:val="0"/>
          <w:color w:val="000000"/>
          <w:sz w:val="24"/>
          <w:szCs w:val="24"/>
          <w:u w:val="none"/>
          <w:vertAlign w:val="baseline"/>
        </w:rPr>
        <w:t xml:space="preserve">Furthermore, </w:t>
      </w:r>
      <w:r>
        <w:rPr>
          <w:rFonts w:hint="default" w:ascii="Arial" w:hAnsi="Arial" w:cs="Arial"/>
          <w:b/>
          <w:bCs/>
          <w:i w:val="0"/>
          <w:iCs w:val="0"/>
          <w:color w:val="000000"/>
          <w:sz w:val="24"/>
          <w:szCs w:val="24"/>
          <w:u w:val="none"/>
          <w:vertAlign w:val="baseline"/>
        </w:rPr>
        <w:t>Trujillo et al. (2025)</w:t>
      </w:r>
      <w:r>
        <w:rPr>
          <w:rFonts w:hint="default" w:ascii="Arial" w:hAnsi="Arial" w:cs="Arial"/>
          <w:i w:val="0"/>
          <w:iCs w:val="0"/>
          <w:color w:val="000000"/>
          <w:sz w:val="24"/>
          <w:szCs w:val="24"/>
          <w:u w:val="none"/>
          <w:vertAlign w:val="baseline"/>
        </w:rPr>
        <w:t xml:space="preserve"> in the study </w:t>
      </w:r>
      <w:r>
        <w:rPr>
          <w:rFonts w:hint="default" w:ascii="Arial" w:hAnsi="Arial" w:cs="Arial"/>
          <w:i/>
          <w:iCs/>
          <w:color w:val="000000"/>
          <w:sz w:val="24"/>
          <w:szCs w:val="24"/>
          <w:u w:val="none"/>
          <w:vertAlign w:val="baseline"/>
        </w:rPr>
        <w:t>The Current Landscape of Formative Assessment and Feedback in Graduate Studies: A Systematic Literature Review</w:t>
      </w:r>
      <w:r>
        <w:rPr>
          <w:rFonts w:hint="default" w:ascii="Arial" w:hAnsi="Arial" w:cs="Arial"/>
          <w:i w:val="0"/>
          <w:iCs w:val="0"/>
          <w:color w:val="000000"/>
          <w:sz w:val="24"/>
          <w:szCs w:val="24"/>
          <w:u w:val="none"/>
          <w:vertAlign w:val="baseline"/>
        </w:rPr>
        <w:t xml:space="preserve"> examined the role of formative assessment and feedback in improving learning outcomes in graduate education. The review highlighted that structured feedback mechanisms support student learning, engagement, and academic development. It also emphasized that effective feedback systems allow instructors to monitor student progress and provide timely guidance, which helps students improve their academic performance. </w:t>
      </w:r>
    </w:p>
    <w:p w14:paraId="3D16BEB1">
      <w:pPr>
        <w:pStyle w:val="85"/>
        <w:keepNext w:val="0"/>
        <w:keepLines w:val="0"/>
        <w:widowControl/>
        <w:suppressLineNumbers w:val="0"/>
        <w:bidi w:val="0"/>
        <w:spacing w:before="0" w:beforeAutospacing="0" w:after="160" w:afterAutospacing="0" w:line="480" w:lineRule="auto"/>
        <w:jc w:val="both"/>
        <w:rPr>
          <w:rFonts w:hint="default" w:ascii="Arial" w:hAnsi="Arial" w:cs="Arial"/>
        </w:rPr>
      </w:pPr>
      <w:r>
        <w:rPr>
          <w:rFonts w:hint="default" w:ascii="Arial" w:hAnsi="Arial" w:cs="Arial"/>
          <w:b/>
          <w:bCs/>
          <w:i w:val="0"/>
          <w:iCs w:val="0"/>
          <w:color w:val="000000"/>
          <w:sz w:val="24"/>
          <w:szCs w:val="24"/>
          <w:u w:val="none"/>
          <w:vertAlign w:val="baseline"/>
        </w:rPr>
        <w:br w:type="textWrapping"/>
      </w:r>
      <w:r>
        <w:rPr>
          <w:rFonts w:hint="default" w:ascii="Arial" w:hAnsi="Arial" w:cs="Arial"/>
          <w:b/>
          <w:bCs/>
          <w:i w:val="0"/>
          <w:iCs w:val="0"/>
          <w:color w:val="000000"/>
          <w:sz w:val="24"/>
          <w:szCs w:val="24"/>
          <w:u w:val="none"/>
          <w:vertAlign w:val="baseline"/>
        </w:rPr>
        <w:br w:type="textWrapping"/>
      </w:r>
      <w:r>
        <w:rPr>
          <w:rFonts w:hint="default" w:ascii="Arial" w:hAnsi="Arial" w:cs="Arial"/>
          <w:b/>
          <w:bCs/>
          <w:i w:val="0"/>
          <w:iCs w:val="0"/>
          <w:color w:val="000000"/>
          <w:sz w:val="24"/>
          <w:szCs w:val="24"/>
          <w:u w:val="none"/>
          <w:vertAlign w:val="baseline"/>
        </w:rPr>
        <w:t>Related Studies</w:t>
      </w:r>
    </w:p>
    <w:p w14:paraId="068D05C0">
      <w:pPr>
        <w:pStyle w:val="85"/>
        <w:keepNext w:val="0"/>
        <w:keepLines w:val="0"/>
        <w:widowControl/>
        <w:suppressLineNumbers w:val="0"/>
        <w:bidi w:val="0"/>
        <w:spacing w:before="0" w:beforeAutospacing="0" w:after="160" w:afterAutospacing="0" w:line="480" w:lineRule="auto"/>
        <w:jc w:val="both"/>
        <w:rPr>
          <w:rFonts w:hint="default" w:ascii="Arial" w:hAnsi="Arial" w:cs="Arial"/>
        </w:rPr>
      </w:pPr>
      <w:r>
        <w:rPr>
          <w:rFonts w:hint="default" w:ascii="Arial" w:hAnsi="Arial" w:cs="Arial"/>
          <w:b/>
          <w:bCs/>
          <w:i w:val="0"/>
          <w:iCs w:val="0"/>
          <w:color w:val="000000"/>
          <w:sz w:val="24"/>
          <w:szCs w:val="24"/>
          <w:u w:val="none"/>
          <w:vertAlign w:val="baseline"/>
        </w:rPr>
        <w:tab/>
        <w:t>Web-Based Student Academic Performance Evaluation System Using Data Mining (2022)</w:t>
      </w:r>
      <w:r>
        <w:rPr>
          <w:rFonts w:hint="default" w:ascii="Arial" w:hAnsi="Arial" w:cs="Arial"/>
          <w:i w:val="0"/>
          <w:iCs w:val="0"/>
          <w:color w:val="000000"/>
          <w:sz w:val="24"/>
          <w:szCs w:val="24"/>
          <w:u w:val="none"/>
          <w:vertAlign w:val="baseline"/>
        </w:rPr>
        <w:t xml:space="preserve"> Researchers developed a system that analyzes student data to evaluate performance trends. The system provide</w:t>
      </w:r>
      <w:bookmarkStart w:id="0" w:name="_GoBack"/>
      <w:bookmarkEnd w:id="0"/>
      <w:r>
        <w:rPr>
          <w:rFonts w:hint="default" w:ascii="Arial" w:hAnsi="Arial" w:cs="Arial"/>
          <w:i w:val="0"/>
          <w:iCs w:val="0"/>
          <w:color w:val="000000"/>
          <w:sz w:val="24"/>
          <w:szCs w:val="24"/>
          <w:u w:val="none"/>
          <w:vertAlign w:val="baseline"/>
        </w:rPr>
        <w:t>d accurate assessments and helped identify learning patterns, demonstrating how analytics can enhance online academic systems.</w:t>
      </w:r>
    </w:p>
    <w:p w14:paraId="3E9F958F">
      <w:pPr>
        <w:pStyle w:val="85"/>
        <w:keepNext w:val="0"/>
        <w:keepLines w:val="0"/>
        <w:widowControl/>
        <w:suppressLineNumbers w:val="0"/>
        <w:bidi w:val="0"/>
        <w:spacing w:before="0" w:beforeAutospacing="0" w:after="160" w:afterAutospacing="0" w:line="480" w:lineRule="auto"/>
        <w:ind w:left="0" w:firstLine="720"/>
        <w:jc w:val="both"/>
        <w:rPr>
          <w:rFonts w:hint="default" w:ascii="Arial" w:hAnsi="Arial" w:cs="Arial"/>
        </w:rPr>
      </w:pPr>
      <w:r>
        <w:rPr>
          <w:rFonts w:hint="default" w:ascii="Arial" w:hAnsi="Arial" w:cs="Arial"/>
          <w:b/>
          <w:bCs/>
          <w:i w:val="0"/>
          <w:iCs w:val="0"/>
          <w:color w:val="000000"/>
          <w:sz w:val="24"/>
          <w:szCs w:val="24"/>
          <w:u w:val="none"/>
          <w:vertAlign w:val="baseline"/>
        </w:rPr>
        <w:t>Enhancing UX/UI: A Mixed-Approach Evaluation of a Web-Based Student Clearance System (2024</w:t>
      </w:r>
      <w:r>
        <w:rPr>
          <w:rFonts w:hint="default" w:ascii="Arial" w:hAnsi="Arial" w:cs="Arial"/>
          <w:i w:val="0"/>
          <w:iCs w:val="0"/>
          <w:color w:val="000000"/>
          <w:sz w:val="24"/>
          <w:szCs w:val="24"/>
          <w:u w:val="none"/>
          <w:vertAlign w:val="baseline"/>
        </w:rPr>
        <w:t>) This research evaluated a web-based student clearance system in a Philippine university. Using mixed methods, the study found improved usability and system efficiency, simplifying administrative tasks for students and staff. This demonstrates how digital platforms can enhance student services and institutional processes locally.</w:t>
      </w:r>
    </w:p>
    <w:p w14:paraId="5D647DCE">
      <w:pPr>
        <w:pStyle w:val="85"/>
        <w:keepNext w:val="0"/>
        <w:keepLines w:val="0"/>
        <w:widowControl/>
        <w:suppressLineNumbers w:val="0"/>
        <w:bidi w:val="0"/>
        <w:spacing w:before="0" w:beforeAutospacing="0" w:after="160" w:afterAutospacing="0" w:line="480" w:lineRule="auto"/>
        <w:ind w:left="0" w:firstLine="720"/>
        <w:jc w:val="both"/>
        <w:rPr>
          <w:rFonts w:hint="default" w:ascii="Arial" w:hAnsi="Arial" w:cs="Arial"/>
        </w:rPr>
      </w:pPr>
      <w:r>
        <w:rPr>
          <w:rFonts w:hint="default" w:ascii="Arial" w:hAnsi="Arial" w:cs="Arial"/>
          <w:b/>
          <w:bCs/>
          <w:i w:val="0"/>
          <w:iCs w:val="0"/>
          <w:color w:val="000000"/>
          <w:sz w:val="24"/>
          <w:szCs w:val="24"/>
          <w:u w:val="none"/>
          <w:vertAlign w:val="baseline"/>
        </w:rPr>
        <w:t>Web-Based Student Learning Activities and Development Information System Using Pieces Analysis (2025)</w:t>
      </w:r>
      <w:r>
        <w:rPr>
          <w:rFonts w:hint="default" w:ascii="Arial" w:hAnsi="Arial" w:cs="Arial"/>
          <w:i w:val="0"/>
          <w:iCs w:val="0"/>
          <w:color w:val="000000"/>
          <w:sz w:val="24"/>
          <w:szCs w:val="24"/>
          <w:u w:val="none"/>
          <w:vertAlign w:val="baseline"/>
        </w:rPr>
        <w:t xml:space="preserve"> This study developed and tested a system to manage student learning activities and progress. Results showed increased efficiency in tracking and supporting student development. This highlights the benefits of web-based systems for academic monitoring within local institutions.</w:t>
      </w:r>
    </w:p>
    <w:p w14:paraId="77D3E54C">
      <w:pPr>
        <w:pStyle w:val="85"/>
        <w:keepNext w:val="0"/>
        <w:keepLines w:val="0"/>
        <w:widowControl/>
        <w:suppressLineNumbers w:val="0"/>
        <w:bidi w:val="0"/>
        <w:spacing w:before="0" w:beforeAutospacing="0" w:after="160" w:afterAutospacing="0" w:line="480" w:lineRule="auto"/>
        <w:ind w:left="0" w:firstLine="720"/>
        <w:jc w:val="both"/>
        <w:rPr>
          <w:rFonts w:hint="default" w:ascii="Arial" w:hAnsi="Arial" w:cs="Arial"/>
        </w:rPr>
      </w:pPr>
      <w:r>
        <w:rPr>
          <w:rFonts w:hint="default" w:ascii="Arial" w:hAnsi="Arial" w:cs="Arial"/>
          <w:b/>
          <w:bCs/>
          <w:i w:val="0"/>
          <w:iCs w:val="0"/>
          <w:color w:val="000000"/>
          <w:sz w:val="24"/>
          <w:szCs w:val="24"/>
          <w:u w:val="none"/>
          <w:vertAlign w:val="baseline"/>
        </w:rPr>
        <w:t>A Web-Based Student Learning Outcome Assessment System for Secondary Education: Design, Development, and Empirical Evaluation (2025) – Sadhana &amp; Freire</w:t>
      </w:r>
      <w:r>
        <w:rPr>
          <w:rFonts w:hint="default" w:ascii="Arial" w:hAnsi="Arial" w:cs="Arial"/>
          <w:i w:val="0"/>
          <w:iCs w:val="0"/>
          <w:color w:val="000000"/>
          <w:sz w:val="24"/>
          <w:szCs w:val="24"/>
          <w:u w:val="none"/>
          <w:vertAlign w:val="baseline"/>
        </w:rPr>
        <w:t xml:space="preserve"> This study created a platform for assessing student learning outcomes in secondary education. Empirical evaluation showed high usability and reliability. This aligns with proposed systems that aim to manage and improve academic assessments effectively.</w:t>
      </w:r>
    </w:p>
    <w:p w14:paraId="25335EC6">
      <w:pPr>
        <w:pStyle w:val="85"/>
        <w:keepNext w:val="0"/>
        <w:keepLines w:val="0"/>
        <w:widowControl/>
        <w:suppressLineNumbers w:val="0"/>
        <w:bidi w:val="0"/>
        <w:spacing w:before="0" w:beforeAutospacing="0" w:after="160" w:afterAutospacing="0" w:line="480" w:lineRule="auto"/>
        <w:ind w:left="0" w:firstLine="720"/>
        <w:jc w:val="both"/>
        <w:rPr>
          <w:rFonts w:hint="default" w:ascii="Arial" w:hAnsi="Arial" w:cs="Arial"/>
        </w:rPr>
      </w:pPr>
      <w:r>
        <w:rPr>
          <w:rFonts w:hint="default" w:ascii="Arial" w:hAnsi="Arial" w:cs="Arial"/>
          <w:b/>
          <w:bCs/>
          <w:i w:val="0"/>
          <w:iCs w:val="0"/>
          <w:color w:val="000000"/>
          <w:sz w:val="24"/>
          <w:szCs w:val="24"/>
          <w:u w:val="none"/>
          <w:vertAlign w:val="baseline"/>
        </w:rPr>
        <w:t>Intelligent Web-Based Student Performance Prediction Using Machine Learning in Java (2025)</w:t>
      </w:r>
      <w:r>
        <w:rPr>
          <w:rFonts w:hint="default" w:ascii="Arial" w:hAnsi="Arial" w:cs="Arial"/>
          <w:i w:val="0"/>
          <w:iCs w:val="0"/>
          <w:color w:val="000000"/>
          <w:sz w:val="24"/>
          <w:szCs w:val="24"/>
          <w:u w:val="none"/>
          <w:vertAlign w:val="baseline"/>
        </w:rPr>
        <w:t xml:space="preserve"> This research introduced a system that uses machine learning to predict student performance. Results showed predictive analytics can help identify students at risk and improve outcomes, illustrating the advantages of integrating.</w:t>
      </w:r>
    </w:p>
    <w:p w14:paraId="1EE08CA4">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7FF7245"/>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5BF67ED0"/>
    <w:rsid w:val="77FF72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qFormat="1"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qFormat="1"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78" w:lineRule="auto"/>
    </w:pPr>
    <w:rPr>
      <w:rFonts w:asciiTheme="minorAscii" w:hAnsiTheme="minorAscii" w:eastAsiaTheme="minorEastAsia" w:cstheme="minorBidi"/>
      <w:kern w:val="2"/>
      <w:sz w:val="24"/>
      <w:szCs w:val="24"/>
      <w:lang w:val="en-US" w:eastAsia="en-US" w:bidi="ar-SA"/>
      <w14:ligatures w14:val="standardContextual"/>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2026-07-31T13:16:00Z</dcterms:created>
  <dc:creator>user</dc:creator>
  <cp:lastModifiedBy>user</cp:lastModifiedBy>
  <dcterms:modified xsi:type="dcterms:W3CDTF">2026-07-31T13:18:13Z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376797818B544B30B2F6B929D4090CCD_11</vt:lpwstr>
  </property>
  <property fmtid="{D5CDD505-2E9C-101B-9397-08002B2CF9AE}" pid="4" name="KSOTemplateDocerSaveRecord">
    <vt:lpwstr>eyJoZGlkIjoiMzcyODMxYTE0ZTc0ZGU3Y2QwODc3MzYzN2Q1YmNiM2EiLCJ1c2VySWQiOiI3MDQ5MDYzMTM3NTIifQ==</vt:lpwstr>
  </property>
</Properties>
</file>