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r8zkpb39w294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Advanced Interfaces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Expression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form should save to only one rule input of type CDT. Create a CDT called VFM_request with the following fields: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requestId (integer)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partId (integer)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repairCost (decimal)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(text)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dateNeeded (date)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isRoutine (Boolean)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interface that collects all fields in the CDT except the request Id. For each field, create the corresponding component.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Part--Dropdown (use the provided getAllVehicleParts query rule to populate the labels and values)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 of repair--Decimal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Reason--Paragraph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Needed date--date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Routine Maintenance--Radio button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reason field should only be visible if maintenance is not routine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STRETCH GOAL: Show the repair cost with a currency symbol and default 2 decimal places.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Full SAIL Expression: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label: "Request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choiceLabels: rule!VFM_getAllVehicleParts().name,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placeholderLabel: "--- Select a Value ---",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choiceValues: rule!VFM_getAllVehicleParts().id,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value: ri!request.partId,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saveInto: ri!request.partId,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value: dollar(ri!request.repairCost),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saveInto: ri!request.repairCost,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secondColumnContents: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value: ri!request.dateNeeded,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saveInto: ri!request.dateNeeded,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a!radioButtonField(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choiceLabels: {"Routine", "Other"},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choiceValues: {true, false},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value: ri!request.isRoutine,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saveInto: ri!request.isRoutine,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or(ri!request.isRoutine, isnull(ri!request.isRoutine)),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value: ri!request.reason,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saveInto: ri!request.reason,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height: "MEDIUM",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