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00" w:before="360" w:line="240" w:lineRule="auto"/>
        <w:contextualSpacing w:val="0"/>
      </w:pPr>
      <w:bookmarkStart w:colFirst="0" w:colLast="0" w:name="h.68s46fuzh8lc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Dynamic Links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Dynamic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 this exercise you will use dynamic links so the user can add as many sections as they want.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Add a dynamic link to the parent interface rule. The interface should adhere to the following guidelines: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link field at the bottom of the parent interface rule to add an additional sections.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value of the link should be a request CDT (using a type constructor) with the repair cost </w:t>
      </w:r>
      <w:r w:rsidDel="00000000" w:rsidR="00000000" w:rsidRPr="00000000">
        <w:rPr>
          <w:rtl w:val="0"/>
        </w:rPr>
        <w:t xml:space="preserve">defaulted to 10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a!save to save the CDT by appending it to the existing request variable.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local!token variable as the arrayVariable.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STRETCH GOAL: Add the checkbox if the price is under warranty and append a null value to the local!warranty with each new section.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