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document defines the widget specification.</w:t>
      </w:r>
    </w:p>
    <w:p>
      <w:pPr>
        <w:pStyle w:val="Heading1"/>
      </w:pPr>
      <w:r>
        <w:t>Functional Requirements</w:t>
      </w:r>
    </w:p>
    <w:p>
      <w:r>
        <w:t>The system shall process orders within 24 hours. [REQ1001] The system shall validate addresses before shipping. [REQ1002]</w:t>
      </w:r>
    </w:p>
    <w:p>
      <w:pPr>
        <w:pStyle w:val="Heading2"/>
      </w:pPr>
      <w:r>
        <w:t>Performance</w:t>
      </w:r>
    </w:p>
    <w:p>
      <w:r>
        <w:t>[REQ2001] The system may batch up to 500 items per transaction.</w:t>
        <w:br/>
        <w:t>Note: batch size is configurable.</w:t>
      </w:r>
    </w:p>
    <w:p>
      <w:pPr>
        <w:pStyle w:val="Heading1"/>
      </w:pPr>
      <w:r>
        <w:t>Non-functional</w:t>
      </w:r>
    </w:p>
    <w:p>
      <w:r>
        <w:t>The system should log every state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