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before="0" w:line="252" w:lineRule="auto"/>
        <w:jc w:val="center"/>
        <w:keepNext w:val="0"/>
        <w:bidi w:val="1"/>
      </w:pPr>
      <w:r>
        <w:rPr>
          <w:rFonts w:ascii="Noto Naskh Arabic" w:hAnsi="Noto Naskh Arabic" w:cs="Noto Naskh Arabic" w:eastAsia="Noto Naskh Arabic"/>
          <w:b/>
          <w:sz w:val="44"/>
          <w:rtl w:val="1"/>
          <w:szCs w:val="44"/>
          <w:bCs w:val="1"/>
        </w:rPr>
        <w:t>نتائج التساؤل الخامس</w:t>
      </w:r>
    </w:p>
    <w:p>
      <w:pPr>
        <w:spacing w:after="100" w:before="0" w:line="252" w:lineRule="auto"/>
        <w:jc w:val="center"/>
        <w:keepNext w:val="0"/>
        <w:bidi w:val="1"/>
      </w:pPr>
      <w:r>
        <w:rPr>
          <w:rFonts w:ascii="Noto Naskh Arabic" w:hAnsi="Noto Naskh Arabic" w:cs="Noto Naskh Arabic" w:eastAsia="Noto Naskh Arabic"/>
          <w:b/>
          <w:sz w:val="32"/>
          <w:rtl w:val="1"/>
          <w:szCs w:val="32"/>
          <w:bCs w:val="1"/>
        </w:rPr>
        <w:t>الفروق بحسب المتغيرات الديموغرافية والوظيفية</w:t>
      </w:r>
    </w:p>
    <w:p>
      <w:pPr>
        <w:spacing w:after="100" w:before="0" w:line="252" w:lineRule="auto"/>
        <w:jc w:val="center"/>
        <w:keepNext w:val="0"/>
        <w:bidi w:val="1"/>
      </w:pPr>
      <w:r>
        <w:rPr>
          <w:rFonts w:ascii="Noto Naskh Arabic" w:hAnsi="Noto Naskh Arabic" w:cs="Noto Naskh Arabic" w:eastAsia="Noto Naskh Arabic"/>
          <w:b w:val="0"/>
          <w:sz w:val="26"/>
          <w:rtl w:val="1"/>
          <w:szCs w:val="26"/>
          <w:bCs w:val="0"/>
        </w:rPr>
        <w:t>توظيف ممارسي الاتصال المؤسسي للحوكمة الرقمية ودورها في تحقيق التنمية المستدامة في ضوء رؤية المملكة 2030</w:t>
      </w:r>
    </w:p>
    <w:p>
      <w:pPr>
        <w:spacing w:after="100" w:before="0" w:line="252" w:lineRule="auto"/>
        <w:jc w:val="start"/>
        <w:keepNext w:val="0"/>
        <w:bidi w:val="1"/>
      </w:pPr>
      <w:r>
        <w:rPr>
          <w:rFonts w:ascii="Noto Naskh Arabic" w:hAnsi="Noto Naskh Arabic" w:cs="Noto Naskh Arabic" w:eastAsia="Noto Naskh Arabic"/>
          <w:b/>
          <w:sz w:val="28"/>
          <w:rtl w:val="1"/>
          <w:szCs w:val="28"/>
          <w:bCs w:val="1"/>
        </w:rPr>
        <w:t>«هل توجد فروق ذات دلالة إحصائية في استجابات المبحوثين تجاه محاور الدراسة تُعزى إلى متغيراتهم الديموغرافية والوظيفية؟»</w:t>
      </w:r>
    </w:p>
    <w:p>
      <w:pPr>
        <w:spacing w:after="100" w:before="0" w:line="252" w:lineRule="auto"/>
        <w:jc w:val="start"/>
        <w:keepNext/>
        <w:bidi w:val="1"/>
      </w:pPr>
      <w:r>
        <w:rPr>
          <w:rFonts w:ascii="Noto Naskh Arabic" w:hAnsi="Noto Naskh Arabic" w:cs="Noto Naskh Arabic" w:eastAsia="Noto Naskh Arabic"/>
          <w:b/>
          <w:sz w:val="28"/>
          <w:rtl w:val="1"/>
          <w:szCs w:val="28"/>
          <w:bCs w:val="1"/>
        </w:rPr>
        <w:t>البيانات والتحقق من الترميز</w:t>
      </w:r>
    </w:p>
    <w:p>
      <w:pPr>
        <w:spacing w:after="100" w:before="0" w:line="252" w:lineRule="auto"/>
        <w:jc w:val="start"/>
        <w:keepNext w:val="0"/>
        <w:bidi w:val="1"/>
      </w:pPr>
      <w:r>
        <w:rPr>
          <w:rFonts w:ascii="Noto Naskh Arabic" w:hAnsi="Noto Naskh Arabic" w:cs="Noto Naskh Arabic" w:eastAsia="Noto Naskh Arabic"/>
          <w:b w:val="0"/>
          <w:sz w:val="24"/>
          <w:rtl w:val="1"/>
          <w:szCs w:val="24"/>
          <w:bCs w:val="0"/>
        </w:rPr>
        <w:t>اعتمد التحليل جميع الاستجابات الـ124 في ملف Excel الأصلي، وجميع المشاركين من مجتمع الدراسة وفق إفادة الباحث. لم تُستبعد أي استجابة، ولا توجد قيم مفقودة في البنود الـ48 أو المتغيرات السبعة محل التحليل. طابقت مراجعة الترميز 5952 خلية بندية (124 × 48) مع المصدر.</w:t>
      </w:r>
    </w:p>
    <w:p>
      <w:pPr>
        <w:spacing w:after="100" w:before="0" w:line="252" w:lineRule="auto"/>
        <w:jc w:val="start"/>
        <w:keepNext w:val="0"/>
        <w:bidi w:val="1"/>
      </w:pPr>
      <w:r>
        <w:rPr>
          <w:rFonts w:ascii="Noto Naskh Arabic" w:hAnsi="Noto Naskh Arabic" w:cs="Noto Naskh Arabic" w:eastAsia="Noto Naskh Arabic"/>
          <w:b w:val="0"/>
          <w:sz w:val="24"/>
          <w:rtl w:val="1"/>
          <w:szCs w:val="24"/>
          <w:bCs w:val="0"/>
        </w:rPr>
        <w:t>أُعيد حساب الاختبارات بطريقة مستقلة؛ وتطابقت الاختبارات الكلية الـ42، بما يشمل 672 قيمة رقمية للإحصاءات ودرجات الحرية والدلالة واختبار ليفين، كما تطابقت المقارنات البعدية الـ42. اعتمدت القرارات والتفسيرات القيم المحققة غير المقربة.</w:t>
      </w:r>
    </w:p>
    <w:p>
      <w:pPr>
        <w:spacing w:after="100" w:before="0" w:line="252" w:lineRule="auto"/>
        <w:jc w:val="start"/>
        <w:keepNext w:val="0"/>
        <w:bidi w:val="1"/>
      </w:pPr>
      <w:r>
        <w:rPr>
          <w:rFonts w:ascii="Noto Naskh Arabic" w:hAnsi="Noto Naskh Arabic" w:cs="Noto Naskh Arabic" w:eastAsia="Noto Naskh Arabic"/>
          <w:b w:val="0"/>
          <w:sz w:val="24"/>
          <w:rtl w:val="1"/>
          <w:szCs w:val="24"/>
          <w:bCs w:val="0"/>
        </w:rPr>
        <w:t>حُدد توزيع البنود على المحاور بالرجوع إلى الاستبانة المعتمدة: السؤال 5 للوعي (7 بنود)، والسؤال 6 للتوظيف (8)، والسؤال 7 لأثر الحوكمة في الممارسات (6)، والسؤال 8 للمنفعة المدركة (8)، والسؤال 9 للبعد المؤسسي للتنمية المستدامة (10)، والسؤال 10 للتحديات (9).</w:t>
      </w:r>
    </w:p>
    <w:p>
      <w:pPr>
        <w:spacing w:after="100" w:before="0" w:line="252" w:lineRule="auto"/>
        <w:jc w:val="start"/>
        <w:keepNext w:val="0"/>
        <w:bidi w:val="1"/>
      </w:pPr>
      <w:r>
        <w:rPr>
          <w:rFonts w:ascii="Noto Naskh Arabic" w:hAnsi="Noto Naskh Arabic" w:cs="Noto Naskh Arabic" w:eastAsia="Noto Naskh Arabic"/>
          <w:b w:val="0"/>
          <w:sz w:val="24"/>
          <w:rtl w:val="1"/>
          <w:szCs w:val="24"/>
          <w:bCs w:val="0"/>
        </w:rPr>
        <w:t>حُسبت درجة كل محور بمتوسط بنوده على مقياس من 1 إلى 5 لكل مشارك، ثم حُسب متوسط الفئة والانحراف المعياري العيني لتلك الدرجات. جميع البنود مباشرة دون عكس؛ ويعني ارتفاع الدرجة في المحور السادس زيادة شدة التحديات، بينما يدل ارتفاعها في بقية المحاور على زيادة مستوى البعد المقاس. لم تدخل الأسئلة التمهيدية 1–4 والسؤال المفتوح 11 في درجات المحاور.</w:t>
      </w:r>
    </w:p>
    <w:p>
      <w:pPr>
        <w:spacing w:after="100" w:before="0" w:line="252" w:lineRule="auto"/>
        <w:jc w:val="start"/>
        <w:keepNext w:val="0"/>
        <w:bidi w:val="1"/>
      </w:pPr>
      <w:r>
        <w:rPr>
          <w:rFonts w:ascii="Noto Naskh Arabic" w:hAnsi="Noto Naskh Arabic" w:cs="Noto Naskh Arabic" w:eastAsia="Noto Naskh Arabic"/>
          <w:b w:val="0"/>
          <w:sz w:val="24"/>
          <w:rtl w:val="1"/>
          <w:szCs w:val="24"/>
          <w:bCs w:val="0"/>
        </w:rPr>
        <w:t>حُفظت الفئات المحددة في الاستبانة، وجُمعت الإجابات المفتوحة للتخصص تحت «تخصصات أخرى»، وللمسمى الوظيفي تحت «مسميات أخرى»، دون إعادة إسنادها اجتهاديًا لفئات أخرى. وحُفظت تسمية القطاع «حكومي / شبه حكومي» كما وردت في ملف الاستجابات. لم توجد استجابات لفئة «ثانوي وأقل» (</w:t>
      </w:r>
      <w:r>
        <w:rPr>
          <w:rFonts w:ascii="Noto Naskh Arabic" w:hAnsi="Noto Naskh Arabic" w:cs="Noto Naskh Arabic" w:eastAsia="Noto Naskh Arabic"/>
          <w:b w:val="0"/>
          <w:sz w:val="24"/>
          <w:rtl w:val="0"/>
          <w:szCs w:val="24"/>
          <w:bCs w:val="0"/>
        </w:rPr>
        <w:t>‎N = 0‎</w:t>
      </w:r>
      <w:r>
        <w:rPr>
          <w:rFonts w:ascii="Noto Naskh Arabic" w:hAnsi="Noto Naskh Arabic" w:cs="Noto Naskh Arabic" w:eastAsia="Noto Naskh Arabic"/>
          <w:b w:val="0"/>
          <w:sz w:val="24"/>
          <w:rtl w:val="1"/>
          <w:szCs w:val="24"/>
          <w:bCs w:val="0"/>
        </w:rPr>
        <w:t>)، ولذلك لم تُدرج بوصفها مجموعة في اختبار المؤهل العلمي.</w:t>
      </w:r>
    </w:p>
    <w:p>
      <w:r>
        <w:br w:type="page"/>
      </w:r>
    </w:p>
    <w:p>
      <w:pPr>
        <w:spacing w:after="100" w:before="0" w:line="252" w:lineRule="auto"/>
        <w:jc w:val="start"/>
        <w:keepNext/>
        <w:bidi w:val="1"/>
      </w:pPr>
      <w:r>
        <w:rPr>
          <w:rFonts w:ascii="Noto Naskh Arabic" w:hAnsi="Noto Naskh Arabic" w:cs="Noto Naskh Arabic" w:eastAsia="Noto Naskh Arabic"/>
          <w:b/>
          <w:sz w:val="32"/>
          <w:rtl w:val="1"/>
          <w:szCs w:val="32"/>
          <w:bCs w:val="1"/>
        </w:rPr>
        <w:t>منهج الاختبارات وقراءة الجداول</w:t>
      </w:r>
    </w:p>
    <w:p>
      <w:pPr>
        <w:spacing w:after="100" w:before="0" w:line="252" w:lineRule="auto"/>
        <w:jc w:val="start"/>
        <w:keepNext w:val="0"/>
        <w:bidi w:val="1"/>
      </w:pPr>
      <w:r>
        <w:rPr>
          <w:rFonts w:ascii="Noto Naskh Arabic" w:hAnsi="Noto Naskh Arabic" w:cs="Noto Naskh Arabic" w:eastAsia="Noto Naskh Arabic"/>
          <w:b w:val="0"/>
          <w:sz w:val="24"/>
          <w:rtl w:val="1"/>
          <w:szCs w:val="24"/>
          <w:bCs w:val="0"/>
        </w:rPr>
        <w:t>استُخدم اختبار t لولش ثنائي الطرف للمجموعتين المستقلتين عند المقارنة بحسب الجنس. وللمتغيرات ذات ثلاث فئات فأكثر، فُحص تجانس التباين باختبار ليفين المرتكز على الوسيط: استُخدم تحليل التباين الأحادي التقليدي عندما كانت دلالة ليفين ≥ 0.05، وتحليل التباين لولش عندما كانت دلالته &lt; 0.05. يتيح اختبار ولش اختلاف التباينات وأحجام الفئات.</w:t>
      </w:r>
    </w:p>
    <w:p>
      <w:pPr>
        <w:spacing w:after="100" w:before="0" w:line="252" w:lineRule="auto"/>
        <w:jc w:val="start"/>
        <w:keepNext w:val="0"/>
        <w:bidi w:val="1"/>
      </w:pPr>
      <w:r>
        <w:rPr>
          <w:rFonts w:ascii="Noto Naskh Arabic" w:hAnsi="Noto Naskh Arabic" w:cs="Noto Naskh Arabic" w:eastAsia="Noto Naskh Arabic"/>
          <w:b w:val="0"/>
          <w:sz w:val="24"/>
          <w:rtl w:val="1"/>
          <w:szCs w:val="24"/>
          <w:bCs w:val="0"/>
        </w:rPr>
        <w:t>عند دلالة الاختبار الكلي، استُخدمت مقارنات Tukey–Kramer البعدية بعد تحليل التباين التقليدي، ومقارنات Games–Howell بعد تحليل التباين لولش. تُعرض جميع الأزواج في Excel، بينما تعرض جداول المقارنات البعدية في Word الأزواج الدالة، مع تفسير اتجاهها. قيم Sig للاختبارات الكلية أصلية دون تصحيح Holm؛ وقيم المقارنات البعدية هي القيم التي ينتجها اختبار Tukey–Kramer أو Games–Howell مع ضبطه الداخلي لتعدد الأزواج، دون إضافة تصحيح Holm.</w:t>
      </w:r>
    </w:p>
    <w:p>
      <w:pPr>
        <w:spacing w:after="100" w:before="0" w:line="252" w:lineRule="auto"/>
        <w:jc w:val="start"/>
        <w:keepNext w:val="0"/>
        <w:bidi w:val="1"/>
      </w:pPr>
      <w:r>
        <w:rPr>
          <w:rFonts w:ascii="Noto Naskh Arabic" w:hAnsi="Noto Naskh Arabic" w:cs="Noto Naskh Arabic" w:eastAsia="Noto Naskh Arabic"/>
          <w:b w:val="0"/>
          <w:sz w:val="24"/>
          <w:rtl w:val="1"/>
          <w:szCs w:val="24"/>
          <w:bCs w:val="0"/>
        </w:rPr>
        <w:t>اعتُمد مستوى الدلالة 0.05 في الاختبارات الـ42 (7 متغيرات × 6 محاور). تستند الاختبارات إلى استقلال استجابات المشاركين، وتستخدم درجات المحاور المركبة بوصفها مقاييس كمية؛ وتُراعى محدودية التقدير في الفئات الصغيرة، وبخاصة فئة مدير عام / قيادي (</w:t>
      </w:r>
      <w:r>
        <w:rPr>
          <w:rFonts w:ascii="Noto Naskh Arabic" w:hAnsi="Noto Naskh Arabic" w:cs="Noto Naskh Arabic" w:eastAsia="Noto Naskh Arabic"/>
          <w:b w:val="0"/>
          <w:sz w:val="24"/>
          <w:rtl w:val="0"/>
          <w:szCs w:val="24"/>
          <w:bCs w:val="0"/>
        </w:rPr>
        <w:t>‎N = 4‎</w:t>
      </w:r>
      <w:r>
        <w:rPr>
          <w:rFonts w:ascii="Noto Naskh Arabic" w:hAnsi="Noto Naskh Arabic" w:cs="Noto Naskh Arabic" w:eastAsia="Noto Naskh Arabic"/>
          <w:b w:val="0"/>
          <w:sz w:val="24"/>
          <w:rtl w:val="1"/>
          <w:szCs w:val="24"/>
          <w:bCs w:val="0"/>
        </w:rPr>
        <w:t>). لا تثبت الفروق ارتباطًا سببيًا، ولا تُفترض ممثلية أو شمول حصر جميع أفراد المجتمع من مجرد انتماء المشاركين إليه.</w:t>
      </w:r>
    </w:p>
    <w:p>
      <w:pPr>
        <w:spacing w:after="100" w:before="0" w:line="252" w:lineRule="auto"/>
        <w:jc w:val="start"/>
        <w:keepNext w:val="0"/>
        <w:bidi w:val="1"/>
      </w:pPr>
      <w:r>
        <w:rPr>
          <w:rFonts w:ascii="Noto Naskh Arabic" w:hAnsi="Noto Naskh Arabic" w:cs="Noto Naskh Arabic" w:eastAsia="Noto Naskh Arabic"/>
          <w:b w:val="0"/>
          <w:sz w:val="24"/>
          <w:rtl w:val="1"/>
          <w:szCs w:val="24"/>
          <w:bCs w:val="0"/>
        </w:rPr>
        <w:t>تعرض الجداول المتوسط والانحراف المعياري والإحصاء إلى ثلاث منازل عشرية، وSig إلى ستة أرقام معنوية، مع اتخاذ قرار الدلالة من القيمة غير المقربة. لا تُعرض أي قيمة احتمال موجبة باعتبارها صفرًا؛ ويحفظ ملف Excel الأرقام بدقتها الحسابية كاملة. في اختبارات F تعرض df بالترتيب: درجة حرية البسط / درجة حرية المقام؛ أما t فتعرض درجة حرية واحدة، وقد تكون درجات حرية ولش كسرية.</w:t>
      </w:r>
    </w:p>
    <w:p>
      <w:pPr>
        <w:spacing w:after="100" w:before="0" w:line="252" w:lineRule="auto"/>
        <w:jc w:val="start"/>
        <w:keepNext/>
        <w:bidi w:val="1"/>
      </w:pPr>
      <w:r>
        <w:rPr>
          <w:rFonts w:ascii="Noto Naskh Arabic" w:hAnsi="Noto Naskh Arabic" w:cs="Noto Naskh Arabic" w:eastAsia="Noto Naskh Arabic"/>
          <w:b/>
          <w:sz w:val="26"/>
          <w:rtl w:val="1"/>
          <w:szCs w:val="26"/>
          <w:bCs w:val="1"/>
        </w:rPr>
        <w:t>خريطة المحاور</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680"/>
        <w:gridCol w:w="7087"/>
        <w:gridCol w:w="907"/>
        <w:gridCol w:w="1191"/>
      </w:tblGrid>
      <w:tr>
        <w:trPr>
          <w:tblHeader w:val="1"/>
        </w:trPr>
        <w:tc>
          <w:tcPr>
            <w:tcW w:type="dxa" w:w="680"/>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الرمز</w:t>
            </w:r>
          </w:p>
        </w:tc>
        <w:tc>
          <w:tcPr>
            <w:tcW w:type="dxa" w:w="708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المحور</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السؤال</w:t>
            </w:r>
          </w:p>
        </w:tc>
        <w:tc>
          <w:tcPr>
            <w:tcW w:type="dxa" w:w="119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عدد البنود</w:t>
            </w:r>
          </w:p>
        </w:tc>
      </w:tr>
      <w:tr>
        <w:trPr>
          <w:cantSplit w:val="1"/>
        </w:trPr>
        <w:tc>
          <w:tcPr>
            <w:tcW w:type="dxa" w:w="680"/>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A1</w:t>
            </w:r>
          </w:p>
        </w:tc>
        <w:tc>
          <w:tcPr>
            <w:tcW w:type="dxa" w:w="7087"/>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مستوى وعي ممارسي الاتصال المؤسسي بمفاهيم ومتطلبات الحوكمة الرقمية</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w:t>
            </w:r>
          </w:p>
        </w:tc>
        <w:tc>
          <w:tcPr>
            <w:tcW w:type="dxa" w:w="1191"/>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7</w:t>
            </w:r>
          </w:p>
        </w:tc>
      </w:tr>
      <w:tr>
        <w:trPr>
          <w:cantSplit w:val="1"/>
        </w:trPr>
        <w:tc>
          <w:tcPr>
            <w:tcW w:type="dxa" w:w="680"/>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A2</w:t>
            </w:r>
          </w:p>
        </w:tc>
        <w:tc>
          <w:tcPr>
            <w:tcW w:type="dxa" w:w="7087"/>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درجة توظيف ممارسي الاتصال المؤسسي لآليات وتطبيقات الحوكمة الرقمية في ممارساتهم المهنية</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6</w:t>
            </w:r>
          </w:p>
        </w:tc>
        <w:tc>
          <w:tcPr>
            <w:tcW w:type="dxa" w:w="1191"/>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8</w:t>
            </w:r>
          </w:p>
        </w:tc>
      </w:tr>
      <w:tr>
        <w:trPr>
          <w:cantSplit w:val="1"/>
        </w:trPr>
        <w:tc>
          <w:tcPr>
            <w:tcW w:type="dxa" w:w="680"/>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A3</w:t>
            </w:r>
          </w:p>
        </w:tc>
        <w:tc>
          <w:tcPr>
            <w:tcW w:type="dxa" w:w="7087"/>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أثر أنظمة وتطبيقات الحوكمة الرقمية في تشكيل ممارسات الاتصال المؤسسي</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7</w:t>
            </w:r>
          </w:p>
        </w:tc>
        <w:tc>
          <w:tcPr>
            <w:tcW w:type="dxa" w:w="1191"/>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6</w:t>
            </w:r>
          </w:p>
        </w:tc>
      </w:tr>
      <w:tr>
        <w:trPr>
          <w:cantSplit w:val="1"/>
        </w:trPr>
        <w:tc>
          <w:tcPr>
            <w:tcW w:type="dxa" w:w="680"/>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A4</w:t>
            </w:r>
          </w:p>
        </w:tc>
        <w:tc>
          <w:tcPr>
            <w:tcW w:type="dxa" w:w="7087"/>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المنفعة المدركة من توظيف الحوكمة الرقمية في ممارسات الاتصال المؤسسي</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8</w:t>
            </w:r>
          </w:p>
        </w:tc>
        <w:tc>
          <w:tcPr>
            <w:tcW w:type="dxa" w:w="1191"/>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8</w:t>
            </w:r>
          </w:p>
        </w:tc>
      </w:tr>
      <w:tr>
        <w:trPr>
          <w:cantSplit w:val="1"/>
        </w:trPr>
        <w:tc>
          <w:tcPr>
            <w:tcW w:type="dxa" w:w="680"/>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A5</w:t>
            </w:r>
          </w:p>
        </w:tc>
        <w:tc>
          <w:tcPr>
            <w:tcW w:type="dxa" w:w="7087"/>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دور الحوكمة الرقمية في تحقيق البعد المؤسسي للتنمية المستدامة في ضوء رؤية المملكة 2030</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9</w:t>
            </w:r>
          </w:p>
        </w:tc>
        <w:tc>
          <w:tcPr>
            <w:tcW w:type="dxa" w:w="1191"/>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10</w:t>
            </w:r>
          </w:p>
        </w:tc>
      </w:tr>
      <w:tr>
        <w:trPr>
          <w:cantSplit w:val="1"/>
        </w:trPr>
        <w:tc>
          <w:tcPr>
            <w:tcW w:type="dxa" w:w="680"/>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A6</w:t>
            </w:r>
          </w:p>
        </w:tc>
        <w:tc>
          <w:tcPr>
            <w:tcW w:type="dxa" w:w="7087"/>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التحديات التي تواجه ممارسي الاتصال المؤسسي عند توظيف الحوكمة الرقمية لتحقيق البعد المؤسسي للتنمية المستدامة</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10</w:t>
            </w:r>
          </w:p>
        </w:tc>
        <w:tc>
          <w:tcPr>
            <w:tcW w:type="dxa" w:w="1191"/>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9</w:t>
            </w: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تتضمن الجداول التالية تفسيرًا مباشرًا أسفل كل اختبار، وتُعرض الاختبارات بحسب المتغير ثم المحور.</w:t>
      </w:r>
    </w:p>
    <w:p>
      <w:pPr>
        <w:sectPr>
          <w:headerReference w:type="default" r:id="rId9"/>
          <w:footerReference w:type="default" r:id="rId10"/>
          <w:pgSz w:w="11906" w:h="16838"/>
          <w:pgMar w:top="794" w:right="1020" w:bottom="794" w:left="1020" w:header="340" w:footer="340" w:gutter="0"/>
          <w:cols w:space="720"/>
          <w:docGrid w:linePitch="360"/>
        </w:sectPr>
      </w:pPr>
    </w:p>
    <w:p>
      <w:pPr>
        <w:spacing w:after="100" w:before="0" w:line="252" w:lineRule="auto"/>
        <w:jc w:val="start"/>
        <w:keepNext/>
        <w:bidi w:val="1"/>
      </w:pPr>
      <w:r>
        <w:rPr>
          <w:rFonts w:ascii="Noto Naskh Arabic" w:hAnsi="Noto Naskh Arabic" w:cs="Noto Naskh Arabic" w:eastAsia="Noto Naskh Arabic"/>
          <w:b/>
          <w:sz w:val="34"/>
          <w:rtl w:val="1"/>
          <w:szCs w:val="34"/>
          <w:bCs w:val="1"/>
        </w:rPr>
        <w:t>الفروق بحسب الجنس</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(1): مستوى وعي ممارسي الاتصال المؤسسي بمفاهيم ومتطلبات الحوكمة الرقمية بحسب الجنس</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اختبار t لولش للمجموعتين المستقلتين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ذكر</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70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3.624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0.858</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t = 0.973</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115.966</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0.332631</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أنثى</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54</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3.476</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0.829</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اختبار t لولش للمجموعتين المستقلتين فروقًا ذات دلالة إحصائية في محور «الوعي بالحوكمة الرقمية» بحسب الجنس (</w:t>
      </w:r>
      <w:r>
        <w:rPr>
          <w:rFonts w:ascii="Noto Naskh Arabic" w:hAnsi="Noto Naskh Arabic" w:cs="Noto Naskh Arabic" w:eastAsia="Noto Naskh Arabic"/>
          <w:b w:val="0"/>
          <w:sz w:val="22"/>
          <w:rtl w:val="0"/>
          <w:szCs w:val="22"/>
          <w:bCs w:val="0"/>
        </w:rPr>
        <w:t>‎t = 0.973‎</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115.966‎</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0.332631‎</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(2): درجة توظيف ممارسي الاتصال المؤسسي لآليات وتطبيقات الحوكمة الرقمية في ممارساتهم المهنية بحسب الجنس</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اختبار t لولش للمجموعتين المستقلتين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ذكر</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70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3.846</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0.847</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t = 0.287</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120.272</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0.774291</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أنثى</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54</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3.806</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0.734</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اختبار t لولش للمجموعتين المستقلتين فروقًا ذات دلالة إحصائية في محور «توظيف الحوكمة الرقمية» بحسب الجنس (</w:t>
      </w:r>
      <w:r>
        <w:rPr>
          <w:rFonts w:ascii="Noto Naskh Arabic" w:hAnsi="Noto Naskh Arabic" w:cs="Noto Naskh Arabic" w:eastAsia="Noto Naskh Arabic"/>
          <w:b w:val="0"/>
          <w:sz w:val="22"/>
          <w:rtl w:val="0"/>
          <w:szCs w:val="22"/>
          <w:bCs w:val="0"/>
        </w:rPr>
        <w:t>‎t = 0.287‎</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120.272‎</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0.774291‎</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(3): أثر أنظمة وتطبيقات الحوكمة الرقمية في تشكيل ممارسات الاتصال المؤسسي بحسب الجنس</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اختبار t لولش للمجموعتين المستقلتين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ذكر</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70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4.171</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0.526</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t = 0.956</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114.082</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0.341051</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أنثى</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54</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4.080</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0.527</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اختبار t لولش للمجموعتين المستقلتين فروقًا ذات دلالة إحصائية في محور «أثر الحوكمة في الممارسات الاتصالية» بحسب الجنس (</w:t>
      </w:r>
      <w:r>
        <w:rPr>
          <w:rFonts w:ascii="Noto Naskh Arabic" w:hAnsi="Noto Naskh Arabic" w:cs="Noto Naskh Arabic" w:eastAsia="Noto Naskh Arabic"/>
          <w:b w:val="0"/>
          <w:sz w:val="22"/>
          <w:rtl w:val="0"/>
          <w:szCs w:val="22"/>
          <w:bCs w:val="0"/>
        </w:rPr>
        <w:t>‎t = 0.956‎</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114.082‎</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0.341051‎</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(4): المنفعة المدركة من توظيف الحوكمة الرقمية في ممارسات الاتصال المؤسسي بحسب الجنس</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اختبار t لولش للمجموعتين المستقلتين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ذكر</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70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4.264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0.466</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t = 1.629</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105.916</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0.106254</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أنثى</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54</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4.116</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0.531</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اختبار t لولش للمجموعتين المستقلتين فروقًا ذات دلالة إحصائية في محور «المنفعة المدركة» بحسب الجنس (</w:t>
      </w:r>
      <w:r>
        <w:rPr>
          <w:rFonts w:ascii="Noto Naskh Arabic" w:hAnsi="Noto Naskh Arabic" w:cs="Noto Naskh Arabic" w:eastAsia="Noto Naskh Arabic"/>
          <w:b w:val="0"/>
          <w:sz w:val="22"/>
          <w:rtl w:val="0"/>
          <w:szCs w:val="22"/>
          <w:bCs w:val="0"/>
        </w:rPr>
        <w:t>‎t = 1.629‎</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105.916‎</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0.106254‎</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(5): دور الحوكمة الرقمية في تحقيق البعد المؤسسي للتنمية المستدامة في ضوء رؤية المملكة 2030 بحسب الجنس</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اختبار t لولش للمجموعتين المستقلتين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ذكر</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70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4.279</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0.471</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t = 1.686</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102.786</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0.09492</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أنثى</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54</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4.119</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0.562</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اختبار t لولش للمجموعتين المستقلتين فروقًا ذات دلالة إحصائية في محور «البعد المؤسسي للتنمية المستدامة» بحسب الجنس (</w:t>
      </w:r>
      <w:r>
        <w:rPr>
          <w:rFonts w:ascii="Noto Naskh Arabic" w:hAnsi="Noto Naskh Arabic" w:cs="Noto Naskh Arabic" w:eastAsia="Noto Naskh Arabic"/>
          <w:b w:val="0"/>
          <w:sz w:val="22"/>
          <w:rtl w:val="0"/>
          <w:szCs w:val="22"/>
          <w:bCs w:val="0"/>
        </w:rPr>
        <w:t>‎t = 1.686‎</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102.786‎</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0.09492‎</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(6): التحديات التي تواجه ممارسي الاتصال المؤسسي عند توظيف الحوكمة الرقمية لتحقيق البعد المؤسسي للتنمية المستدامة بحسب الجنس</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اختبار t لولش للمجموعتين المستقلتين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ذكر</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70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3.703</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0.719</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t = 2.178</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114.858</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0.0314443</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أنثى</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54</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3.422</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0.709</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أظهرت نتائج اختبار t لولش للمجموعتين المستقلتين وجود فروق ذات دلالة إحصائية في محور «التحديات» بحسب الجنس (</w:t>
      </w:r>
      <w:r>
        <w:rPr>
          <w:rFonts w:ascii="Noto Naskh Arabic" w:hAnsi="Noto Naskh Arabic" w:cs="Noto Naskh Arabic" w:eastAsia="Noto Naskh Arabic"/>
          <w:b w:val="0"/>
          <w:sz w:val="22"/>
          <w:rtl w:val="0"/>
          <w:szCs w:val="22"/>
          <w:bCs w:val="0"/>
        </w:rPr>
        <w:t>‎t = 2.178‎</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114.858‎</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0.0314443‎</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&lt; 0.05‎</w:t>
      </w:r>
      <w:r>
        <w:rPr>
          <w:rFonts w:ascii="Noto Naskh Arabic" w:hAnsi="Noto Naskh Arabic" w:cs="Noto Naskh Arabic" w:eastAsia="Noto Naskh Arabic"/>
          <w:b w:val="0"/>
          <w:sz w:val="22"/>
          <w:rtl w:val="1"/>
          <w:szCs w:val="22"/>
          <w:bCs w:val="0"/>
        </w:rPr>
        <w:t>). كان متوسط فئة «ذكر» أعلى (3.703) من فئة «أنثى» (3.422)؛ بلغ الفرق بين المتوسطين 0.281 نقطة. ويعني هذا الاتجاه ارتفاع درجة إدراك التحديات لدى الفئة الأولى، لأن ارتفاع الدرجة في المحور السادس يدل على شدة أكبر للتحديات.</w:t>
      </w:r>
    </w:p>
    <w:p>
      <w:pPr>
        <w:spacing w:after="100" w:before="0" w:line="252" w:lineRule="auto"/>
        <w:jc w:val="start"/>
        <w:keepNext/>
        <w:bidi w:val="1"/>
      </w:pPr>
      <w:r>
        <w:rPr>
          <w:rFonts w:ascii="Noto Naskh Arabic" w:hAnsi="Noto Naskh Arabic" w:cs="Noto Naskh Arabic" w:eastAsia="Noto Naskh Arabic"/>
          <w:b/>
          <w:sz w:val="34"/>
          <w:rtl w:val="1"/>
          <w:szCs w:val="34"/>
          <w:bCs w:val="1"/>
        </w:rPr>
        <w:t>الفروق بحسب العمر</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(7): مستوى وعي ممارسي الاتصال المؤسسي بمفاهيم ومتطلبات الحوكمة الرقمية بحسب العمر</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أقل من 25 سنة</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3.100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1.043</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4.170</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 / 120</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0.00755759</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من 25 إلى أقل من 35 سنة</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68</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3.412</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0.812</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من 35 إلى أقل من 45 سنة</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37</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3.873</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0.668</w:t>
            </w:r>
          </w:p>
        </w:tc>
        <w:tc>
          <w:tcPr>
            <w:tcW w:type="dxa" w:w="1871"/>
            <w:vMerge/>
            <w:vAlign w:val="center"/>
          </w:tcPr>
          <w:p/>
        </w:tc>
        <w:tc>
          <w:tcPr>
            <w:tcW w:type="dxa" w:w="1984"/>
            <w:vMerge/>
            <w:vAlign w:val="center"/>
          </w:tcPr>
          <w:p/>
        </w:tc>
        <w:tc>
          <w:tcPr>
            <w:tcW w:type="dxa" w:w="1984"/>
            <w:vMerge/>
            <w:vAlign w:val="center"/>
          </w:tcP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45 سنة فأكثر</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9</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3.905</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1.090</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أظهرت نتائج تحليل التباين الأحادي التقليدي وجود فروق ذات دلالة إحصائية في محور «الوعي بالحوكمة الرقمية» بحسب العمر (</w:t>
      </w:r>
      <w:r>
        <w:rPr>
          <w:rFonts w:ascii="Noto Naskh Arabic" w:hAnsi="Noto Naskh Arabic" w:cs="Noto Naskh Arabic" w:eastAsia="Noto Naskh Arabic"/>
          <w:b w:val="0"/>
          <w:sz w:val="22"/>
          <w:rtl w:val="0"/>
          <w:szCs w:val="22"/>
          <w:bCs w:val="0"/>
        </w:rPr>
        <w:t>‎F = 4.170‎</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3 / 120‎</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0.00755759‎</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&lt; 0.05‎</w:t>
      </w:r>
      <w:r>
        <w:rPr>
          <w:rFonts w:ascii="Noto Naskh Arabic" w:hAnsi="Noto Naskh Arabic" w:cs="Noto Naskh Arabic" w:eastAsia="Noto Naskh Arabic"/>
          <w:b w:val="0"/>
          <w:sz w:val="22"/>
          <w:rtl w:val="1"/>
          <w:szCs w:val="22"/>
          <w:bCs w:val="0"/>
        </w:rPr>
        <w:t xml:space="preserve">). حددت مقارنات Tukey–Kramer البعدية الفروق الآتية: «من 35 إلى أقل من 45 سنة» (المتوسط = 3.873) أعلى من «أقل من 25 سنة» (المتوسط = 3.100؛ </w:t>
      </w:r>
      <w:r>
        <w:rPr>
          <w:rFonts w:ascii="Noto Naskh Arabic" w:hAnsi="Noto Naskh Arabic" w:cs="Noto Naskh Arabic" w:eastAsia="Noto Naskh Arabic"/>
          <w:b w:val="0"/>
          <w:sz w:val="22"/>
          <w:rtl w:val="0"/>
          <w:szCs w:val="22"/>
          <w:bCs w:val="0"/>
        </w:rPr>
        <w:t>‎Sig = 0.0432274‎</w:t>
      </w:r>
      <w:r>
        <w:rPr>
          <w:rFonts w:ascii="Noto Naskh Arabic" w:hAnsi="Noto Naskh Arabic" w:cs="Noto Naskh Arabic" w:eastAsia="Noto Naskh Arabic"/>
          <w:b w:val="0"/>
          <w:sz w:val="22"/>
          <w:rtl w:val="1"/>
          <w:szCs w:val="22"/>
          <w:bCs w:val="0"/>
        </w:rPr>
        <w:t xml:space="preserve">)؛ «من 35 إلى أقل من 45 سنة» (المتوسط = 3.873) أعلى من «من 25 إلى أقل من 35 سنة» (المتوسط = 3.412؛ </w:t>
      </w:r>
      <w:r>
        <w:rPr>
          <w:rFonts w:ascii="Noto Naskh Arabic" w:hAnsi="Noto Naskh Arabic" w:cs="Noto Naskh Arabic" w:eastAsia="Noto Naskh Arabic"/>
          <w:b w:val="0"/>
          <w:sz w:val="22"/>
          <w:rtl w:val="0"/>
          <w:szCs w:val="22"/>
          <w:bCs w:val="0"/>
        </w:rPr>
        <w:t>‎Sig = 0.0324782‎</w:t>
      </w:r>
      <w:r>
        <w:rPr>
          <w:rFonts w:ascii="Noto Naskh Arabic" w:hAnsi="Noto Naskh Arabic" w:cs="Noto Naskh Arabic" w:eastAsia="Noto Naskh Arabic"/>
          <w:b w:val="0"/>
          <w:sz w:val="22"/>
          <w:rtl w:val="1"/>
          <w:szCs w:val="22"/>
          <w:bCs w:val="0"/>
        </w:rPr>
        <w:t>). لم تكن بقية المقارنات الزوجية دالة عند مستوى 0.05.</w:t>
      </w:r>
    </w:p>
    <w:p>
      <w:pPr>
        <w:spacing w:after="100" w:before="0" w:line="252" w:lineRule="auto"/>
        <w:jc w:val="start"/>
        <w:keepNext/>
        <w:bidi w:val="1"/>
      </w:pPr>
      <w:r>
        <w:rPr>
          <w:rFonts w:ascii="Noto Naskh Arabic" w:hAnsi="Noto Naskh Arabic" w:cs="Noto Naskh Arabic" w:eastAsia="Noto Naskh Arabic"/>
          <w:b/>
          <w:sz w:val="22"/>
          <w:rtl w:val="1"/>
          <w:szCs w:val="22"/>
          <w:bCs w:val="1"/>
        </w:rPr>
        <w:t>المقارنات البعدية الدالة للجدول (7) — Tukey–Kramer</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082"/>
        <w:gridCol w:w="4082"/>
        <w:gridCol w:w="2381"/>
        <w:gridCol w:w="2948"/>
        <w:gridCol w:w="1587"/>
      </w:tblGrid>
      <w:tr>
        <w:trPr>
          <w:tblHeader w:val="1"/>
        </w:trPr>
        <w:tc>
          <w:tcPr>
            <w:tcW w:type="dxa" w:w="4082"/>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الفئة الأولى</w:t>
            </w:r>
          </w:p>
        </w:tc>
        <w:tc>
          <w:tcPr>
            <w:tcW w:type="dxa" w:w="4082"/>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الفئة الثانية</w:t>
            </w:r>
          </w:p>
        </w:tc>
        <w:tc>
          <w:tcPr>
            <w:tcW w:type="dxa" w:w="238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فرق المتوسطين (الأولى − الثانية)</w:t>
            </w:r>
          </w:p>
        </w:tc>
        <w:tc>
          <w:tcPr>
            <w:tcW w:type="dxa" w:w="2948"/>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فاصل الثقة 95% لفرق المتوسطين</w:t>
            </w:r>
          </w:p>
        </w:tc>
        <w:tc>
          <w:tcPr>
            <w:tcW w:type="dxa" w:w="158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Sig البعدية</w:t>
            </w:r>
          </w:p>
        </w:tc>
      </w:tr>
      <w:tr>
        <w:trPr>
          <w:cantSplit w:val="1"/>
        </w:trPr>
        <w:tc>
          <w:tcPr>
            <w:tcW w:type="dxa" w:w="4082"/>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أقل من 25 سنة</w:t>
            </w:r>
          </w:p>
        </w:tc>
        <w:tc>
          <w:tcPr>
            <w:tcW w:type="dxa" w:w="4082"/>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من 35 إلى أقل من 45 سنة</w:t>
            </w:r>
          </w:p>
        </w:tc>
        <w:tc>
          <w:tcPr>
            <w:tcW w:type="dxa" w:w="2381"/>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-0.773</w:t>
            </w:r>
          </w:p>
        </w:tc>
        <w:tc>
          <w:tcPr>
            <w:tcW w:type="dxa" w:w="2948"/>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[-1.529, -0.016]</w:t>
            </w:r>
          </w:p>
        </w:tc>
        <w:tc>
          <w:tcPr>
            <w:tcW w:type="dxa" w:w="158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0.0432274</w:t>
            </w:r>
          </w:p>
        </w:tc>
      </w:tr>
      <w:tr>
        <w:trPr>
          <w:cantSplit w:val="1"/>
        </w:trPr>
        <w:tc>
          <w:tcPr>
            <w:tcW w:type="dxa" w:w="4082"/>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من 25 إلى أقل من 35 سنة</w:t>
            </w:r>
          </w:p>
        </w:tc>
        <w:tc>
          <w:tcPr>
            <w:tcW w:type="dxa" w:w="4082"/>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من 35 إلى أقل من 45 سنة</w:t>
            </w:r>
          </w:p>
        </w:tc>
        <w:tc>
          <w:tcPr>
            <w:tcW w:type="dxa" w:w="2381"/>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-0.461</w:t>
            </w:r>
          </w:p>
        </w:tc>
        <w:tc>
          <w:tcPr>
            <w:tcW w:type="dxa" w:w="2948"/>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[-0.894, -0.027]</w:t>
            </w:r>
          </w:p>
        </w:tc>
        <w:tc>
          <w:tcPr>
            <w:tcW w:type="dxa" w:w="158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0.0324782</w:t>
            </w:r>
          </w:p>
        </w:tc>
      </w:tr>
    </w:tbl>
    <w:p>
      <w:pPr>
        <w:spacing w:after="100" w:before="0" w:line="252" w:lineRule="auto"/>
        <w:jc w:val="start"/>
        <w:keepNext w:val="0"/>
        <w:bidi w:val="1"/>
      </w:pPr>
      <w:r>
        <w:rPr>
          <w:rFonts w:ascii="Noto Naskh Arabic" w:hAnsi="Noto Naskh Arabic" w:cs="Noto Naskh Arabic" w:eastAsia="Noto Naskh Arabic"/>
          <w:b w:val="0"/>
          <w:sz w:val="19"/>
          <w:rtl w:val="1"/>
          <w:szCs w:val="19"/>
          <w:bCs w:val="0"/>
        </w:rPr>
        <w:t>الفرق سالب عندما يكون متوسط الفئة الثانية أعلى. جميع المقارنات البعدية، الدالة وغير الدالة، مدرجة في ملف Excel.</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(8): درجة توظيف ممارسي الاتصال المؤسسي لآليات وتطبيقات الحوكمة الرقمية في ممارساتهم المهنية بحسب العمر</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أقل من 25 سنة</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3.562</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1.030</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1.027</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 / 120</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0.383226</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من 25 إلى أقل من 35 سنة</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68</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3.768</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0.818</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من 35 إلى أقل من 45 سنة</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37</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3.970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0.684</w:t>
            </w:r>
          </w:p>
        </w:tc>
        <w:tc>
          <w:tcPr>
            <w:tcW w:type="dxa" w:w="1871"/>
            <w:vMerge/>
            <w:vAlign w:val="center"/>
          </w:tcPr>
          <w:p/>
        </w:tc>
        <w:tc>
          <w:tcPr>
            <w:tcW w:type="dxa" w:w="1984"/>
            <w:vMerge/>
            <w:vAlign w:val="center"/>
          </w:tcPr>
          <w:p/>
        </w:tc>
        <w:tc>
          <w:tcPr>
            <w:tcW w:type="dxa" w:w="1984"/>
            <w:vMerge/>
            <w:vAlign w:val="center"/>
          </w:tcP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45 سنة فأكثر</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9</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4.000</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0.783</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التقليدي فروقًا ذات دلالة إحصائية في محور «توظيف الحوكمة الرقمية» بحسب العمر (</w:t>
      </w:r>
      <w:r>
        <w:rPr>
          <w:rFonts w:ascii="Noto Naskh Arabic" w:hAnsi="Noto Naskh Arabic" w:cs="Noto Naskh Arabic" w:eastAsia="Noto Naskh Arabic"/>
          <w:b w:val="0"/>
          <w:sz w:val="22"/>
          <w:rtl w:val="0"/>
          <w:szCs w:val="22"/>
          <w:bCs w:val="0"/>
        </w:rPr>
        <w:t>‎F = 1.027‎</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3 / 120‎</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0.383226‎</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(9): أثر أنظمة وتطبيقات الحوكمة الرقمية في تشكيل ممارسات الاتصال المؤسسي بحسب العمر</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أقل من 25 سنة</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4.200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0.592</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2.236</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 / 120</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0.0874983</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من 25 إلى أقل من 35 سنة</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68</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4.056</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0.512</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من 35 إلى أقل من 45 سنة</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37</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4.158</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0.495</w:t>
            </w:r>
          </w:p>
        </w:tc>
        <w:tc>
          <w:tcPr>
            <w:tcW w:type="dxa" w:w="1871"/>
            <w:vMerge/>
            <w:vAlign w:val="center"/>
          </w:tcPr>
          <w:p/>
        </w:tc>
        <w:tc>
          <w:tcPr>
            <w:tcW w:type="dxa" w:w="1984"/>
            <w:vMerge/>
            <w:vAlign w:val="center"/>
          </w:tcPr>
          <w:p/>
        </w:tc>
        <w:tc>
          <w:tcPr>
            <w:tcW w:type="dxa" w:w="1984"/>
            <w:vMerge/>
            <w:vAlign w:val="center"/>
          </w:tcP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45 سنة فأكثر</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9</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4.519</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0.580</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التقليدي فروقًا ذات دلالة إحصائية في محور «أثر الحوكمة في الممارسات الاتصالية» بحسب العمر (</w:t>
      </w:r>
      <w:r>
        <w:rPr>
          <w:rFonts w:ascii="Noto Naskh Arabic" w:hAnsi="Noto Naskh Arabic" w:cs="Noto Naskh Arabic" w:eastAsia="Noto Naskh Arabic"/>
          <w:b w:val="0"/>
          <w:sz w:val="22"/>
          <w:rtl w:val="0"/>
          <w:szCs w:val="22"/>
          <w:bCs w:val="0"/>
        </w:rPr>
        <w:t>‎F = 2.236‎</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3 / 120‎</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0.0874983‎</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(10): المنفعة المدركة من توظيف الحوكمة الرقمية في ممارسات الاتصال المؤسسي بحسب العمر</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أقل من 25 سنة</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4.287</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0.586</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0.240</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 / 120</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0.868188</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من 25 إلى أقل من 35 سنة</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68</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4.186</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0.503</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من 35 إلى أقل من 45 سنة</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37</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4.179</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0.495</w:t>
            </w:r>
          </w:p>
        </w:tc>
        <w:tc>
          <w:tcPr>
            <w:tcW w:type="dxa" w:w="1871"/>
            <w:vMerge/>
            <w:vAlign w:val="center"/>
          </w:tcPr>
          <w:p/>
        </w:tc>
        <w:tc>
          <w:tcPr>
            <w:tcW w:type="dxa" w:w="1984"/>
            <w:vMerge/>
            <w:vAlign w:val="center"/>
          </w:tcPr>
          <w:p/>
        </w:tc>
        <w:tc>
          <w:tcPr>
            <w:tcW w:type="dxa" w:w="1984"/>
            <w:vMerge/>
            <w:vAlign w:val="center"/>
          </w:tcP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45 سنة فأكثر</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9</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4.292</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0.428</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التقليدي فروقًا ذات دلالة إحصائية في محور «المنفعة المدركة» بحسب العمر (</w:t>
      </w:r>
      <w:r>
        <w:rPr>
          <w:rFonts w:ascii="Noto Naskh Arabic" w:hAnsi="Noto Naskh Arabic" w:cs="Noto Naskh Arabic" w:eastAsia="Noto Naskh Arabic"/>
          <w:b w:val="0"/>
          <w:sz w:val="22"/>
          <w:rtl w:val="0"/>
          <w:szCs w:val="22"/>
          <w:bCs w:val="0"/>
        </w:rPr>
        <w:t>‎F = 0.240‎</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3 / 120‎</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0.868188‎</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(11): دور الحوكمة الرقمية في تحقيق البعد المؤسسي للتنمية المستدامة في ضوء رؤية المملكة 2030 بحسب العمر</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أقل من 25 سنة</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4.390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0.626</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0.555</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 / 120</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0.645843</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من 25 إلى أقل من 35 سنة</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68</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4.212</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0.512</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من 35 إلى أقل من 45 سنة</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37</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4.178</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0.439</w:t>
            </w:r>
          </w:p>
        </w:tc>
        <w:tc>
          <w:tcPr>
            <w:tcW w:type="dxa" w:w="1871"/>
            <w:vMerge/>
            <w:vAlign w:val="center"/>
          </w:tcPr>
          <w:p/>
        </w:tc>
        <w:tc>
          <w:tcPr>
            <w:tcW w:type="dxa" w:w="1984"/>
            <w:vMerge/>
            <w:vAlign w:val="center"/>
          </w:tcPr>
          <w:p/>
        </w:tc>
        <w:tc>
          <w:tcPr>
            <w:tcW w:type="dxa" w:w="1984"/>
            <w:vMerge/>
            <w:vAlign w:val="center"/>
          </w:tcP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45 سنة فأكثر</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9</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4.111</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0.741</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التقليدي فروقًا ذات دلالة إحصائية في محور «البعد المؤسسي للتنمية المستدامة» بحسب العمر (</w:t>
      </w:r>
      <w:r>
        <w:rPr>
          <w:rFonts w:ascii="Noto Naskh Arabic" w:hAnsi="Noto Naskh Arabic" w:cs="Noto Naskh Arabic" w:eastAsia="Noto Naskh Arabic"/>
          <w:b w:val="0"/>
          <w:sz w:val="22"/>
          <w:rtl w:val="0"/>
          <w:szCs w:val="22"/>
          <w:bCs w:val="0"/>
        </w:rPr>
        <w:t>‎F = 0.555‎</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3 / 120‎</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0.645843‎</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(12): التحديات التي تواجه ممارسي الاتصال المؤسسي عند توظيف الحوكمة الرقمية لتحقيق البعد المؤسسي للتنمية المستدامة بحسب العمر</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أقل من 25 سنة</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3.689</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0.875</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0.736</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 / 120</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0.53238</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من 25 إلى أقل من 35 سنة</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68</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3.631</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0.662</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من 35 إلى أقل من 45 سنة</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37</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3.532</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0.755</w:t>
            </w:r>
          </w:p>
        </w:tc>
        <w:tc>
          <w:tcPr>
            <w:tcW w:type="dxa" w:w="1871"/>
            <w:vMerge/>
            <w:vAlign w:val="center"/>
          </w:tcPr>
          <w:p/>
        </w:tc>
        <w:tc>
          <w:tcPr>
            <w:tcW w:type="dxa" w:w="1984"/>
            <w:vMerge/>
            <w:vAlign w:val="center"/>
          </w:tcPr>
          <w:p/>
        </w:tc>
        <w:tc>
          <w:tcPr>
            <w:tcW w:type="dxa" w:w="1984"/>
            <w:vMerge/>
            <w:vAlign w:val="center"/>
          </w:tcP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45 سنة فأكثر</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9</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3.284</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0.915</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التقليدي فروقًا ذات دلالة إحصائية في محور «التحديات» بحسب العمر (</w:t>
      </w:r>
      <w:r>
        <w:rPr>
          <w:rFonts w:ascii="Noto Naskh Arabic" w:hAnsi="Noto Naskh Arabic" w:cs="Noto Naskh Arabic" w:eastAsia="Noto Naskh Arabic"/>
          <w:b w:val="0"/>
          <w:sz w:val="22"/>
          <w:rtl w:val="0"/>
          <w:szCs w:val="22"/>
          <w:bCs w:val="0"/>
        </w:rPr>
        <w:t>‎F = 0.736‎</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3 / 120‎</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0.53238‎</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34"/>
          <w:rtl w:val="1"/>
          <w:szCs w:val="34"/>
          <w:bCs w:val="1"/>
        </w:rPr>
        <w:t>الفروق بحسب المؤهل العلمي</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(13): مستوى وعي ممارسي الاتصال المؤسسي بمفاهيم ومتطلبات الحوكمة الرقمية بحسب المؤهل العلمي</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دبلوم</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12</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3.155</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0.772</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2.122</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 / 121</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0.124176</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بكالوريوس</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78</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3.548</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0.813</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دراسات عليا (ماجستير / دكتوراه)</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3.731</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0.911</w:t>
            </w:r>
          </w:p>
        </w:tc>
        <w:tc>
          <w:tcPr>
            <w:tcW w:type="dxa" w:w="1871"/>
            <w:vMerge/>
            <w:vAlign w:val="center"/>
          </w:tcPr>
          <w:p/>
        </w:tc>
        <w:tc>
          <w:tcPr>
            <w:tcW w:type="dxa" w:w="1984"/>
            <w:vMerge/>
            <w:vAlign w:val="center"/>
          </w:tcPr>
          <w:p/>
        </w:tc>
        <w:tc>
          <w:tcPr>
            <w:tcW w:type="dxa" w:w="1984"/>
            <w:vMerge/>
            <w:vAlign w:val="center"/>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التقليدي فروقًا ذات دلالة إحصائية في محور «الوعي بالحوكمة الرقمية» بحسب المؤهل العلمي (</w:t>
      </w:r>
      <w:r>
        <w:rPr>
          <w:rFonts w:ascii="Noto Naskh Arabic" w:hAnsi="Noto Naskh Arabic" w:cs="Noto Naskh Arabic" w:eastAsia="Noto Naskh Arabic"/>
          <w:b w:val="0"/>
          <w:sz w:val="22"/>
          <w:rtl w:val="0"/>
          <w:szCs w:val="22"/>
          <w:bCs w:val="0"/>
        </w:rPr>
        <w:t>‎F = 2.122‎</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2 / 121‎</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0.124176‎</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(14): درجة توظيف ممارسي الاتصال المؤسسي لآليات وتطبيقات الحوكمة الرقمية في ممارساتهم المهنية بحسب المؤهل العلمي</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دبلوم</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12</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3.812</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0.469</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3.120</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 / 121</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0.0477187</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بكالوريوس</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78</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3.708</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0.827</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دراسات عليا (ماجستير / دكتوراه)</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4.110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0.762</w:t>
            </w:r>
          </w:p>
        </w:tc>
        <w:tc>
          <w:tcPr>
            <w:tcW w:type="dxa" w:w="1871"/>
            <w:vMerge/>
            <w:vAlign w:val="center"/>
          </w:tcPr>
          <w:p/>
        </w:tc>
        <w:tc>
          <w:tcPr>
            <w:tcW w:type="dxa" w:w="1984"/>
            <w:vMerge/>
            <w:vAlign w:val="center"/>
          </w:tcPr>
          <w:p/>
        </w:tc>
        <w:tc>
          <w:tcPr>
            <w:tcW w:type="dxa" w:w="1984"/>
            <w:vMerge/>
            <w:vAlign w:val="center"/>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أظهرت نتائج تحليل التباين الأحادي التقليدي وجود فروق ذات دلالة إحصائية في محور «توظيف الحوكمة الرقمية» بحسب المؤهل العلمي (</w:t>
      </w:r>
      <w:r>
        <w:rPr>
          <w:rFonts w:ascii="Noto Naskh Arabic" w:hAnsi="Noto Naskh Arabic" w:cs="Noto Naskh Arabic" w:eastAsia="Noto Naskh Arabic"/>
          <w:b w:val="0"/>
          <w:sz w:val="22"/>
          <w:rtl w:val="0"/>
          <w:szCs w:val="22"/>
          <w:bCs w:val="0"/>
        </w:rPr>
        <w:t>‎F = 3.120‎</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2 / 121‎</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0.0477187‎</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&lt; 0.05‎</w:t>
      </w:r>
      <w:r>
        <w:rPr>
          <w:rFonts w:ascii="Noto Naskh Arabic" w:hAnsi="Noto Naskh Arabic" w:cs="Noto Naskh Arabic" w:eastAsia="Noto Naskh Arabic"/>
          <w:b w:val="0"/>
          <w:sz w:val="22"/>
          <w:rtl w:val="1"/>
          <w:szCs w:val="22"/>
          <w:bCs w:val="0"/>
        </w:rPr>
        <w:t xml:space="preserve">). حددت مقارنات Tukey–Kramer البعدية الفروق الآتية: «دراسات عليا (ماجستير / دكتوراه)» (المتوسط = 4.110) أعلى من «بكالوريوس» (المتوسط = 3.708؛ </w:t>
      </w:r>
      <w:r>
        <w:rPr>
          <w:rFonts w:ascii="Noto Naskh Arabic" w:hAnsi="Noto Naskh Arabic" w:cs="Noto Naskh Arabic" w:eastAsia="Noto Naskh Arabic"/>
          <w:b w:val="0"/>
          <w:sz w:val="22"/>
          <w:rtl w:val="0"/>
          <w:szCs w:val="22"/>
          <w:bCs w:val="0"/>
        </w:rPr>
        <w:t>‎Sig = 0.0366884‎</w:t>
      </w:r>
      <w:r>
        <w:rPr>
          <w:rFonts w:ascii="Noto Naskh Arabic" w:hAnsi="Noto Naskh Arabic" w:cs="Noto Naskh Arabic" w:eastAsia="Noto Naskh Arabic"/>
          <w:b w:val="0"/>
          <w:sz w:val="22"/>
          <w:rtl w:val="1"/>
          <w:szCs w:val="22"/>
          <w:bCs w:val="0"/>
        </w:rPr>
        <w:t>). لم تكن بقية المقارنات الزوجية دالة عند مستوى 0.05.</w:t>
      </w:r>
    </w:p>
    <w:p>
      <w:pPr>
        <w:spacing w:after="100" w:before="0" w:line="252" w:lineRule="auto"/>
        <w:jc w:val="start"/>
        <w:keepNext/>
        <w:bidi w:val="1"/>
      </w:pPr>
      <w:r>
        <w:rPr>
          <w:rFonts w:ascii="Noto Naskh Arabic" w:hAnsi="Noto Naskh Arabic" w:cs="Noto Naskh Arabic" w:eastAsia="Noto Naskh Arabic"/>
          <w:b/>
          <w:sz w:val="22"/>
          <w:rtl w:val="1"/>
          <w:szCs w:val="22"/>
          <w:bCs w:val="1"/>
        </w:rPr>
        <w:t>المقارنات البعدية الدالة للجدول (14) — Tukey–Kramer</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082"/>
        <w:gridCol w:w="4082"/>
        <w:gridCol w:w="2381"/>
        <w:gridCol w:w="2948"/>
        <w:gridCol w:w="1587"/>
      </w:tblGrid>
      <w:tr>
        <w:trPr>
          <w:tblHeader w:val="1"/>
        </w:trPr>
        <w:tc>
          <w:tcPr>
            <w:tcW w:type="dxa" w:w="4082"/>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الفئة الأولى</w:t>
            </w:r>
          </w:p>
        </w:tc>
        <w:tc>
          <w:tcPr>
            <w:tcW w:type="dxa" w:w="4082"/>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الفئة الثانية</w:t>
            </w:r>
          </w:p>
        </w:tc>
        <w:tc>
          <w:tcPr>
            <w:tcW w:type="dxa" w:w="238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فرق المتوسطين (الأولى − الثانية)</w:t>
            </w:r>
          </w:p>
        </w:tc>
        <w:tc>
          <w:tcPr>
            <w:tcW w:type="dxa" w:w="2948"/>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فاصل الثقة 95% لفرق المتوسطين</w:t>
            </w:r>
          </w:p>
        </w:tc>
        <w:tc>
          <w:tcPr>
            <w:tcW w:type="dxa" w:w="158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Sig البعدية</w:t>
            </w:r>
          </w:p>
        </w:tc>
      </w:tr>
      <w:tr>
        <w:trPr>
          <w:cantSplit w:val="1"/>
        </w:trPr>
        <w:tc>
          <w:tcPr>
            <w:tcW w:type="dxa" w:w="4082"/>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بكالوريوس</w:t>
            </w:r>
          </w:p>
        </w:tc>
        <w:tc>
          <w:tcPr>
            <w:tcW w:type="dxa" w:w="4082"/>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دراسات عليا (ماجستير / دكتوراه)</w:t>
            </w:r>
          </w:p>
        </w:tc>
        <w:tc>
          <w:tcPr>
            <w:tcW w:type="dxa" w:w="2381"/>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-0.402</w:t>
            </w:r>
          </w:p>
        </w:tc>
        <w:tc>
          <w:tcPr>
            <w:tcW w:type="dxa" w:w="2948"/>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[-0.784, -0.020]</w:t>
            </w:r>
          </w:p>
        </w:tc>
        <w:tc>
          <w:tcPr>
            <w:tcW w:type="dxa" w:w="158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0.0366884</w:t>
            </w:r>
          </w:p>
        </w:tc>
      </w:tr>
    </w:tbl>
    <w:p>
      <w:pPr>
        <w:spacing w:after="100" w:before="0" w:line="252" w:lineRule="auto"/>
        <w:jc w:val="start"/>
        <w:keepNext w:val="0"/>
        <w:bidi w:val="1"/>
      </w:pPr>
      <w:r>
        <w:rPr>
          <w:rFonts w:ascii="Noto Naskh Arabic" w:hAnsi="Noto Naskh Arabic" w:cs="Noto Naskh Arabic" w:eastAsia="Noto Naskh Arabic"/>
          <w:b w:val="0"/>
          <w:sz w:val="19"/>
          <w:rtl w:val="1"/>
          <w:szCs w:val="19"/>
          <w:bCs w:val="0"/>
        </w:rPr>
        <w:t>الفرق سالب عندما يكون متوسط الفئة الثانية أعلى. جميع المقارنات البعدية، الدالة وغير الدالة، مدرجة في ملف Excel.</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(15): أثر أنظمة وتطبيقات الحوكمة الرقمية في تشكيل ممارسات الاتصال المؤسسي بحسب المؤهل العلمي</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دبلوم</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12</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4.014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0.520</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2.226</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 / 121</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0.112365</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بكالوريوس</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78</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4.081</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0.516</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دراسات عليا (ماجستير / دكتوراه)</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4.289</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0.532</w:t>
            </w:r>
          </w:p>
        </w:tc>
        <w:tc>
          <w:tcPr>
            <w:tcW w:type="dxa" w:w="1871"/>
            <w:vMerge/>
            <w:vAlign w:val="center"/>
          </w:tcPr>
          <w:p/>
        </w:tc>
        <w:tc>
          <w:tcPr>
            <w:tcW w:type="dxa" w:w="1984"/>
            <w:vMerge/>
            <w:vAlign w:val="center"/>
          </w:tcPr>
          <w:p/>
        </w:tc>
        <w:tc>
          <w:tcPr>
            <w:tcW w:type="dxa" w:w="1984"/>
            <w:vMerge/>
            <w:vAlign w:val="center"/>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التقليدي فروقًا ذات دلالة إحصائية في محور «أثر الحوكمة في الممارسات الاتصالية» بحسب المؤهل العلمي (</w:t>
      </w:r>
      <w:r>
        <w:rPr>
          <w:rFonts w:ascii="Noto Naskh Arabic" w:hAnsi="Noto Naskh Arabic" w:cs="Noto Naskh Arabic" w:eastAsia="Noto Naskh Arabic"/>
          <w:b w:val="0"/>
          <w:sz w:val="22"/>
          <w:rtl w:val="0"/>
          <w:szCs w:val="22"/>
          <w:bCs w:val="0"/>
        </w:rPr>
        <w:t>‎F = 2.226‎</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2 / 121‎</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0.112365‎</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(16): المنفعة المدركة من توظيف الحوكمة الرقمية في ممارسات الاتصال المؤسسي بحسب المؤهل العلمي</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دبلوم</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12</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3.990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0.510</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1.948</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 / 121</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0.14704</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بكالوريوس</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78</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4.184</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0.495</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دراسات عليا (ماجستير / دكتوراه)</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4.309</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0.488</w:t>
            </w:r>
          </w:p>
        </w:tc>
        <w:tc>
          <w:tcPr>
            <w:tcW w:type="dxa" w:w="1871"/>
            <w:vMerge/>
            <w:vAlign w:val="center"/>
          </w:tcPr>
          <w:p/>
        </w:tc>
        <w:tc>
          <w:tcPr>
            <w:tcW w:type="dxa" w:w="1984"/>
            <w:vMerge/>
            <w:vAlign w:val="center"/>
          </w:tcPr>
          <w:p/>
        </w:tc>
        <w:tc>
          <w:tcPr>
            <w:tcW w:type="dxa" w:w="1984"/>
            <w:vMerge/>
            <w:vAlign w:val="center"/>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التقليدي فروقًا ذات دلالة إحصائية في محور «المنفعة المدركة» بحسب المؤهل العلمي (</w:t>
      </w:r>
      <w:r>
        <w:rPr>
          <w:rFonts w:ascii="Noto Naskh Arabic" w:hAnsi="Noto Naskh Arabic" w:cs="Noto Naskh Arabic" w:eastAsia="Noto Naskh Arabic"/>
          <w:b w:val="0"/>
          <w:sz w:val="22"/>
          <w:rtl w:val="0"/>
          <w:szCs w:val="22"/>
          <w:bCs w:val="0"/>
        </w:rPr>
        <w:t>‎F = 1.948‎</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2 / 121‎</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0.14704‎</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(17): دور الحوكمة الرقمية في تحقيق البعد المؤسسي للتنمية المستدامة في ضوء رؤية المملكة 2030 بحسب المؤهل العلمي</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دبلوم</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12</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4.192</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0.487</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0.733</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 / 121</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0.482365</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بكالوريوس</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78</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4.172</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0.487</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دراسات عليا (ماجستير / دكتوراه)</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4.300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0.591</w:t>
            </w:r>
          </w:p>
        </w:tc>
        <w:tc>
          <w:tcPr>
            <w:tcW w:type="dxa" w:w="1871"/>
            <w:vMerge/>
            <w:vAlign w:val="center"/>
          </w:tcPr>
          <w:p/>
        </w:tc>
        <w:tc>
          <w:tcPr>
            <w:tcW w:type="dxa" w:w="1984"/>
            <w:vMerge/>
            <w:vAlign w:val="center"/>
          </w:tcPr>
          <w:p/>
        </w:tc>
        <w:tc>
          <w:tcPr>
            <w:tcW w:type="dxa" w:w="1984"/>
            <w:vMerge/>
            <w:vAlign w:val="center"/>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التقليدي فروقًا ذات دلالة إحصائية في محور «البعد المؤسسي للتنمية المستدامة» بحسب المؤهل العلمي (</w:t>
      </w:r>
      <w:r>
        <w:rPr>
          <w:rFonts w:ascii="Noto Naskh Arabic" w:hAnsi="Noto Naskh Arabic" w:cs="Noto Naskh Arabic" w:eastAsia="Noto Naskh Arabic"/>
          <w:b w:val="0"/>
          <w:sz w:val="22"/>
          <w:rtl w:val="0"/>
          <w:szCs w:val="22"/>
          <w:bCs w:val="0"/>
        </w:rPr>
        <w:t>‎F = 0.733‎</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2 / 121‎</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0.482365‎</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(18): التحديات التي تواجه ممارسي الاتصال المؤسسي عند توظيف الحوكمة الرقمية لتحقيق البعد المؤسسي للتنمية المستدامة بحسب المؤهل العلمي</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دبلوم</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12</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3.574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0.431</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1.634</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 / 121</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0.199465</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بكالوريوس</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78</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3.500</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0.760</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دراسات عليا (ماجستير / دكتوراه)</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3.768</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0.706</w:t>
            </w:r>
          </w:p>
        </w:tc>
        <w:tc>
          <w:tcPr>
            <w:tcW w:type="dxa" w:w="1871"/>
            <w:vMerge/>
            <w:vAlign w:val="center"/>
          </w:tcPr>
          <w:p/>
        </w:tc>
        <w:tc>
          <w:tcPr>
            <w:tcW w:type="dxa" w:w="1984"/>
            <w:vMerge/>
            <w:vAlign w:val="center"/>
          </w:tcPr>
          <w:p/>
        </w:tc>
        <w:tc>
          <w:tcPr>
            <w:tcW w:type="dxa" w:w="1984"/>
            <w:vMerge/>
            <w:vAlign w:val="center"/>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التقليدي فروقًا ذات دلالة إحصائية في محور «التحديات» بحسب المؤهل العلمي (</w:t>
      </w:r>
      <w:r>
        <w:rPr>
          <w:rFonts w:ascii="Noto Naskh Arabic" w:hAnsi="Noto Naskh Arabic" w:cs="Noto Naskh Arabic" w:eastAsia="Noto Naskh Arabic"/>
          <w:b w:val="0"/>
          <w:sz w:val="22"/>
          <w:rtl w:val="0"/>
          <w:szCs w:val="22"/>
          <w:bCs w:val="0"/>
        </w:rPr>
        <w:t>‎F = 1.634‎</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2 / 121‎</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0.199465‎</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34"/>
          <w:rtl w:val="1"/>
          <w:szCs w:val="34"/>
          <w:bCs w:val="1"/>
        </w:rPr>
        <w:t>الفروق بحسب التخصص</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(19): مستوى وعي ممارسي الاتصال المؤسسي بمفاهيم ومتطلبات الحوكمة الرقمية بحسب التخصص</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لولش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إعلام / علاقات عامة / اتصال مؤسسي</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56</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3.594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0.671</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0.742</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 / 24.625</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0.537476</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تخصصات إدارية</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45</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3.683</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0.725</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تخصصات تقنية</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3.347</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1.170</w:t>
            </w:r>
          </w:p>
        </w:tc>
        <w:tc>
          <w:tcPr>
            <w:tcW w:type="dxa" w:w="1871"/>
            <w:vMerge/>
            <w:vAlign w:val="center"/>
          </w:tcPr>
          <w:p/>
        </w:tc>
        <w:tc>
          <w:tcPr>
            <w:tcW w:type="dxa" w:w="1984"/>
            <w:vMerge/>
            <w:vAlign w:val="center"/>
          </w:tcPr>
          <w:p/>
        </w:tc>
        <w:tc>
          <w:tcPr>
            <w:tcW w:type="dxa" w:w="1984"/>
            <w:vMerge/>
            <w:vAlign w:val="center"/>
          </w:tcP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تخصصات أخرى</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9</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3.063</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1.524</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لولش فروقًا ذات دلالة إحصائية في محور «الوعي بالحوكمة الرقمية» بحسب التخصص (</w:t>
      </w:r>
      <w:r>
        <w:rPr>
          <w:rFonts w:ascii="Noto Naskh Arabic" w:hAnsi="Noto Naskh Arabic" w:cs="Noto Naskh Arabic" w:eastAsia="Noto Naskh Arabic"/>
          <w:b w:val="0"/>
          <w:sz w:val="22"/>
          <w:rtl w:val="0"/>
          <w:szCs w:val="22"/>
          <w:bCs w:val="0"/>
        </w:rPr>
        <w:t>‎F = 0.742‎</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3 / 24.625‎</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0.537476‎</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(20): درجة توظيف ممارسي الاتصال المؤسسي لآليات وتطبيقات الحوكمة الرقمية في ممارساتهم المهنية بحسب التخصص</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إعلام / علاقات عامة / اتصال مؤسسي</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56</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3.868</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0.729</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1.017</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 / 120</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0.387827</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تخصصات إدارية</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45</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3.906</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0.768</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تخصصات تقنية</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3.652</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0.752</w:t>
            </w:r>
          </w:p>
        </w:tc>
        <w:tc>
          <w:tcPr>
            <w:tcW w:type="dxa" w:w="1871"/>
            <w:vMerge/>
            <w:vAlign w:val="center"/>
          </w:tcPr>
          <w:p/>
        </w:tc>
        <w:tc>
          <w:tcPr>
            <w:tcW w:type="dxa" w:w="1984"/>
            <w:vMerge/>
            <w:vAlign w:val="center"/>
          </w:tcPr>
          <w:p/>
        </w:tc>
        <w:tc>
          <w:tcPr>
            <w:tcW w:type="dxa" w:w="1984"/>
            <w:vMerge/>
            <w:vAlign w:val="center"/>
          </w:tcP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تخصصات أخرى</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9</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3.472</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1.306</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التقليدي فروقًا ذات دلالة إحصائية في محور «توظيف الحوكمة الرقمية» بحسب التخصص (</w:t>
      </w:r>
      <w:r>
        <w:rPr>
          <w:rFonts w:ascii="Noto Naskh Arabic" w:hAnsi="Noto Naskh Arabic" w:cs="Noto Naskh Arabic" w:eastAsia="Noto Naskh Arabic"/>
          <w:b w:val="0"/>
          <w:sz w:val="22"/>
          <w:rtl w:val="0"/>
          <w:szCs w:val="22"/>
          <w:bCs w:val="0"/>
        </w:rPr>
        <w:t>‎F = 1.017‎</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3 / 120‎</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0.387827‎</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(21): أثر أنظمة وتطبيقات الحوكمة الرقمية في تشكيل ممارسات الاتصال المؤسسي بحسب التخصص</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إعلام / علاقات عامة / اتصال مؤسسي</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56</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4.074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0.450</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0.591</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 / 120</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0.622072</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تخصصات إدارية</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45</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4.144</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0.575</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تخصصات تقنية</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4.238</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0.522</w:t>
            </w:r>
          </w:p>
        </w:tc>
        <w:tc>
          <w:tcPr>
            <w:tcW w:type="dxa" w:w="1871"/>
            <w:vMerge/>
            <w:vAlign w:val="center"/>
          </w:tcPr>
          <w:p/>
        </w:tc>
        <w:tc>
          <w:tcPr>
            <w:tcW w:type="dxa" w:w="1984"/>
            <w:vMerge/>
            <w:vAlign w:val="center"/>
          </w:tcPr>
          <w:p/>
        </w:tc>
        <w:tc>
          <w:tcPr>
            <w:tcW w:type="dxa" w:w="1984"/>
            <w:vMerge/>
            <w:vAlign w:val="center"/>
          </w:tcP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تخصصات أخرى</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9</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4.259</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0.737</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التقليدي فروقًا ذات دلالة إحصائية في محور «أثر الحوكمة في الممارسات الاتصالية» بحسب التخصص (</w:t>
      </w:r>
      <w:r>
        <w:rPr>
          <w:rFonts w:ascii="Noto Naskh Arabic" w:hAnsi="Noto Naskh Arabic" w:cs="Noto Naskh Arabic" w:eastAsia="Noto Naskh Arabic"/>
          <w:b w:val="0"/>
          <w:sz w:val="22"/>
          <w:rtl w:val="0"/>
          <w:szCs w:val="22"/>
          <w:bCs w:val="0"/>
        </w:rPr>
        <w:t>‎F = 0.591‎</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3 / 120‎</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0.622072‎</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(22): المنفعة المدركة من توظيف الحوكمة الرقمية في ممارسات الاتصال المؤسسي بحسب التخصص</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إعلام / علاقات عامة / اتصال مؤسسي</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56</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4.214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0.437</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0.924</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 / 120</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0.431262</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تخصصات إدارية</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45</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4.117</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0.491</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تخصصات تقنية</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4.321</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0.516</w:t>
            </w:r>
          </w:p>
        </w:tc>
        <w:tc>
          <w:tcPr>
            <w:tcW w:type="dxa" w:w="1871"/>
            <w:vMerge/>
            <w:vAlign w:val="center"/>
          </w:tcPr>
          <w:p/>
        </w:tc>
        <w:tc>
          <w:tcPr>
            <w:tcW w:type="dxa" w:w="1984"/>
            <w:vMerge/>
            <w:vAlign w:val="center"/>
          </w:tcPr>
          <w:p/>
        </w:tc>
        <w:tc>
          <w:tcPr>
            <w:tcW w:type="dxa" w:w="1984"/>
            <w:vMerge/>
            <w:vAlign w:val="center"/>
          </w:tcP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تخصصات أخرى</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9</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4.333</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0.815</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التقليدي فروقًا ذات دلالة إحصائية في محور «المنفعة المدركة» بحسب التخصص (</w:t>
      </w:r>
      <w:r>
        <w:rPr>
          <w:rFonts w:ascii="Noto Naskh Arabic" w:hAnsi="Noto Naskh Arabic" w:cs="Noto Naskh Arabic" w:eastAsia="Noto Naskh Arabic"/>
          <w:b w:val="0"/>
          <w:sz w:val="22"/>
          <w:rtl w:val="0"/>
          <w:szCs w:val="22"/>
          <w:bCs w:val="0"/>
        </w:rPr>
        <w:t>‎F = 0.924‎</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3 / 120‎</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0.431262‎</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(23): دور الحوكمة الرقمية في تحقيق البعد المؤسسي للتنمية المستدامة في ضوء رؤية المملكة 2030 بحسب التخصص</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إعلام / علاقات عامة / اتصال مؤسسي</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56</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4.180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0.482</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0.878</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 / 120</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0.454692</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تخصصات إدارية</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45</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4.164</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0.500</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تخصصات تقنية</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4.350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0.535</w:t>
            </w:r>
          </w:p>
        </w:tc>
        <w:tc>
          <w:tcPr>
            <w:tcW w:type="dxa" w:w="1871"/>
            <w:vMerge/>
            <w:vAlign w:val="center"/>
          </w:tcPr>
          <w:p/>
        </w:tc>
        <w:tc>
          <w:tcPr>
            <w:tcW w:type="dxa" w:w="1984"/>
            <w:vMerge/>
            <w:vAlign w:val="center"/>
          </w:tcPr>
          <w:p/>
        </w:tc>
        <w:tc>
          <w:tcPr>
            <w:tcW w:type="dxa" w:w="1984"/>
            <w:vMerge/>
            <w:vAlign w:val="center"/>
          </w:tcP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تخصصات أخرى</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9</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4.389</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0.759</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التقليدي فروقًا ذات دلالة إحصائية في محور «البعد المؤسسي للتنمية المستدامة» بحسب التخصص (</w:t>
      </w:r>
      <w:r>
        <w:rPr>
          <w:rFonts w:ascii="Noto Naskh Arabic" w:hAnsi="Noto Naskh Arabic" w:cs="Noto Naskh Arabic" w:eastAsia="Noto Naskh Arabic"/>
          <w:b w:val="0"/>
          <w:sz w:val="22"/>
          <w:rtl w:val="0"/>
          <w:szCs w:val="22"/>
          <w:bCs w:val="0"/>
        </w:rPr>
        <w:t>‎F = 0.878‎</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3 / 120‎</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0.454692‎</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(24): التحديات التي تواجه ممارسي الاتصال المؤسسي عند توظيف الحوكمة الرقمية لتحقيق البعد المؤسسي للتنمية المستدامة بحسب التخصص</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إعلام / علاقات عامة / اتصال مؤسسي</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56</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3.560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0.686</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1.864</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 / 120</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0.139334</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تخصصات إدارية</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45</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3.543</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0.679</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تخصصات تقنية</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3.444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0.917</w:t>
            </w:r>
          </w:p>
        </w:tc>
        <w:tc>
          <w:tcPr>
            <w:tcW w:type="dxa" w:w="1871"/>
            <w:vMerge/>
            <w:vAlign w:val="center"/>
          </w:tcPr>
          <w:p/>
        </w:tc>
        <w:tc>
          <w:tcPr>
            <w:tcW w:type="dxa" w:w="1984"/>
            <w:vMerge/>
            <w:vAlign w:val="center"/>
          </w:tcPr>
          <w:p/>
        </w:tc>
        <w:tc>
          <w:tcPr>
            <w:tcW w:type="dxa" w:w="1984"/>
            <w:vMerge/>
            <w:vAlign w:val="center"/>
          </w:tcP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تخصصات أخرى</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9</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4.111</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0.766</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التقليدي فروقًا ذات دلالة إحصائية في محور «التحديات» بحسب التخصص (</w:t>
      </w:r>
      <w:r>
        <w:rPr>
          <w:rFonts w:ascii="Noto Naskh Arabic" w:hAnsi="Noto Naskh Arabic" w:cs="Noto Naskh Arabic" w:eastAsia="Noto Naskh Arabic"/>
          <w:b w:val="0"/>
          <w:sz w:val="22"/>
          <w:rtl w:val="0"/>
          <w:szCs w:val="22"/>
          <w:bCs w:val="0"/>
        </w:rPr>
        <w:t>‎F = 1.864‎</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3 / 120‎</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0.139334‎</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34"/>
          <w:rtl w:val="1"/>
          <w:szCs w:val="34"/>
          <w:bCs w:val="1"/>
        </w:rPr>
        <w:t>الفروق بحسب المسمى الوظيفي</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(25): مستوى وعي ممارسي الاتصال المؤسسي بمفاهيم ومتطلبات الحوكمة الرقمية بحسب المسمى الوظيفي</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أخصائي/مسؤول اتصال مؤسسي أو علاقات عامة</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56</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3.495</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0.779</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1.680</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 / 118</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0.14459</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أخصائي أول</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23</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3.553</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0.649</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رئيس قسم / مشرف</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16</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3.857</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0.713</w:t>
            </w:r>
          </w:p>
        </w:tc>
        <w:tc>
          <w:tcPr>
            <w:tcW w:type="dxa" w:w="1871"/>
            <w:vMerge/>
            <w:vAlign w:val="center"/>
          </w:tcPr>
          <w:p/>
        </w:tc>
        <w:tc>
          <w:tcPr>
            <w:tcW w:type="dxa" w:w="1984"/>
            <w:vMerge/>
            <w:vAlign w:val="center"/>
          </w:tcPr>
          <w:p/>
        </w:tc>
        <w:tc>
          <w:tcPr>
            <w:tcW w:type="dxa" w:w="1984"/>
            <w:vMerge/>
            <w:vAlign w:val="center"/>
          </w:tcP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مدير إدارة</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13</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3.923</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0.805</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مدير عام / قيادي</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3.500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1.134</w:t>
            </w:r>
          </w:p>
        </w:tc>
        <w:tc>
          <w:tcPr>
            <w:tcW w:type="dxa" w:w="1871"/>
            <w:vMerge/>
            <w:vAlign w:val="center"/>
          </w:tcPr>
          <w:p/>
        </w:tc>
        <w:tc>
          <w:tcPr>
            <w:tcW w:type="dxa" w:w="1984"/>
            <w:vMerge/>
            <w:vAlign w:val="center"/>
          </w:tcPr>
          <w:p/>
        </w:tc>
        <w:tc>
          <w:tcPr>
            <w:tcW w:type="dxa" w:w="1984"/>
            <w:vMerge/>
            <w:vAlign w:val="center"/>
          </w:tcP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مسميات أخرى</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12</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3.107</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1.353</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التقليدي فروقًا ذات دلالة إحصائية في محور «الوعي بالحوكمة الرقمية» بحسب المسمى الوظيفي (</w:t>
      </w:r>
      <w:r>
        <w:rPr>
          <w:rFonts w:ascii="Noto Naskh Arabic" w:hAnsi="Noto Naskh Arabic" w:cs="Noto Naskh Arabic" w:eastAsia="Noto Naskh Arabic"/>
          <w:b w:val="0"/>
          <w:sz w:val="22"/>
          <w:rtl w:val="0"/>
          <w:szCs w:val="22"/>
          <w:bCs w:val="0"/>
        </w:rPr>
        <w:t>‎F = 1.680‎</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5 / 118‎</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0.14459‎</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(26): درجة توظيف ممارسي الاتصال المؤسسي لآليات وتطبيقات الحوكمة الرقمية في ممارساتهم المهنية بحسب المسمى الوظيفي</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أخصائي/مسؤول اتصال مؤسسي أو علاقات عامة</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56</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3.734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0.758</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0.931</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 / 118</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0.46375</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أخصائي أول</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23</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3.766</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0.715</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رئيس قسم / مشرف</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16</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4.031</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0.495</w:t>
            </w:r>
          </w:p>
        </w:tc>
        <w:tc>
          <w:tcPr>
            <w:tcW w:type="dxa" w:w="1871"/>
            <w:vMerge/>
            <w:vAlign w:val="center"/>
          </w:tcPr>
          <w:p/>
        </w:tc>
        <w:tc>
          <w:tcPr>
            <w:tcW w:type="dxa" w:w="1984"/>
            <w:vMerge/>
            <w:vAlign w:val="center"/>
          </w:tcPr>
          <w:p/>
        </w:tc>
        <w:tc>
          <w:tcPr>
            <w:tcW w:type="dxa" w:w="1984"/>
            <w:vMerge/>
            <w:vAlign w:val="center"/>
          </w:tcP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مدير إدارة</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13</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4.106</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0.996</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مدير عام / قيادي</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4.188</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0.681</w:t>
            </w:r>
          </w:p>
        </w:tc>
        <w:tc>
          <w:tcPr>
            <w:tcW w:type="dxa" w:w="1871"/>
            <w:vMerge/>
            <w:vAlign w:val="center"/>
          </w:tcPr>
          <w:p/>
        </w:tc>
        <w:tc>
          <w:tcPr>
            <w:tcW w:type="dxa" w:w="1984"/>
            <w:vMerge/>
            <w:vAlign w:val="center"/>
          </w:tcPr>
          <w:p/>
        </w:tc>
        <w:tc>
          <w:tcPr>
            <w:tcW w:type="dxa" w:w="1984"/>
            <w:vMerge/>
            <w:vAlign w:val="center"/>
          </w:tcP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مسميات أخرى</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12</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3.698</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1.178</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التقليدي فروقًا ذات دلالة إحصائية في محور «توظيف الحوكمة الرقمية» بحسب المسمى الوظيفي (</w:t>
      </w:r>
      <w:r>
        <w:rPr>
          <w:rFonts w:ascii="Noto Naskh Arabic" w:hAnsi="Noto Naskh Arabic" w:cs="Noto Naskh Arabic" w:eastAsia="Noto Naskh Arabic"/>
          <w:b w:val="0"/>
          <w:sz w:val="22"/>
          <w:rtl w:val="0"/>
          <w:szCs w:val="22"/>
          <w:bCs w:val="0"/>
        </w:rPr>
        <w:t>‎F = 0.931‎</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5 / 118‎</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0.46375‎</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(27): أثر أنظمة وتطبيقات الحوكمة الرقمية في تشكيل ممارسات الاتصال المؤسسي بحسب المسمى الوظيفي</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أخصائي/مسؤول اتصال مؤسسي أو علاقات عامة</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56</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4.080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0.489</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1.951</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 / 118</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0.0910986</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أخصائي أول</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23</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4.014</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0.460</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رئيس قسم / مشرف</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16</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4.052</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0.470</w:t>
            </w:r>
          </w:p>
        </w:tc>
        <w:tc>
          <w:tcPr>
            <w:tcW w:type="dxa" w:w="1871"/>
            <w:vMerge/>
            <w:vAlign w:val="center"/>
          </w:tcPr>
          <w:p/>
        </w:tc>
        <w:tc>
          <w:tcPr>
            <w:tcW w:type="dxa" w:w="1984"/>
            <w:vMerge/>
            <w:vAlign w:val="center"/>
          </w:tcPr>
          <w:p/>
        </w:tc>
        <w:tc>
          <w:tcPr>
            <w:tcW w:type="dxa" w:w="1984"/>
            <w:vMerge/>
            <w:vAlign w:val="center"/>
          </w:tcP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مدير إدارة</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13</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4.333</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0.624</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مدير عام / قيادي</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4.667</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0.304</w:t>
            </w:r>
          </w:p>
        </w:tc>
        <w:tc>
          <w:tcPr>
            <w:tcW w:type="dxa" w:w="1871"/>
            <w:vMerge/>
            <w:vAlign w:val="center"/>
          </w:tcPr>
          <w:p/>
        </w:tc>
        <w:tc>
          <w:tcPr>
            <w:tcW w:type="dxa" w:w="1984"/>
            <w:vMerge/>
            <w:vAlign w:val="center"/>
          </w:tcPr>
          <w:p/>
        </w:tc>
        <w:tc>
          <w:tcPr>
            <w:tcW w:type="dxa" w:w="1984"/>
            <w:vMerge/>
            <w:vAlign w:val="center"/>
          </w:tcP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مسميات أخرى</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12</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4.306</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0.699</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التقليدي فروقًا ذات دلالة إحصائية في محور «أثر الحوكمة في الممارسات الاتصالية» بحسب المسمى الوظيفي (</w:t>
      </w:r>
      <w:r>
        <w:rPr>
          <w:rFonts w:ascii="Noto Naskh Arabic" w:hAnsi="Noto Naskh Arabic" w:cs="Noto Naskh Arabic" w:eastAsia="Noto Naskh Arabic"/>
          <w:b w:val="0"/>
          <w:sz w:val="22"/>
          <w:rtl w:val="0"/>
          <w:szCs w:val="22"/>
          <w:bCs w:val="0"/>
        </w:rPr>
        <w:t>‎F = 1.951‎</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5 / 118‎</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0.0910986‎</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(28): المنفعة المدركة من توظيف الحوكمة الرقمية في ممارسات الاتصال المؤسسي بحسب المسمى الوظيفي</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أخصائي/مسؤول اتصال مؤسسي أو علاقات عامة</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56</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4.210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0.442</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2.168</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 / 118</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0.0622757</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أخصائي أول</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23</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4.022</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0.463</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رئيس قسم / مشرف</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16</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4.086</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0.516</w:t>
            </w:r>
          </w:p>
        </w:tc>
        <w:tc>
          <w:tcPr>
            <w:tcW w:type="dxa" w:w="1871"/>
            <w:vMerge/>
            <w:vAlign w:val="center"/>
          </w:tcPr>
          <w:p/>
        </w:tc>
        <w:tc>
          <w:tcPr>
            <w:tcW w:type="dxa" w:w="1984"/>
            <w:vMerge/>
            <w:vAlign w:val="center"/>
          </w:tcPr>
          <w:p/>
        </w:tc>
        <w:tc>
          <w:tcPr>
            <w:tcW w:type="dxa" w:w="1984"/>
            <w:vMerge/>
            <w:vAlign w:val="center"/>
          </w:tcP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مدير إدارة</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13</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4.356</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0.510</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مدير عام / قيادي</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4.750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0.421</w:t>
            </w:r>
          </w:p>
        </w:tc>
        <w:tc>
          <w:tcPr>
            <w:tcW w:type="dxa" w:w="1871"/>
            <w:vMerge/>
            <w:vAlign w:val="center"/>
          </w:tcPr>
          <w:p/>
        </w:tc>
        <w:tc>
          <w:tcPr>
            <w:tcW w:type="dxa" w:w="1984"/>
            <w:vMerge/>
            <w:vAlign w:val="center"/>
          </w:tcPr>
          <w:p/>
        </w:tc>
        <w:tc>
          <w:tcPr>
            <w:tcW w:type="dxa" w:w="1984"/>
            <w:vMerge/>
            <w:vAlign w:val="center"/>
          </w:tcP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مسميات أخرى</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12</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4.292</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0.669</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التقليدي فروقًا ذات دلالة إحصائية في محور «المنفعة المدركة» بحسب المسمى الوظيفي (</w:t>
      </w:r>
      <w:r>
        <w:rPr>
          <w:rFonts w:ascii="Noto Naskh Arabic" w:hAnsi="Noto Naskh Arabic" w:cs="Noto Naskh Arabic" w:eastAsia="Noto Naskh Arabic"/>
          <w:b w:val="0"/>
          <w:sz w:val="22"/>
          <w:rtl w:val="0"/>
          <w:szCs w:val="22"/>
          <w:bCs w:val="0"/>
        </w:rPr>
        <w:t>‎F = 2.168‎</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5 / 118‎</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0.0622757‎</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(29): دور الحوكمة الرقمية في تحقيق البعد المؤسسي للتنمية المستدامة في ضوء رؤية المملكة 2030 بحسب المسمى الوظيفي</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لولش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أخصائي/مسؤول اتصال مؤسسي أو علاقات عامة</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56</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4.207</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0.451</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3.127</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 / 22.543</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0.0272993</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أخصائي أول</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23</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4.117</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0.451</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رئيس قسم / مشرف</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16</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4.062</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0.422</w:t>
            </w:r>
          </w:p>
        </w:tc>
        <w:tc>
          <w:tcPr>
            <w:tcW w:type="dxa" w:w="1871"/>
            <w:vMerge/>
            <w:vAlign w:val="center"/>
          </w:tcPr>
          <w:p/>
        </w:tc>
        <w:tc>
          <w:tcPr>
            <w:tcW w:type="dxa" w:w="1984"/>
            <w:vMerge/>
            <w:vAlign w:val="center"/>
          </w:tcPr>
          <w:p/>
        </w:tc>
        <w:tc>
          <w:tcPr>
            <w:tcW w:type="dxa" w:w="1984"/>
            <w:vMerge/>
            <w:vAlign w:val="center"/>
          </w:tcP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مدير إدارة</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13</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4.377</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0.750</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مدير عام / قيادي</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4.725</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0.275</w:t>
            </w:r>
          </w:p>
        </w:tc>
        <w:tc>
          <w:tcPr>
            <w:tcW w:type="dxa" w:w="1871"/>
            <w:vMerge/>
            <w:vAlign w:val="center"/>
          </w:tcPr>
          <w:p/>
        </w:tc>
        <w:tc>
          <w:tcPr>
            <w:tcW w:type="dxa" w:w="1984"/>
            <w:vMerge/>
            <w:vAlign w:val="center"/>
          </w:tcPr>
          <w:p/>
        </w:tc>
        <w:tc>
          <w:tcPr>
            <w:tcW w:type="dxa" w:w="1984"/>
            <w:vMerge/>
            <w:vAlign w:val="center"/>
          </w:tcP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مسميات أخرى</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12</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4.233</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0.709</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أظهرت نتائج تحليل التباين الأحادي لولش وجود فروق ذات دلالة إحصائية في محور «البعد المؤسسي للتنمية المستدامة» بحسب المسمى الوظيفي (</w:t>
      </w:r>
      <w:r>
        <w:rPr>
          <w:rFonts w:ascii="Noto Naskh Arabic" w:hAnsi="Noto Naskh Arabic" w:cs="Noto Naskh Arabic" w:eastAsia="Noto Naskh Arabic"/>
          <w:b w:val="0"/>
          <w:sz w:val="22"/>
          <w:rtl w:val="0"/>
          <w:szCs w:val="22"/>
          <w:bCs w:val="0"/>
        </w:rPr>
        <w:t>‎F = 3.127‎</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5 / 22.543‎</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0.0272993‎</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&lt; 0.05‎</w:t>
      </w:r>
      <w:r>
        <w:rPr>
          <w:rFonts w:ascii="Noto Naskh Arabic" w:hAnsi="Noto Naskh Arabic" w:cs="Noto Naskh Arabic" w:eastAsia="Noto Naskh Arabic"/>
          <w:b w:val="0"/>
          <w:sz w:val="22"/>
          <w:rtl w:val="1"/>
          <w:szCs w:val="22"/>
          <w:bCs w:val="0"/>
        </w:rPr>
        <w:t xml:space="preserve">). حددت مقارنات Games–Howell البعدية الفروق الآتية: «مدير عام / قيادي» (المتوسط = 4.725) أعلى من «رئيس قسم / مشرف» (المتوسط = 4.062؛ </w:t>
      </w:r>
      <w:r>
        <w:rPr>
          <w:rFonts w:ascii="Noto Naskh Arabic" w:hAnsi="Noto Naskh Arabic" w:cs="Noto Naskh Arabic" w:eastAsia="Noto Naskh Arabic"/>
          <w:b w:val="0"/>
          <w:sz w:val="22"/>
          <w:rtl w:val="0"/>
          <w:szCs w:val="22"/>
          <w:bCs w:val="0"/>
        </w:rPr>
        <w:t>‎Sig = 0.0476023‎</w:t>
      </w:r>
      <w:r>
        <w:rPr>
          <w:rFonts w:ascii="Noto Naskh Arabic" w:hAnsi="Noto Naskh Arabic" w:cs="Noto Naskh Arabic" w:eastAsia="Noto Naskh Arabic"/>
          <w:b w:val="0"/>
          <w:sz w:val="22"/>
          <w:rtl w:val="1"/>
          <w:szCs w:val="22"/>
          <w:bCs w:val="0"/>
        </w:rPr>
        <w:t>). لم تكن بقية المقارنات الزوجية دالة عند مستوى 0.05. وتُقرأ المقارنة مع فئة «مدير عام / قيادي» بحذر لصغر عدد أفرادها (</w:t>
      </w:r>
      <w:r>
        <w:rPr>
          <w:rFonts w:ascii="Noto Naskh Arabic" w:hAnsi="Noto Naskh Arabic" w:cs="Noto Naskh Arabic" w:eastAsia="Noto Naskh Arabic"/>
          <w:b w:val="0"/>
          <w:sz w:val="22"/>
          <w:rtl w:val="0"/>
          <w:szCs w:val="22"/>
          <w:bCs w:val="0"/>
        </w:rPr>
        <w:t>‎N = 4‎</w:t>
      </w:r>
      <w:r>
        <w:rPr>
          <w:rFonts w:ascii="Noto Naskh Arabic" w:hAnsi="Noto Naskh Arabic" w:cs="Noto Naskh Arabic" w:eastAsia="Noto Naskh Arabic"/>
          <w:b w:val="0"/>
          <w:sz w:val="22"/>
          <w:rtl w:val="1"/>
          <w:szCs w:val="22"/>
          <w:bCs w:val="0"/>
        </w:rPr>
        <w:t>).</w:t>
      </w:r>
    </w:p>
    <w:p>
      <w:pPr>
        <w:spacing w:after="100" w:before="0" w:line="252" w:lineRule="auto"/>
        <w:jc w:val="start"/>
        <w:keepNext/>
        <w:bidi w:val="1"/>
      </w:pPr>
      <w:r>
        <w:rPr>
          <w:rFonts w:ascii="Noto Naskh Arabic" w:hAnsi="Noto Naskh Arabic" w:cs="Noto Naskh Arabic" w:eastAsia="Noto Naskh Arabic"/>
          <w:b/>
          <w:sz w:val="22"/>
          <w:rtl w:val="1"/>
          <w:szCs w:val="22"/>
          <w:bCs w:val="1"/>
        </w:rPr>
        <w:t>المقارنات البعدية الدالة للجدول (29) — Games–Howell</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082"/>
        <w:gridCol w:w="4082"/>
        <w:gridCol w:w="2381"/>
        <w:gridCol w:w="2948"/>
        <w:gridCol w:w="1587"/>
      </w:tblGrid>
      <w:tr>
        <w:trPr>
          <w:tblHeader w:val="1"/>
        </w:trPr>
        <w:tc>
          <w:tcPr>
            <w:tcW w:type="dxa" w:w="4082"/>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الفئة الأولى</w:t>
            </w:r>
          </w:p>
        </w:tc>
        <w:tc>
          <w:tcPr>
            <w:tcW w:type="dxa" w:w="4082"/>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الفئة الثانية</w:t>
            </w:r>
          </w:p>
        </w:tc>
        <w:tc>
          <w:tcPr>
            <w:tcW w:type="dxa" w:w="238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فرق المتوسطين (الأولى − الثانية)</w:t>
            </w:r>
          </w:p>
        </w:tc>
        <w:tc>
          <w:tcPr>
            <w:tcW w:type="dxa" w:w="2948"/>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فاصل الثقة 95% لفرق المتوسطين</w:t>
            </w:r>
          </w:p>
        </w:tc>
        <w:tc>
          <w:tcPr>
            <w:tcW w:type="dxa" w:w="158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Sig البعدية</w:t>
            </w:r>
          </w:p>
        </w:tc>
      </w:tr>
      <w:tr>
        <w:trPr>
          <w:cantSplit w:val="1"/>
        </w:trPr>
        <w:tc>
          <w:tcPr>
            <w:tcW w:type="dxa" w:w="4082"/>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رئيس قسم / مشرف</w:t>
            </w:r>
          </w:p>
        </w:tc>
        <w:tc>
          <w:tcPr>
            <w:tcW w:type="dxa" w:w="4082"/>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مدير عام / قيادي</w:t>
            </w:r>
          </w:p>
        </w:tc>
        <w:tc>
          <w:tcPr>
            <w:tcW w:type="dxa" w:w="2381"/>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-0.662</w:t>
            </w:r>
          </w:p>
        </w:tc>
        <w:tc>
          <w:tcPr>
            <w:tcW w:type="dxa" w:w="2948"/>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[-1.318, -0.007]</w:t>
            </w:r>
          </w:p>
        </w:tc>
        <w:tc>
          <w:tcPr>
            <w:tcW w:type="dxa" w:w="158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0.0476023</w:t>
            </w:r>
          </w:p>
        </w:tc>
      </w:tr>
    </w:tbl>
    <w:p>
      <w:pPr>
        <w:spacing w:after="100" w:before="0" w:line="252" w:lineRule="auto"/>
        <w:jc w:val="start"/>
        <w:keepNext w:val="0"/>
        <w:bidi w:val="1"/>
      </w:pPr>
      <w:r>
        <w:rPr>
          <w:rFonts w:ascii="Noto Naskh Arabic" w:hAnsi="Noto Naskh Arabic" w:cs="Noto Naskh Arabic" w:eastAsia="Noto Naskh Arabic"/>
          <w:b w:val="0"/>
          <w:sz w:val="19"/>
          <w:rtl w:val="1"/>
          <w:szCs w:val="19"/>
          <w:bCs w:val="0"/>
        </w:rPr>
        <w:t>الفرق سالب عندما يكون متوسط الفئة الثانية أعلى. جميع المقارنات البعدية، الدالة وغير الدالة، مدرجة في ملف Excel.</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(30): التحديات التي تواجه ممارسي الاتصال المؤسسي عند توظيف الحوكمة الرقمية لتحقيق البعد المؤسسي للتنمية المستدامة بحسب المسمى الوظيفي</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أخصائي/مسؤول اتصال مؤسسي أو علاقات عامة</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56</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3.403</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0.725</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2.830</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 / 118</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0.0188909</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أخصائي أول</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23</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3.575</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0.491</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رئيس قسم / مشرف</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16</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3.521</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0.814</w:t>
            </w:r>
          </w:p>
        </w:tc>
        <w:tc>
          <w:tcPr>
            <w:tcW w:type="dxa" w:w="1871"/>
            <w:vMerge/>
            <w:vAlign w:val="center"/>
          </w:tcPr>
          <w:p/>
        </w:tc>
        <w:tc>
          <w:tcPr>
            <w:tcW w:type="dxa" w:w="1984"/>
            <w:vMerge/>
            <w:vAlign w:val="center"/>
          </w:tcPr>
          <w:p/>
        </w:tc>
        <w:tc>
          <w:tcPr>
            <w:tcW w:type="dxa" w:w="1984"/>
            <w:vMerge/>
            <w:vAlign w:val="center"/>
          </w:tcP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مدير إدارة</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13</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3.769</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0.756</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مدير عام / قيادي</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4.167</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0.834</w:t>
            </w:r>
          </w:p>
        </w:tc>
        <w:tc>
          <w:tcPr>
            <w:tcW w:type="dxa" w:w="1871"/>
            <w:vMerge/>
            <w:vAlign w:val="center"/>
          </w:tcPr>
          <w:p/>
        </w:tc>
        <w:tc>
          <w:tcPr>
            <w:tcW w:type="dxa" w:w="1984"/>
            <w:vMerge/>
            <w:vAlign w:val="center"/>
          </w:tcPr>
          <w:p/>
        </w:tc>
        <w:tc>
          <w:tcPr>
            <w:tcW w:type="dxa" w:w="1984"/>
            <w:vMerge/>
            <w:vAlign w:val="center"/>
          </w:tcP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مسميات أخرى</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12</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4.102</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0.650</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أظهرت نتائج تحليل التباين الأحادي التقليدي وجود فروق ذات دلالة إحصائية في محور «التحديات» بحسب المسمى الوظيفي (</w:t>
      </w:r>
      <w:r>
        <w:rPr>
          <w:rFonts w:ascii="Noto Naskh Arabic" w:hAnsi="Noto Naskh Arabic" w:cs="Noto Naskh Arabic" w:eastAsia="Noto Naskh Arabic"/>
          <w:b w:val="0"/>
          <w:sz w:val="22"/>
          <w:rtl w:val="0"/>
          <w:szCs w:val="22"/>
          <w:bCs w:val="0"/>
        </w:rPr>
        <w:t>‎F = 2.830‎</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5 / 118‎</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0.0188909‎</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&lt; 0.05‎</w:t>
      </w:r>
      <w:r>
        <w:rPr>
          <w:rFonts w:ascii="Noto Naskh Arabic" w:hAnsi="Noto Naskh Arabic" w:cs="Noto Naskh Arabic" w:eastAsia="Noto Naskh Arabic"/>
          <w:b w:val="0"/>
          <w:sz w:val="22"/>
          <w:rtl w:val="1"/>
          <w:szCs w:val="22"/>
          <w:bCs w:val="0"/>
        </w:rPr>
        <w:t xml:space="preserve">). حددت مقارنات Tukey–Kramer البعدية الفروق الآتية: «مسميات أخرى» (المتوسط = 4.102) أعلى من «أخصائي/مسؤول اتصال مؤسسي أو علاقات عامة» (المتوسط = 3.403؛ </w:t>
      </w:r>
      <w:r>
        <w:rPr>
          <w:rFonts w:ascii="Noto Naskh Arabic" w:hAnsi="Noto Naskh Arabic" w:cs="Noto Naskh Arabic" w:eastAsia="Noto Naskh Arabic"/>
          <w:b w:val="0"/>
          <w:sz w:val="22"/>
          <w:rtl w:val="0"/>
          <w:szCs w:val="22"/>
          <w:bCs w:val="0"/>
        </w:rPr>
        <w:t>‎Sig = 0.0253432‎</w:t>
      </w:r>
      <w:r>
        <w:rPr>
          <w:rFonts w:ascii="Noto Naskh Arabic" w:hAnsi="Noto Naskh Arabic" w:cs="Noto Naskh Arabic" w:eastAsia="Noto Naskh Arabic"/>
          <w:b w:val="0"/>
          <w:sz w:val="22"/>
          <w:rtl w:val="1"/>
          <w:szCs w:val="22"/>
          <w:bCs w:val="0"/>
        </w:rPr>
        <w:t>). لم تكن بقية المقارنات الزوجية دالة عند مستوى 0.05. ويشير ارتفاع المتوسط هنا إلى شدة أكبر للتحديات المدركة.</w:t>
      </w:r>
    </w:p>
    <w:p>
      <w:pPr>
        <w:spacing w:after="100" w:before="0" w:line="252" w:lineRule="auto"/>
        <w:jc w:val="start"/>
        <w:keepNext/>
        <w:bidi w:val="1"/>
      </w:pPr>
      <w:r>
        <w:rPr>
          <w:rFonts w:ascii="Noto Naskh Arabic" w:hAnsi="Noto Naskh Arabic" w:cs="Noto Naskh Arabic" w:eastAsia="Noto Naskh Arabic"/>
          <w:b/>
          <w:sz w:val="22"/>
          <w:rtl w:val="1"/>
          <w:szCs w:val="22"/>
          <w:bCs w:val="1"/>
        </w:rPr>
        <w:t>المقارنات البعدية الدالة للجدول (30) — Tukey–Kramer</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082"/>
        <w:gridCol w:w="4082"/>
        <w:gridCol w:w="2381"/>
        <w:gridCol w:w="2948"/>
        <w:gridCol w:w="1587"/>
      </w:tblGrid>
      <w:tr>
        <w:trPr>
          <w:tblHeader w:val="1"/>
        </w:trPr>
        <w:tc>
          <w:tcPr>
            <w:tcW w:type="dxa" w:w="4082"/>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الفئة الأولى</w:t>
            </w:r>
          </w:p>
        </w:tc>
        <w:tc>
          <w:tcPr>
            <w:tcW w:type="dxa" w:w="4082"/>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الفئة الثانية</w:t>
            </w:r>
          </w:p>
        </w:tc>
        <w:tc>
          <w:tcPr>
            <w:tcW w:type="dxa" w:w="238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فرق المتوسطين (الأولى − الثانية)</w:t>
            </w:r>
          </w:p>
        </w:tc>
        <w:tc>
          <w:tcPr>
            <w:tcW w:type="dxa" w:w="2948"/>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فاصل الثقة 95% لفرق المتوسطين</w:t>
            </w:r>
          </w:p>
        </w:tc>
        <w:tc>
          <w:tcPr>
            <w:tcW w:type="dxa" w:w="158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Sig البعدية</w:t>
            </w:r>
          </w:p>
        </w:tc>
      </w:tr>
      <w:tr>
        <w:trPr>
          <w:cantSplit w:val="1"/>
        </w:trPr>
        <w:tc>
          <w:tcPr>
            <w:tcW w:type="dxa" w:w="4082"/>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أخصائي/مسؤول اتصال مؤسسي أو علاقات عامة</w:t>
            </w:r>
          </w:p>
        </w:tc>
        <w:tc>
          <w:tcPr>
            <w:tcW w:type="dxa" w:w="4082"/>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مسميات أخرى</w:t>
            </w:r>
          </w:p>
        </w:tc>
        <w:tc>
          <w:tcPr>
            <w:tcW w:type="dxa" w:w="2381"/>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-0.699</w:t>
            </w:r>
          </w:p>
        </w:tc>
        <w:tc>
          <w:tcPr>
            <w:tcW w:type="dxa" w:w="2948"/>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[-1.344, -0.054]</w:t>
            </w:r>
          </w:p>
        </w:tc>
        <w:tc>
          <w:tcPr>
            <w:tcW w:type="dxa" w:w="158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0.0253432</w:t>
            </w:r>
          </w:p>
        </w:tc>
      </w:tr>
    </w:tbl>
    <w:p>
      <w:pPr>
        <w:spacing w:after="100" w:before="0" w:line="252" w:lineRule="auto"/>
        <w:jc w:val="start"/>
        <w:keepNext w:val="0"/>
        <w:bidi w:val="1"/>
      </w:pPr>
      <w:r>
        <w:rPr>
          <w:rFonts w:ascii="Noto Naskh Arabic" w:hAnsi="Noto Naskh Arabic" w:cs="Noto Naskh Arabic" w:eastAsia="Noto Naskh Arabic"/>
          <w:b w:val="0"/>
          <w:sz w:val="19"/>
          <w:rtl w:val="1"/>
          <w:szCs w:val="19"/>
          <w:bCs w:val="0"/>
        </w:rPr>
        <w:t>الفرق سالب عندما يكون متوسط الفئة الثانية أعلى. جميع المقارنات البعدية، الدالة وغير الدالة، مدرجة في ملف Excel.</w:t>
      </w:r>
    </w:p>
    <w:p>
      <w:pPr>
        <w:spacing w:after="100" w:before="0" w:line="252" w:lineRule="auto"/>
        <w:jc w:val="start"/>
        <w:keepNext/>
        <w:bidi w:val="1"/>
      </w:pPr>
      <w:r>
        <w:rPr>
          <w:rFonts w:ascii="Noto Naskh Arabic" w:hAnsi="Noto Naskh Arabic" w:cs="Noto Naskh Arabic" w:eastAsia="Noto Naskh Arabic"/>
          <w:b/>
          <w:sz w:val="34"/>
          <w:rtl w:val="1"/>
          <w:szCs w:val="34"/>
          <w:bCs w:val="1"/>
        </w:rPr>
        <w:t>الفروق بحسب سنوات الخبرة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(31): مستوى وعي ممارسي الاتصال المؤسسي بمفاهيم ومتطلبات الحوكمة الرقمية بحسب سنوات الخبرة</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سنتان فأقل</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17</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3.143</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0.782</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2.385</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 / 120</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0.0725733</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من 3 إلى 5 سنوات</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31</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3.475</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0.951</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من 6 إلى 10 سنوات</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3.629</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0.764</w:t>
            </w:r>
          </w:p>
        </w:tc>
        <w:tc>
          <w:tcPr>
            <w:tcW w:type="dxa" w:w="1871"/>
            <w:vMerge/>
            <w:vAlign w:val="center"/>
          </w:tcPr>
          <w:p/>
        </w:tc>
        <w:tc>
          <w:tcPr>
            <w:tcW w:type="dxa" w:w="1984"/>
            <w:vMerge/>
            <w:vAlign w:val="center"/>
          </w:tcPr>
          <w:p/>
        </w:tc>
        <w:tc>
          <w:tcPr>
            <w:tcW w:type="dxa" w:w="1984"/>
            <w:vMerge/>
            <w:vAlign w:val="center"/>
          </w:tcP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أكثر من 10 سنوات</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26</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3.802</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0.835</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التقليدي فروقًا ذات دلالة إحصائية في محور «الوعي بالحوكمة الرقمية» بحسب سنوات الخبرة (</w:t>
      </w:r>
      <w:r>
        <w:rPr>
          <w:rFonts w:ascii="Noto Naskh Arabic" w:hAnsi="Noto Naskh Arabic" w:cs="Noto Naskh Arabic" w:eastAsia="Noto Naskh Arabic"/>
          <w:b w:val="0"/>
          <w:sz w:val="22"/>
          <w:rtl w:val="0"/>
          <w:szCs w:val="22"/>
          <w:bCs w:val="0"/>
        </w:rPr>
        <w:t>‎F = 2.385‎</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3 / 120‎</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0.0725733‎</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(32): درجة توظيف ممارسي الاتصال المؤسسي لآليات وتطبيقات الحوكمة الرقمية في ممارساتهم المهنية بحسب سنوات الخبرة</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سنتان فأقل</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17</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3.507</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0.857</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1.226</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 / 120</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0.303396</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من 3 إلى 5 سنوات</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31</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3.847</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0.816</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من 6 إلى 10 سنوات</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3.853</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0.790</w:t>
            </w:r>
          </w:p>
        </w:tc>
        <w:tc>
          <w:tcPr>
            <w:tcW w:type="dxa" w:w="1871"/>
            <w:vMerge/>
            <w:vAlign w:val="center"/>
          </w:tcPr>
          <w:p/>
        </w:tc>
        <w:tc>
          <w:tcPr>
            <w:tcW w:type="dxa" w:w="1984"/>
            <w:vMerge/>
            <w:vAlign w:val="center"/>
          </w:tcPr>
          <w:p/>
        </w:tc>
        <w:tc>
          <w:tcPr>
            <w:tcW w:type="dxa" w:w="1984"/>
            <w:vMerge/>
            <w:vAlign w:val="center"/>
          </w:tcP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أكثر من 10 سنوات</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26</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3.971</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0.733</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التقليدي فروقًا ذات دلالة إحصائية في محور «توظيف الحوكمة الرقمية» بحسب سنوات الخبرة (</w:t>
      </w:r>
      <w:r>
        <w:rPr>
          <w:rFonts w:ascii="Noto Naskh Arabic" w:hAnsi="Noto Naskh Arabic" w:cs="Noto Naskh Arabic" w:eastAsia="Noto Naskh Arabic"/>
          <w:b w:val="0"/>
          <w:sz w:val="22"/>
          <w:rtl w:val="0"/>
          <w:szCs w:val="22"/>
          <w:bCs w:val="0"/>
        </w:rPr>
        <w:t>‎F = 1.226‎</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3 / 120‎</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0.303396‎</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(33): أثر أنظمة وتطبيقات الحوكمة الرقمية في تشكيل ممارسات الاتصال المؤسسي بحسب سنوات الخبرة</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سنتان فأقل</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17</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4.039</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0.597</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0.608</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 / 120</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0.610772</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من 3 إلى 5 سنوات</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31</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4.075</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0.549</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من 6 إلى 10 سنوات</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4.147</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0.456</w:t>
            </w:r>
          </w:p>
        </w:tc>
        <w:tc>
          <w:tcPr>
            <w:tcW w:type="dxa" w:w="1871"/>
            <w:vMerge/>
            <w:vAlign w:val="center"/>
          </w:tcPr>
          <w:p/>
        </w:tc>
        <w:tc>
          <w:tcPr>
            <w:tcW w:type="dxa" w:w="1984"/>
            <w:vMerge/>
            <w:vAlign w:val="center"/>
          </w:tcPr>
          <w:p/>
        </w:tc>
        <w:tc>
          <w:tcPr>
            <w:tcW w:type="dxa" w:w="1984"/>
            <w:vMerge/>
            <w:vAlign w:val="center"/>
          </w:tcP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أكثر من 10 سنوات</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26</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4.231</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0.587</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التقليدي فروقًا ذات دلالة إحصائية في محور «أثر الحوكمة في الممارسات الاتصالية» بحسب سنوات الخبرة (</w:t>
      </w:r>
      <w:r>
        <w:rPr>
          <w:rFonts w:ascii="Noto Naskh Arabic" w:hAnsi="Noto Naskh Arabic" w:cs="Noto Naskh Arabic" w:eastAsia="Noto Naskh Arabic"/>
          <w:b w:val="0"/>
          <w:sz w:val="22"/>
          <w:rtl w:val="0"/>
          <w:szCs w:val="22"/>
          <w:bCs w:val="0"/>
        </w:rPr>
        <w:t>‎F = 0.608‎</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3 / 120‎</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0.610772‎</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(34): المنفعة المدركة من توظيف الحوكمة الرقمية في ممارسات الاتصال المؤسسي بحسب سنوات الخبرة</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سنتان فأقل</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17</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4.213</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0.640</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0.107</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 / 120</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0.955893</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من 3 إلى 5 سنوات</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31</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4.238</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0.560</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من 6 إلى 10 سنوات</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4.188</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0.414</w:t>
            </w:r>
          </w:p>
        </w:tc>
        <w:tc>
          <w:tcPr>
            <w:tcW w:type="dxa" w:w="1871"/>
            <w:vMerge/>
            <w:vAlign w:val="center"/>
          </w:tcPr>
          <w:p/>
        </w:tc>
        <w:tc>
          <w:tcPr>
            <w:tcW w:type="dxa" w:w="1984"/>
            <w:vMerge/>
            <w:vAlign w:val="center"/>
          </w:tcPr>
          <w:p/>
        </w:tc>
        <w:tc>
          <w:tcPr>
            <w:tcW w:type="dxa" w:w="1984"/>
            <w:vMerge/>
            <w:vAlign w:val="center"/>
          </w:tcP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أكثر من 10 سنوات</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26</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4.168</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0.494</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التقليدي فروقًا ذات دلالة إحصائية في محور «المنفعة المدركة» بحسب سنوات الخبرة (</w:t>
      </w:r>
      <w:r>
        <w:rPr>
          <w:rFonts w:ascii="Noto Naskh Arabic" w:hAnsi="Noto Naskh Arabic" w:cs="Noto Naskh Arabic" w:eastAsia="Noto Naskh Arabic"/>
          <w:b w:val="0"/>
          <w:sz w:val="22"/>
          <w:rtl w:val="0"/>
          <w:szCs w:val="22"/>
          <w:bCs w:val="0"/>
        </w:rPr>
        <w:t>‎F = 0.107‎</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3 / 120‎</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0.955893‎</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(35): دور الحوكمة الرقمية في تحقيق البعد المؤسسي للتنمية المستدامة في ضوء رؤية المملكة 2030 بحسب سنوات الخبرة</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سنتان فأقل</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17</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4.276</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0.609</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0.183</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 / 120</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0.907659</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من 3 إلى 5 سنوات</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31</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4.219</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0.557</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من 6 إلى 10 سنوات</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4.206</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0.471</w:t>
            </w:r>
          </w:p>
        </w:tc>
        <w:tc>
          <w:tcPr>
            <w:tcW w:type="dxa" w:w="1871"/>
            <w:vMerge/>
            <w:vAlign w:val="center"/>
          </w:tcPr>
          <w:p/>
        </w:tc>
        <w:tc>
          <w:tcPr>
            <w:tcW w:type="dxa" w:w="1984"/>
            <w:vMerge/>
            <w:vAlign w:val="center"/>
          </w:tcPr>
          <w:p/>
        </w:tc>
        <w:tc>
          <w:tcPr>
            <w:tcW w:type="dxa" w:w="1984"/>
            <w:vMerge/>
            <w:vAlign w:val="center"/>
          </w:tcP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أكثر من 10 سنوات</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26</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4.158</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0.512</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التقليدي فروقًا ذات دلالة إحصائية في محور «البعد المؤسسي للتنمية المستدامة» بحسب سنوات الخبرة (</w:t>
      </w:r>
      <w:r>
        <w:rPr>
          <w:rFonts w:ascii="Noto Naskh Arabic" w:hAnsi="Noto Naskh Arabic" w:cs="Noto Naskh Arabic" w:eastAsia="Noto Naskh Arabic"/>
          <w:b w:val="0"/>
          <w:sz w:val="22"/>
          <w:rtl w:val="0"/>
          <w:szCs w:val="22"/>
          <w:bCs w:val="0"/>
        </w:rPr>
        <w:t>‎F = 0.183‎</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3 / 120‎</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0.907659‎</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(36): التحديات التي تواجه ممارسي الاتصال المؤسسي عند توظيف الحوكمة الرقمية لتحقيق البعد المؤسسي للتنمية المستدامة بحسب سنوات الخبرة</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سنتان فأقل</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17</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3.863</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0.609</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1.042</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 / 120</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0.376604</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من 3 إلى 5 سنوات</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31</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3.573</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0.800</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من 6 إلى 10 سنوات</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50</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3.511</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0.676</w:t>
            </w:r>
          </w:p>
        </w:tc>
        <w:tc>
          <w:tcPr>
            <w:tcW w:type="dxa" w:w="1871"/>
            <w:vMerge/>
            <w:vAlign w:val="center"/>
          </w:tcPr>
          <w:p/>
        </w:tc>
        <w:tc>
          <w:tcPr>
            <w:tcW w:type="dxa" w:w="1984"/>
            <w:vMerge/>
            <w:vAlign w:val="center"/>
          </w:tcPr>
          <w:p/>
        </w:tc>
        <w:tc>
          <w:tcPr>
            <w:tcW w:type="dxa" w:w="1984"/>
            <w:vMerge/>
            <w:vAlign w:val="center"/>
          </w:tcP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أكثر من 10 سنوات</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26</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3.538</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0.787</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التقليدي فروقًا ذات دلالة إحصائية في محور «التحديات» بحسب سنوات الخبرة (</w:t>
      </w:r>
      <w:r>
        <w:rPr>
          <w:rFonts w:ascii="Noto Naskh Arabic" w:hAnsi="Noto Naskh Arabic" w:cs="Noto Naskh Arabic" w:eastAsia="Noto Naskh Arabic"/>
          <w:b w:val="0"/>
          <w:sz w:val="22"/>
          <w:rtl w:val="0"/>
          <w:szCs w:val="22"/>
          <w:bCs w:val="0"/>
        </w:rPr>
        <w:t>‎F = 1.042‎</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3 / 120‎</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0.376604‎</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34"/>
          <w:rtl w:val="1"/>
          <w:szCs w:val="34"/>
          <w:bCs w:val="1"/>
        </w:rPr>
        <w:t>الفروق بحسب القطاع</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(37): مستوى وعي ممارسي الاتصال المؤسسي بمفاهيم ومتطلبات الحوكمة الرقمية بحسب القطاع</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حكومي / شبه حكومي</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45</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3.546</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0.804</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2.831</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 / 121</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0.0628683</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قطاع خاص</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55</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3.421</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0.799</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قطاع غير ربحي</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3.905</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0.955</w:t>
            </w:r>
          </w:p>
        </w:tc>
        <w:tc>
          <w:tcPr>
            <w:tcW w:type="dxa" w:w="1871"/>
            <w:vMerge/>
            <w:vAlign w:val="center"/>
          </w:tcPr>
          <w:p/>
        </w:tc>
        <w:tc>
          <w:tcPr>
            <w:tcW w:type="dxa" w:w="1984"/>
            <w:vMerge/>
            <w:vAlign w:val="center"/>
          </w:tcPr>
          <w:p/>
        </w:tc>
        <w:tc>
          <w:tcPr>
            <w:tcW w:type="dxa" w:w="1984"/>
            <w:vMerge/>
            <w:vAlign w:val="center"/>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التقليدي فروقًا ذات دلالة إحصائية في محور «الوعي بالحوكمة الرقمية» بحسب القطاع (</w:t>
      </w:r>
      <w:r>
        <w:rPr>
          <w:rFonts w:ascii="Noto Naskh Arabic" w:hAnsi="Noto Naskh Arabic" w:cs="Noto Naskh Arabic" w:eastAsia="Noto Naskh Arabic"/>
          <w:b w:val="0"/>
          <w:sz w:val="22"/>
          <w:rtl w:val="0"/>
          <w:szCs w:val="22"/>
          <w:bCs w:val="0"/>
        </w:rPr>
        <w:t>‎F = 2.831‎</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2 / 121‎</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0.0628683‎</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(38): درجة توظيف ممارسي الاتصال المؤسسي لآليات وتطبيقات الحوكمة الرقمية في ممارساتهم المهنية بحسب القطاع</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لولش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حكومي / شبه حكومي</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45</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3.739</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0.735</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13.656</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 / 77.400</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8.32614e-06</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قطاع خاص</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55</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3.682</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0.887</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قطاع غير ربحي</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4.333</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0.425</w:t>
            </w:r>
          </w:p>
        </w:tc>
        <w:tc>
          <w:tcPr>
            <w:tcW w:type="dxa" w:w="1871"/>
            <w:vMerge/>
            <w:vAlign w:val="center"/>
          </w:tcPr>
          <w:p/>
        </w:tc>
        <w:tc>
          <w:tcPr>
            <w:tcW w:type="dxa" w:w="1984"/>
            <w:vMerge/>
            <w:vAlign w:val="center"/>
          </w:tcPr>
          <w:p/>
        </w:tc>
        <w:tc>
          <w:tcPr>
            <w:tcW w:type="dxa" w:w="1984"/>
            <w:vMerge/>
            <w:vAlign w:val="center"/>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أظهرت نتائج تحليل التباين الأحادي لولش وجود فروق ذات دلالة إحصائية في محور «توظيف الحوكمة الرقمية» بحسب القطاع (</w:t>
      </w:r>
      <w:r>
        <w:rPr>
          <w:rFonts w:ascii="Noto Naskh Arabic" w:hAnsi="Noto Naskh Arabic" w:cs="Noto Naskh Arabic" w:eastAsia="Noto Naskh Arabic"/>
          <w:b w:val="0"/>
          <w:sz w:val="22"/>
          <w:rtl w:val="0"/>
          <w:szCs w:val="22"/>
          <w:bCs w:val="0"/>
        </w:rPr>
        <w:t>‎F = 13.656‎</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2 / 77.400‎</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8.32614e-06‎</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&lt; 0.05‎</w:t>
      </w:r>
      <w:r>
        <w:rPr>
          <w:rFonts w:ascii="Noto Naskh Arabic" w:hAnsi="Noto Naskh Arabic" w:cs="Noto Naskh Arabic" w:eastAsia="Noto Naskh Arabic"/>
          <w:b w:val="0"/>
          <w:sz w:val="22"/>
          <w:rtl w:val="1"/>
          <w:szCs w:val="22"/>
          <w:bCs w:val="0"/>
        </w:rPr>
        <w:t xml:space="preserve">). حددت مقارنات Games–Howell البعدية الفروق الآتية: «قطاع غير ربحي» (المتوسط = 4.333) أعلى من «حكومي / شبه حكومي» (المتوسط = 3.739؛ </w:t>
      </w:r>
      <w:r>
        <w:rPr>
          <w:rFonts w:ascii="Noto Naskh Arabic" w:hAnsi="Noto Naskh Arabic" w:cs="Noto Naskh Arabic" w:eastAsia="Noto Naskh Arabic"/>
          <w:b w:val="0"/>
          <w:sz w:val="22"/>
          <w:rtl w:val="0"/>
          <w:szCs w:val="22"/>
          <w:bCs w:val="0"/>
        </w:rPr>
        <w:t>‎Sig = 0.000195927‎</w:t>
      </w:r>
      <w:r>
        <w:rPr>
          <w:rFonts w:ascii="Noto Naskh Arabic" w:hAnsi="Noto Naskh Arabic" w:cs="Noto Naskh Arabic" w:eastAsia="Noto Naskh Arabic"/>
          <w:b w:val="0"/>
          <w:sz w:val="22"/>
          <w:rtl w:val="1"/>
          <w:szCs w:val="22"/>
          <w:bCs w:val="0"/>
        </w:rPr>
        <w:t xml:space="preserve">)؛ «قطاع غير ربحي» (المتوسط = 4.333) أعلى من «قطاع خاص» (المتوسط = 3.682؛ </w:t>
      </w:r>
      <w:r>
        <w:rPr>
          <w:rFonts w:ascii="Noto Naskh Arabic" w:hAnsi="Noto Naskh Arabic" w:cs="Noto Naskh Arabic" w:eastAsia="Noto Naskh Arabic"/>
          <w:b w:val="0"/>
          <w:sz w:val="22"/>
          <w:rtl w:val="0"/>
          <w:szCs w:val="22"/>
          <w:bCs w:val="0"/>
        </w:rPr>
        <w:t>‎Sig = 9.80884e-05‎</w:t>
      </w:r>
      <w:r>
        <w:rPr>
          <w:rFonts w:ascii="Noto Naskh Arabic" w:hAnsi="Noto Naskh Arabic" w:cs="Noto Naskh Arabic" w:eastAsia="Noto Naskh Arabic"/>
          <w:b w:val="0"/>
          <w:sz w:val="22"/>
          <w:rtl w:val="1"/>
          <w:szCs w:val="22"/>
          <w:bCs w:val="0"/>
        </w:rPr>
        <w:t>). لم تكن بقية المقارنات الزوجية دالة عند مستوى 0.05.</w:t>
      </w:r>
    </w:p>
    <w:p>
      <w:pPr>
        <w:spacing w:after="100" w:before="0" w:line="252" w:lineRule="auto"/>
        <w:jc w:val="start"/>
        <w:keepNext/>
        <w:bidi w:val="1"/>
      </w:pPr>
      <w:r>
        <w:rPr>
          <w:rFonts w:ascii="Noto Naskh Arabic" w:hAnsi="Noto Naskh Arabic" w:cs="Noto Naskh Arabic" w:eastAsia="Noto Naskh Arabic"/>
          <w:b/>
          <w:sz w:val="22"/>
          <w:rtl w:val="1"/>
          <w:szCs w:val="22"/>
          <w:bCs w:val="1"/>
        </w:rPr>
        <w:t>المقارنات البعدية الدالة للجدول (38) — Games–Howell</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082"/>
        <w:gridCol w:w="4082"/>
        <w:gridCol w:w="2381"/>
        <w:gridCol w:w="2948"/>
        <w:gridCol w:w="1587"/>
      </w:tblGrid>
      <w:tr>
        <w:trPr>
          <w:tblHeader w:val="1"/>
        </w:trPr>
        <w:tc>
          <w:tcPr>
            <w:tcW w:type="dxa" w:w="4082"/>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الفئة الأولى</w:t>
            </w:r>
          </w:p>
        </w:tc>
        <w:tc>
          <w:tcPr>
            <w:tcW w:type="dxa" w:w="4082"/>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الفئة الثانية</w:t>
            </w:r>
          </w:p>
        </w:tc>
        <w:tc>
          <w:tcPr>
            <w:tcW w:type="dxa" w:w="238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فرق المتوسطين (الأولى − الثانية)</w:t>
            </w:r>
          </w:p>
        </w:tc>
        <w:tc>
          <w:tcPr>
            <w:tcW w:type="dxa" w:w="2948"/>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فاصل الثقة 95% لفرق المتوسطين</w:t>
            </w:r>
          </w:p>
        </w:tc>
        <w:tc>
          <w:tcPr>
            <w:tcW w:type="dxa" w:w="158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Sig البعدية</w:t>
            </w:r>
          </w:p>
        </w:tc>
      </w:tr>
      <w:tr>
        <w:trPr>
          <w:cantSplit w:val="1"/>
        </w:trPr>
        <w:tc>
          <w:tcPr>
            <w:tcW w:type="dxa" w:w="4082"/>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حكومي / شبه حكومي</w:t>
            </w:r>
          </w:p>
        </w:tc>
        <w:tc>
          <w:tcPr>
            <w:tcW w:type="dxa" w:w="4082"/>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قطاع غير ربحي</w:t>
            </w:r>
          </w:p>
        </w:tc>
        <w:tc>
          <w:tcPr>
            <w:tcW w:type="dxa" w:w="2381"/>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-0.594</w:t>
            </w:r>
          </w:p>
        </w:tc>
        <w:tc>
          <w:tcPr>
            <w:tcW w:type="dxa" w:w="2948"/>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[-0.929, -0.260]</w:t>
            </w:r>
          </w:p>
        </w:tc>
        <w:tc>
          <w:tcPr>
            <w:tcW w:type="dxa" w:w="158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0.000195927</w:t>
            </w:r>
          </w:p>
        </w:tc>
      </w:tr>
      <w:tr>
        <w:trPr>
          <w:cantSplit w:val="1"/>
        </w:trPr>
        <w:tc>
          <w:tcPr>
            <w:tcW w:type="dxa" w:w="4082"/>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قطاع خاص</w:t>
            </w:r>
          </w:p>
        </w:tc>
        <w:tc>
          <w:tcPr>
            <w:tcW w:type="dxa" w:w="4082"/>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قطاع غير ربحي</w:t>
            </w:r>
          </w:p>
        </w:tc>
        <w:tc>
          <w:tcPr>
            <w:tcW w:type="dxa" w:w="2381"/>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-0.652</w:t>
            </w:r>
          </w:p>
        </w:tc>
        <w:tc>
          <w:tcPr>
            <w:tcW w:type="dxa" w:w="2948"/>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[-1.005, -0.298]</w:t>
            </w:r>
          </w:p>
        </w:tc>
        <w:tc>
          <w:tcPr>
            <w:tcW w:type="dxa" w:w="158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9.80884e-05</w:t>
            </w:r>
          </w:p>
        </w:tc>
      </w:tr>
    </w:tbl>
    <w:p>
      <w:pPr>
        <w:spacing w:after="100" w:before="0" w:line="252" w:lineRule="auto"/>
        <w:jc w:val="start"/>
        <w:keepNext w:val="0"/>
        <w:bidi w:val="1"/>
      </w:pPr>
      <w:r>
        <w:rPr>
          <w:rFonts w:ascii="Noto Naskh Arabic" w:hAnsi="Noto Naskh Arabic" w:cs="Noto Naskh Arabic" w:eastAsia="Noto Naskh Arabic"/>
          <w:b w:val="0"/>
          <w:sz w:val="19"/>
          <w:rtl w:val="1"/>
          <w:szCs w:val="19"/>
          <w:bCs w:val="0"/>
        </w:rPr>
        <w:t>الفرق سالب عندما يكون متوسط الفئة الثانية أعلى. جميع المقارنات البعدية، الدالة وغير الدالة، مدرجة في ملف Excel.</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(39): أثر أنظمة وتطبيقات الحوكمة الرقمية في تشكيل ممارسات الاتصال المؤسسي بحسب القطاع</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حكومي / شبه حكومي</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45</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4.093</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0.461</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2.765</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 / 121</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0.0669384</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قطاع خاص</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55</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4.067</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0.555</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قطاع غير ربحي</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4.354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0.535</w:t>
            </w:r>
          </w:p>
        </w:tc>
        <w:tc>
          <w:tcPr>
            <w:tcW w:type="dxa" w:w="1871"/>
            <w:vMerge/>
            <w:vAlign w:val="center"/>
          </w:tcPr>
          <w:p/>
        </w:tc>
        <w:tc>
          <w:tcPr>
            <w:tcW w:type="dxa" w:w="1984"/>
            <w:vMerge/>
            <w:vAlign w:val="center"/>
          </w:tcPr>
          <w:p/>
        </w:tc>
        <w:tc>
          <w:tcPr>
            <w:tcW w:type="dxa" w:w="1984"/>
            <w:vMerge/>
            <w:vAlign w:val="center"/>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التقليدي فروقًا ذات دلالة إحصائية في محور «أثر الحوكمة في الممارسات الاتصالية» بحسب القطاع (</w:t>
      </w:r>
      <w:r>
        <w:rPr>
          <w:rFonts w:ascii="Noto Naskh Arabic" w:hAnsi="Noto Naskh Arabic" w:cs="Noto Naskh Arabic" w:eastAsia="Noto Naskh Arabic"/>
          <w:b w:val="0"/>
          <w:sz w:val="22"/>
          <w:rtl w:val="0"/>
          <w:szCs w:val="22"/>
          <w:bCs w:val="0"/>
        </w:rPr>
        <w:t>‎F = 2.765‎</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2 / 121‎</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0.0669384‎</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(40): المنفعة المدركة من توظيف الحوكمة الرقمية في ممارسات الاتصال المؤسسي بحسب القطاع</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حكومي / شبه حكومي</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45</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4.142</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0.461</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3.062</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 / 121</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0.0504463</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قطاع خاص</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55</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4.150</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0.483</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قطاع غير ربحي</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4.422</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0.559</w:t>
            </w:r>
          </w:p>
        </w:tc>
        <w:tc>
          <w:tcPr>
            <w:tcW w:type="dxa" w:w="1871"/>
            <w:vMerge/>
            <w:vAlign w:val="center"/>
          </w:tcPr>
          <w:p/>
        </w:tc>
        <w:tc>
          <w:tcPr>
            <w:tcW w:type="dxa" w:w="1984"/>
            <w:vMerge/>
            <w:vAlign w:val="center"/>
          </w:tcPr>
          <w:p/>
        </w:tc>
        <w:tc>
          <w:tcPr>
            <w:tcW w:type="dxa" w:w="1984"/>
            <w:vMerge/>
            <w:vAlign w:val="center"/>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التقليدي فروقًا ذات دلالة إحصائية في محور «المنفعة المدركة» بحسب القطاع (</w:t>
      </w:r>
      <w:r>
        <w:rPr>
          <w:rFonts w:ascii="Noto Naskh Arabic" w:hAnsi="Noto Naskh Arabic" w:cs="Noto Naskh Arabic" w:eastAsia="Noto Naskh Arabic"/>
          <w:b w:val="0"/>
          <w:sz w:val="22"/>
          <w:rtl w:val="0"/>
          <w:szCs w:val="22"/>
          <w:bCs w:val="0"/>
        </w:rPr>
        <w:t>‎F = 3.062‎</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2 / 121‎</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0.0504463‎</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(41): دور الحوكمة الرقمية في تحقيق البعد المؤسسي للتنمية المستدامة في ضوء رؤية المملكة 2030 بحسب القطاع</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حكومي / شبه حكومي</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45</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4.184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0.430</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2.571</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 / 121</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0.0806142</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قطاع خاص</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55</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4.138</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0.525</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قطاع غير ربحي</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4.417</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0.606</w:t>
            </w:r>
          </w:p>
        </w:tc>
        <w:tc>
          <w:tcPr>
            <w:tcW w:type="dxa" w:w="1871"/>
            <w:vMerge/>
            <w:vAlign w:val="center"/>
          </w:tcPr>
          <w:p/>
        </w:tc>
        <w:tc>
          <w:tcPr>
            <w:tcW w:type="dxa" w:w="1984"/>
            <w:vMerge/>
            <w:vAlign w:val="center"/>
          </w:tcPr>
          <w:p/>
        </w:tc>
        <w:tc>
          <w:tcPr>
            <w:tcW w:type="dxa" w:w="1984"/>
            <w:vMerge/>
            <w:vAlign w:val="center"/>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التقليدي فروقًا ذات دلالة إحصائية في محور «البعد المؤسسي للتنمية المستدامة» بحسب القطاع (</w:t>
      </w:r>
      <w:r>
        <w:rPr>
          <w:rFonts w:ascii="Noto Naskh Arabic" w:hAnsi="Noto Naskh Arabic" w:cs="Noto Naskh Arabic" w:eastAsia="Noto Naskh Arabic"/>
          <w:b w:val="0"/>
          <w:sz w:val="22"/>
          <w:rtl w:val="0"/>
          <w:szCs w:val="22"/>
          <w:bCs w:val="0"/>
        </w:rPr>
        <w:t>‎F = 2.571‎</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2 / 121‎</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0.0806142‎</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pPr>
        <w:spacing w:after="100" w:before="0" w:line="252" w:lineRule="auto"/>
        <w:jc w:val="start"/>
        <w:keepNext/>
        <w:bidi w:val="1"/>
      </w:pPr>
      <w:r>
        <w:rPr>
          <w:rFonts w:ascii="Noto Naskh Arabic" w:hAnsi="Noto Naskh Arabic" w:cs="Noto Naskh Arabic" w:eastAsia="Noto Naskh Arabic"/>
          <w:b/>
          <w:sz w:val="24"/>
          <w:rtl w:val="1"/>
          <w:szCs w:val="24"/>
          <w:bCs w:val="1"/>
        </w:rPr>
        <w:t>جدول (42): التحديات التي تواجه ممارسي الاتصال المؤسسي عند توظيف الحوكمة الرقمية لتحقيق البعد المؤسسي للتنمية المستدامة بحسب القطاع</w:t>
      </w:r>
    </w:p>
    <w:p>
      <w:pPr>
        <w:spacing w:after="100" w:before="0" w:line="252" w:lineRule="auto"/>
        <w:jc w:val="start"/>
        <w:keepNext/>
        <w:bidi w:val="1"/>
      </w:pPr>
      <w:r>
        <w:rPr>
          <w:rFonts w:ascii="Noto Naskh Arabic" w:hAnsi="Noto Naskh Arabic" w:cs="Noto Naskh Arabic" w:eastAsia="Noto Naskh Arabic"/>
          <w:b w:val="0"/>
          <w:sz w:val="20"/>
          <w:rtl w:val="1"/>
          <w:szCs w:val="20"/>
          <w:bCs w:val="0"/>
        </w:rPr>
        <w:t xml:space="preserve">الاختبار: تحليل التباين الأحادي التقليدي | إجمالي </w:t>
      </w:r>
      <w:r>
        <w:rPr>
          <w:rFonts w:ascii="Noto Naskh Arabic" w:hAnsi="Noto Naskh Arabic" w:cs="Noto Naskh Arabic" w:eastAsia="Noto Naskh Arabic"/>
          <w:b w:val="0"/>
          <w:sz w:val="20"/>
          <w:rtl w:val="0"/>
          <w:szCs w:val="20"/>
          <w:bCs w:val="0"/>
        </w:rPr>
        <w:t>‎N = 124‎</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4819"/>
        <w:gridCol w:w="907"/>
        <w:gridCol w:w="1757"/>
        <w:gridCol w:w="1757"/>
        <w:gridCol w:w="1871"/>
        <w:gridCol w:w="1984"/>
        <w:gridCol w:w="1984"/>
      </w:tblGrid>
      <w:tr>
        <w:trPr>
          <w:tblHeader w:val="1"/>
        </w:trPr>
        <w:tc>
          <w:tcPr>
            <w:tcW w:type="dxa" w:w="4819"/>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 والفئات</w:t>
            </w:r>
          </w:p>
        </w:tc>
        <w:tc>
          <w:tcPr>
            <w:tcW w:type="dxa" w:w="90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العدد N</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المتوسط الحسابي</w:t>
            </w:r>
          </w:p>
        </w:tc>
        <w:tc>
          <w:tcPr>
            <w:tcW w:type="dxa" w:w="1757"/>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الانحراف المعياري</w:t>
            </w:r>
          </w:p>
        </w:tc>
        <w:tc>
          <w:tcPr>
            <w:tcW w:type="dxa" w:w="187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قيمة t أو 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درجات الحرية df</w:t>
            </w:r>
          </w:p>
        </w:tc>
        <w:tc>
          <w:tcPr>
            <w:tcW w:type="dxa" w:w="198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الدلالة Sig</w:t>
            </w: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حكومي / شبه حكومي</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45</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3.528</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0.801</w:t>
            </w:r>
          </w:p>
        </w:tc>
        <w:tc>
          <w:tcPr>
            <w:tcW w:type="dxa" w:w="1871"/>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F = 0.301</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 / 121</w:t>
            </w:r>
          </w:p>
        </w:tc>
        <w:tc>
          <w:tcPr>
            <w:tcW w:type="dxa" w:w="1984"/>
            <w:vMerge w:val="restart"/>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0.740354</w:t>
            </w:r>
          </w:p>
        </w:tc>
      </w:tr>
      <w:tr>
        <w:trPr>
          <w:cantSplit w:val="1"/>
        </w:trPr>
        <w:tc>
          <w:tcPr>
            <w:tcW w:type="dxa" w:w="4819"/>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قطاع خاص</w:t>
            </w:r>
          </w:p>
        </w:tc>
        <w:tc>
          <w:tcPr>
            <w:tcW w:type="dxa" w:w="90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55</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3.584</w:t>
            </w:r>
          </w:p>
        </w:tc>
        <w:tc>
          <w:tcPr>
            <w:tcW w:type="dxa" w:w="1757"/>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0.635</w:t>
            </w:r>
          </w:p>
        </w:tc>
        <w:tc>
          <w:tcPr>
            <w:tcW w:type="dxa" w:w="1871"/>
            <w:vAlign w:val="center"/>
            <w:vMerge/>
            <w:shd w:fill="F7F9FB"/>
          </w:tcPr>
          <w:p/>
        </w:tc>
        <w:tc>
          <w:tcPr>
            <w:tcW w:type="dxa" w:w="1984"/>
            <w:vAlign w:val="center"/>
            <w:vMerge/>
            <w:shd w:fill="F7F9FB"/>
          </w:tcPr>
          <w:p/>
        </w:tc>
        <w:tc>
          <w:tcPr>
            <w:tcW w:type="dxa" w:w="1984"/>
            <w:vAlign w:val="center"/>
            <w:vMerge/>
            <w:shd w:fill="F7F9FB"/>
          </w:tcPr>
          <w:p/>
        </w:tc>
      </w:tr>
      <w:tr>
        <w:trPr>
          <w:cantSplit w:val="1"/>
        </w:trPr>
        <w:tc>
          <w:tcPr>
            <w:tcW w:type="dxa" w:w="4819"/>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قطاع غير ربحي</w:t>
            </w:r>
          </w:p>
        </w:tc>
        <w:tc>
          <w:tcPr>
            <w:tcW w:type="dxa" w:w="90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24</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3.671</w:t>
            </w:r>
          </w:p>
        </w:tc>
        <w:tc>
          <w:tcPr>
            <w:tcW w:type="dxa" w:w="1757"/>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0.789</w:t>
            </w:r>
          </w:p>
        </w:tc>
        <w:tc>
          <w:tcPr>
            <w:tcW w:type="dxa" w:w="1871"/>
            <w:vMerge/>
            <w:vAlign w:val="center"/>
          </w:tcPr>
          <w:p/>
        </w:tc>
        <w:tc>
          <w:tcPr>
            <w:tcW w:type="dxa" w:w="1984"/>
            <w:vMerge/>
            <w:vAlign w:val="center"/>
          </w:tcPr>
          <w:p/>
        </w:tc>
        <w:tc>
          <w:tcPr>
            <w:tcW w:type="dxa" w:w="1984"/>
            <w:vMerge/>
            <w:vAlign w:val="center"/>
          </w:tcPr>
          <w:p/>
        </w:tc>
      </w:tr>
    </w:tbl>
    <w:p>
      <w:pPr>
        <w:spacing w:after="100" w:before="0" w:line="252" w:lineRule="auto"/>
        <w:jc w:val="start"/>
        <w:keepNext w:val="0"/>
        <w:bidi w:val="1"/>
      </w:pPr>
      <w:r>
        <w:rPr>
          <w:rFonts w:ascii="Noto Naskh Arabic" w:hAnsi="Noto Naskh Arabic" w:cs="Noto Naskh Arabic" w:eastAsia="Noto Naskh Arabic"/>
          <w:b w:val="0"/>
          <w:sz w:val="22"/>
          <w:rtl w:val="1"/>
          <w:szCs w:val="22"/>
          <w:bCs w:val="0"/>
        </w:rPr>
        <w:t>لم تُظهر نتائج تحليل التباين الأحادي التقليدي فروقًا ذات دلالة إحصائية في محور «التحديات» بحسب القطاع (</w:t>
      </w:r>
      <w:r>
        <w:rPr>
          <w:rFonts w:ascii="Noto Naskh Arabic" w:hAnsi="Noto Naskh Arabic" w:cs="Noto Naskh Arabic" w:eastAsia="Noto Naskh Arabic"/>
          <w:b w:val="0"/>
          <w:sz w:val="22"/>
          <w:rtl w:val="0"/>
          <w:szCs w:val="22"/>
          <w:bCs w:val="0"/>
        </w:rPr>
        <w:t>‎F = 0.301‎</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‎df = 2 / 121‎</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0.740354‎</w:t>
      </w:r>
      <w:r>
        <w:rPr>
          <w:rFonts w:ascii="Noto Naskh Arabic" w:hAnsi="Noto Naskh Arabic" w:cs="Noto Naskh Arabic" w:eastAsia="Noto Naskh Arabic"/>
          <w:b w:val="0"/>
          <w:sz w:val="22"/>
          <w:rtl w:val="1"/>
          <w:szCs w:val="22"/>
          <w:bCs w:val="0"/>
        </w:rPr>
        <w:t xml:space="preserve">؛ </w:t>
      </w:r>
      <w:r>
        <w:rPr>
          <w:rFonts w:ascii="Noto Naskh Arabic" w:hAnsi="Noto Naskh Arabic" w:cs="Noto Naskh Arabic" w:eastAsia="Noto Naskh Arabic"/>
          <w:b w:val="0"/>
          <w:sz w:val="22"/>
          <w:rtl w:val="0"/>
          <w:szCs w:val="22"/>
          <w:bCs w:val="0"/>
        </w:rPr>
        <w:t>‎Sig ≥ 0.05‎</w:t>
      </w:r>
      <w:r>
        <w:rPr>
          <w:rFonts w:ascii="Noto Naskh Arabic" w:hAnsi="Noto Naskh Arabic" w:cs="Noto Naskh Arabic" w:eastAsia="Noto Naskh Arabic"/>
          <w:b w:val="0"/>
          <w:sz w:val="22"/>
          <w:rtl w:val="1"/>
          <w:szCs w:val="22"/>
          <w:bCs w:val="0"/>
        </w:rPr>
        <w:t>). وعليه، لا تكفي الفروق الوصفية بين متوسطات الفئات للاستدلال على اختلاف هذا المحور إحصائيًا في البيانات محل الدراسة.</w:t>
      </w:r>
    </w:p>
    <w:p>
      <w:r>
        <w:br w:type="page"/>
      </w:r>
    </w:p>
    <w:p>
      <w:pPr>
        <w:spacing w:after="100" w:before="0" w:line="252" w:lineRule="auto"/>
        <w:jc w:val="start"/>
        <w:keepNext/>
        <w:bidi w:val="1"/>
      </w:pPr>
      <w:r>
        <w:rPr>
          <w:rFonts w:ascii="Noto Naskh Arabic" w:hAnsi="Noto Naskh Arabic" w:cs="Noto Naskh Arabic" w:eastAsia="Noto Naskh Arabic"/>
          <w:b/>
          <w:sz w:val="32"/>
          <w:rtl w:val="1"/>
          <w:szCs w:val="32"/>
          <w:bCs w:val="1"/>
        </w:rPr>
        <w:t>الإجابة العلمية عن التساؤل الخامس</w:t>
      </w:r>
    </w:p>
    <w:p>
      <w:pPr>
        <w:spacing w:after="100" w:before="0" w:line="252" w:lineRule="auto"/>
        <w:jc w:val="start"/>
        <w:keepNext w:val="0"/>
        <w:bidi w:val="1"/>
      </w:pPr>
      <w:r>
        <w:rPr>
          <w:rFonts w:ascii="Noto Naskh Arabic" w:hAnsi="Noto Naskh Arabic" w:cs="Noto Naskh Arabic" w:eastAsia="Noto Naskh Arabic"/>
          <w:b w:val="0"/>
          <w:sz w:val="24"/>
          <w:rtl w:val="1"/>
          <w:szCs w:val="24"/>
          <w:bCs w:val="0"/>
        </w:rPr>
        <w:t>تشير النتائج إلى وجود فروق دالة في بعض محاور الدراسة بحسب بعض الخصائص الديموغرافية والوظيفية؛ فقد بلغ عدد الاختبارات الكلية الدالة 6 من أصل 42 اختبارًا عند مستوى 0.05، وفق قيم Sig الأصلية دون تصحيح Holm.</w:t>
      </w:r>
    </w:p>
    <w:p>
      <w:pPr>
        <w:spacing w:after="100" w:before="0" w:line="252" w:lineRule="auto"/>
        <w:jc w:val="start"/>
        <w:keepNext w:val="0"/>
        <w:bidi w:val="1"/>
      </w:pPr>
      <w:r>
        <w:rPr>
          <w:rFonts w:ascii="Noto Naskh Arabic" w:hAnsi="Noto Naskh Arabic" w:cs="Noto Naskh Arabic" w:eastAsia="Noto Naskh Arabic"/>
          <w:b w:val="0"/>
          <w:sz w:val="24"/>
          <w:rtl w:val="1"/>
          <w:szCs w:val="24"/>
          <w:bCs w:val="0"/>
        </w:rPr>
        <w:t>ظهرت فروق بحسب الجنس في محور التحديات لصالح الذكور من حيث ارتفاع إدراك التحديات؛ وبحسب العمر في محور الوعي، إذ ارتفعت درجات الفئة من 35 إلى أقل من 45 سنة مقارنة بفئتي أقل من 25 سنة ومن 25 إلى أقل من 35 سنة؛ وبحسب المؤهل العلمي في محور التوظيف، لصالح الدراسات العليا مقارنة بالبكالوريوس.</w:t>
      </w:r>
    </w:p>
    <w:p>
      <w:pPr>
        <w:spacing w:after="100" w:before="0" w:line="252" w:lineRule="auto"/>
        <w:jc w:val="start"/>
        <w:keepNext w:val="0"/>
        <w:bidi w:val="1"/>
      </w:pPr>
      <w:r>
        <w:rPr>
          <w:rFonts w:ascii="Noto Naskh Arabic" w:hAnsi="Noto Naskh Arabic" w:cs="Noto Naskh Arabic" w:eastAsia="Noto Naskh Arabic"/>
          <w:b w:val="0"/>
          <w:sz w:val="24"/>
          <w:rtl w:val="1"/>
          <w:szCs w:val="24"/>
          <w:bCs w:val="0"/>
        </w:rPr>
        <w:t>وظهرت فروق بحسب المسمى الوظيفي في محور البعد المؤسسي للتنمية المستدامة، إذ ارتفع متوسط فئة مدير عام / قيادي مقارنة برئيس قسم / مشرف؛ وفي محور التحديات، إذ ارتفع متوسط المسميات الأخرى مقارنة بفئة أخصائي/مسؤول اتصال مؤسسي أو علاقات عامة. كما ظهرت فروق بحسب القطاع في محور التوظيف، لصالح القطاع غير الربحي مقارنة بالقطاع الحكومي / شبه الحكومي والقطاع الخاص.</w:t>
      </w:r>
    </w:p>
    <w:p>
      <w:pPr>
        <w:spacing w:after="100" w:before="0" w:line="252" w:lineRule="auto"/>
        <w:jc w:val="start"/>
        <w:keepNext w:val="0"/>
        <w:bidi w:val="1"/>
      </w:pPr>
      <w:r>
        <w:rPr>
          <w:rFonts w:ascii="Noto Naskh Arabic" w:hAnsi="Noto Naskh Arabic" w:cs="Noto Naskh Arabic" w:eastAsia="Noto Naskh Arabic"/>
          <w:b w:val="0"/>
          <w:sz w:val="24"/>
          <w:rtl w:val="1"/>
          <w:szCs w:val="24"/>
          <w:bCs w:val="0"/>
        </w:rPr>
        <w:t>لم تظهر فروق دالة بحسب التخصص أو سنوات الخبرة في أي من المحاور الستة، كما لم تظهر فروق دالة في بقية التركيبات بين المحاور والمتغيرات. وهذه فروق في الاستجابات المصاحبة للخصائص محل الدراسة، ولا تعني أن تلك الخصائص سببت الفروق.</w:t>
      </w:r>
    </w:p>
    <w:p>
      <w:pPr>
        <w:spacing w:after="100" w:before="0" w:line="252" w:lineRule="auto"/>
        <w:jc w:val="start"/>
        <w:keepNext/>
        <w:bidi w:val="1"/>
      </w:pPr>
      <w:r>
        <w:rPr>
          <w:rFonts w:ascii="Noto Naskh Arabic" w:hAnsi="Noto Naskh Arabic" w:cs="Noto Naskh Arabic" w:eastAsia="Noto Naskh Arabic"/>
          <w:b/>
          <w:sz w:val="26"/>
          <w:rtl w:val="1"/>
          <w:szCs w:val="26"/>
          <w:bCs w:val="1"/>
        </w:rPr>
        <w:t>موجز الاختبارات الكلية الدالة</w:t>
      </w:r>
    </w:p>
    <w:tbl>
      <w:tblPr>
        <w:tblStyle w:val="TableGrid"/>
        <w:tblW w:type="auto" w:w="0"/>
        <w:jc w:val="center"/>
        <w:tblLayout w:type="fixed"/>
        <w:tblLook w:firstColumn="1" w:firstRow="1" w:lastColumn="0" w:lastRow="0" w:noHBand="0" w:noVBand="1" w:val="04A0"/>
        <w:bidiVisual w:val="1"/>
        <w:tblCellMar>
          <w:top w:w="45" w:type="dxa"/>
          <w:bottom w:w="45" w:type="dxa"/>
          <w:left w:w="70" w:type="dxa"/>
          <w:right w:w="70" w:type="dxa"/>
        </w:tblCellMar>
      </w:tblPr>
      <w:tblGrid>
        <w:gridCol w:w="2154"/>
        <w:gridCol w:w="4252"/>
        <w:gridCol w:w="3458"/>
        <w:gridCol w:w="1701"/>
        <w:gridCol w:w="1701"/>
        <w:gridCol w:w="1814"/>
      </w:tblGrid>
      <w:tr>
        <w:trPr>
          <w:tblHeader w:val="1"/>
        </w:trPr>
        <w:tc>
          <w:tcPr>
            <w:tcW w:type="dxa" w:w="215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المتغير</w:t>
            </w:r>
          </w:p>
        </w:tc>
        <w:tc>
          <w:tcPr>
            <w:tcW w:type="dxa" w:w="4252"/>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المحور</w:t>
            </w:r>
          </w:p>
        </w:tc>
        <w:tc>
          <w:tcPr>
            <w:tcW w:type="dxa" w:w="3458"/>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الاختبار</w:t>
            </w:r>
          </w:p>
        </w:tc>
        <w:tc>
          <w:tcPr>
            <w:tcW w:type="dxa" w:w="170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t أو F</w:t>
            </w:r>
          </w:p>
        </w:tc>
        <w:tc>
          <w:tcPr>
            <w:tcW w:type="dxa" w:w="1701"/>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df</w:t>
            </w:r>
          </w:p>
        </w:tc>
        <w:tc>
          <w:tcPr>
            <w:tcW w:type="dxa" w:w="1814"/>
            <w:vAlign w:val="center"/>
            <w:shd w:fill="E3EDF4"/>
          </w:tcPr>
          <w:p>
            <w:pPr>
              <w:spacing w:after="40" w:before="40" w:line="252" w:lineRule="auto"/>
              <w:jc w:val="start"/>
              <w:keepNext/>
              <w:bidi w:val="1"/>
            </w:pPr>
            <w:r/>
            <w:r>
              <w:rPr>
                <w:rFonts w:ascii="Noto Naskh Arabic" w:hAnsi="Noto Naskh Arabic" w:cs="Noto Naskh Arabic" w:eastAsia="Noto Naskh Arabic"/>
                <w:b/>
                <w:sz w:val="22"/>
                <w:rtl w:val="1"/>
                <w:szCs w:val="22"/>
                <w:bCs w:val="1"/>
              </w:rPr>
              <w:t>Sig الأصلية</w:t>
            </w:r>
          </w:p>
        </w:tc>
      </w:tr>
      <w:tr>
        <w:trPr>
          <w:cantSplit w:val="1"/>
        </w:trPr>
        <w:tc>
          <w:tcPr>
            <w:tcW w:type="dxa" w:w="2154"/>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الجنس</w:t>
            </w:r>
          </w:p>
        </w:tc>
        <w:tc>
          <w:tcPr>
            <w:tcW w:type="dxa" w:w="4252"/>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التحديات</w:t>
            </w:r>
          </w:p>
        </w:tc>
        <w:tc>
          <w:tcPr>
            <w:tcW w:type="dxa" w:w="3458"/>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اختبار t لولش للمجموعتين المستقلتين</w:t>
            </w:r>
          </w:p>
        </w:tc>
        <w:tc>
          <w:tcPr>
            <w:tcW w:type="dxa" w:w="1701"/>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2.178</w:t>
            </w:r>
          </w:p>
        </w:tc>
        <w:tc>
          <w:tcPr>
            <w:tcW w:type="dxa" w:w="1701"/>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114.858</w:t>
            </w:r>
          </w:p>
        </w:tc>
        <w:tc>
          <w:tcPr>
            <w:tcW w:type="dxa" w:w="1814"/>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0.0314443</w:t>
            </w:r>
          </w:p>
        </w:tc>
      </w:tr>
      <w:tr>
        <w:trPr>
          <w:cantSplit w:val="1"/>
        </w:trPr>
        <w:tc>
          <w:tcPr>
            <w:tcW w:type="dxa" w:w="2154"/>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العمر</w:t>
            </w:r>
          </w:p>
        </w:tc>
        <w:tc>
          <w:tcPr>
            <w:tcW w:type="dxa" w:w="4252"/>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الوعي بالحوكمة الرقمية</w:t>
            </w:r>
          </w:p>
        </w:tc>
        <w:tc>
          <w:tcPr>
            <w:tcW w:type="dxa" w:w="3458"/>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تحليل التباين الأحادي التقليدي</w:t>
            </w:r>
          </w:p>
        </w:tc>
        <w:tc>
          <w:tcPr>
            <w:tcW w:type="dxa" w:w="1701"/>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4.170</w:t>
            </w:r>
          </w:p>
        </w:tc>
        <w:tc>
          <w:tcPr>
            <w:tcW w:type="dxa" w:w="1701"/>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 / 120</w:t>
            </w:r>
          </w:p>
        </w:tc>
        <w:tc>
          <w:tcPr>
            <w:tcW w:type="dxa" w:w="1814"/>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0.00755759</w:t>
            </w:r>
          </w:p>
        </w:tc>
      </w:tr>
      <w:tr>
        <w:trPr>
          <w:cantSplit w:val="1"/>
        </w:trPr>
        <w:tc>
          <w:tcPr>
            <w:tcW w:type="dxa" w:w="2154"/>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المؤهل العلمي</w:t>
            </w:r>
          </w:p>
        </w:tc>
        <w:tc>
          <w:tcPr>
            <w:tcW w:type="dxa" w:w="4252"/>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توظيف الحوكمة الرقمية</w:t>
            </w:r>
          </w:p>
        </w:tc>
        <w:tc>
          <w:tcPr>
            <w:tcW w:type="dxa" w:w="3458"/>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تحليل التباين الأحادي التقليدي</w:t>
            </w:r>
          </w:p>
        </w:tc>
        <w:tc>
          <w:tcPr>
            <w:tcW w:type="dxa" w:w="1701"/>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3.120</w:t>
            </w:r>
          </w:p>
        </w:tc>
        <w:tc>
          <w:tcPr>
            <w:tcW w:type="dxa" w:w="1701"/>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 / 121</w:t>
            </w:r>
          </w:p>
        </w:tc>
        <w:tc>
          <w:tcPr>
            <w:tcW w:type="dxa" w:w="1814"/>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0.0477187</w:t>
            </w:r>
          </w:p>
        </w:tc>
      </w:tr>
      <w:tr>
        <w:trPr>
          <w:cantSplit w:val="1"/>
        </w:trPr>
        <w:tc>
          <w:tcPr>
            <w:tcW w:type="dxa" w:w="2154"/>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المسمى الوظيفي</w:t>
            </w:r>
          </w:p>
        </w:tc>
        <w:tc>
          <w:tcPr>
            <w:tcW w:type="dxa" w:w="4252"/>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البعد المؤسسي للتنمية المستدامة</w:t>
            </w:r>
          </w:p>
        </w:tc>
        <w:tc>
          <w:tcPr>
            <w:tcW w:type="dxa" w:w="3458"/>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تحليل التباين الأحادي لولش</w:t>
            </w:r>
          </w:p>
        </w:tc>
        <w:tc>
          <w:tcPr>
            <w:tcW w:type="dxa" w:w="1701"/>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3.127</w:t>
            </w:r>
          </w:p>
        </w:tc>
        <w:tc>
          <w:tcPr>
            <w:tcW w:type="dxa" w:w="1701"/>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 / 22.543</w:t>
            </w:r>
          </w:p>
        </w:tc>
        <w:tc>
          <w:tcPr>
            <w:tcW w:type="dxa" w:w="1814"/>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0.0272993</w:t>
            </w:r>
          </w:p>
        </w:tc>
      </w:tr>
      <w:tr>
        <w:trPr>
          <w:cantSplit w:val="1"/>
        </w:trPr>
        <w:tc>
          <w:tcPr>
            <w:tcW w:type="dxa" w:w="2154"/>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المسمى الوظيفي</w:t>
            </w:r>
          </w:p>
        </w:tc>
        <w:tc>
          <w:tcPr>
            <w:tcW w:type="dxa" w:w="4252"/>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التحديات</w:t>
            </w:r>
          </w:p>
        </w:tc>
        <w:tc>
          <w:tcPr>
            <w:tcW w:type="dxa" w:w="3458"/>
            <w:vAlign w:val="center"/>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تحليل التباين الأحادي التقليدي</w:t>
            </w:r>
          </w:p>
        </w:tc>
        <w:tc>
          <w:tcPr>
            <w:tcW w:type="dxa" w:w="1701"/>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2.830</w:t>
            </w:r>
          </w:p>
        </w:tc>
        <w:tc>
          <w:tcPr>
            <w:tcW w:type="dxa" w:w="1701"/>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5 / 118</w:t>
            </w:r>
          </w:p>
        </w:tc>
        <w:tc>
          <w:tcPr>
            <w:tcW w:type="dxa" w:w="1814"/>
            <w:vAlign w:val="center"/>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0.0188909</w:t>
            </w:r>
          </w:p>
        </w:tc>
      </w:tr>
      <w:tr>
        <w:trPr>
          <w:cantSplit w:val="1"/>
        </w:trPr>
        <w:tc>
          <w:tcPr>
            <w:tcW w:type="dxa" w:w="2154"/>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القطاع</w:t>
            </w:r>
          </w:p>
        </w:tc>
        <w:tc>
          <w:tcPr>
            <w:tcW w:type="dxa" w:w="4252"/>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توظيف الحوكمة الرقمية</w:t>
            </w:r>
          </w:p>
        </w:tc>
        <w:tc>
          <w:tcPr>
            <w:tcW w:type="dxa" w:w="3458"/>
            <w:vAlign w:val="center"/>
            <w:shd w:fill="F7F9FB"/>
          </w:tcPr>
          <w:p>
            <w:pPr>
              <w:spacing w:after="40" w:before="40" w:line="252" w:lineRule="auto"/>
              <w:jc w:val="start"/>
              <w:keepNext/>
              <w:bidi w:val="1"/>
            </w:pPr>
            <w:r/>
            <w:r>
              <w:rPr>
                <w:rFonts w:ascii="Noto Naskh Arabic" w:hAnsi="Noto Naskh Arabic" w:cs="Noto Naskh Arabic" w:eastAsia="Noto Naskh Arabic"/>
                <w:b w:val="0"/>
                <w:sz w:val="21"/>
                <w:rtl w:val="1"/>
                <w:szCs w:val="21"/>
                <w:bCs w:val="0"/>
              </w:rPr>
              <w:t>تحليل التباين الأحادي لولش</w:t>
            </w:r>
          </w:p>
        </w:tc>
        <w:tc>
          <w:tcPr>
            <w:tcW w:type="dxa" w:w="1701"/>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13.656</w:t>
            </w:r>
          </w:p>
        </w:tc>
        <w:tc>
          <w:tcPr>
            <w:tcW w:type="dxa" w:w="1701"/>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2 / 77.400</w:t>
            </w:r>
          </w:p>
        </w:tc>
        <w:tc>
          <w:tcPr>
            <w:tcW w:type="dxa" w:w="1814"/>
            <w:vAlign w:val="center"/>
            <w:shd w:fill="F7F9FB"/>
          </w:tcPr>
          <w:p>
            <w:pPr>
              <w:spacing w:after="40" w:before="40" w:line="252" w:lineRule="auto"/>
              <w:jc w:val="center"/>
              <w:keepNext/>
              <w:bidi w:val="0"/>
            </w:pPr>
            <w:r/>
            <w:r>
              <w:rPr>
                <w:rFonts w:ascii="Noto Naskh Arabic" w:hAnsi="Noto Naskh Arabic" w:cs="Noto Naskh Arabic" w:eastAsia="Noto Naskh Arabic"/>
                <w:b w:val="0"/>
                <w:sz w:val="21"/>
                <w:rtl w:val="0"/>
                <w:szCs w:val="21"/>
                <w:bCs w:val="0"/>
              </w:rPr>
              <w:t>8.32614e-06</w:t>
            </w:r>
          </w:p>
        </w:tc>
      </w:tr>
    </w:tbl>
    <w:p>
      <w:pPr>
        <w:spacing w:after="100" w:before="0" w:line="252" w:lineRule="auto"/>
        <w:jc w:val="start"/>
        <w:keepNext w:val="0"/>
        <w:bidi w:val="1"/>
      </w:pPr>
      <w:r>
        <w:rPr>
          <w:rFonts w:ascii="Noto Naskh Arabic" w:hAnsi="Noto Naskh Arabic" w:cs="Noto Naskh Arabic" w:eastAsia="Noto Naskh Arabic"/>
          <w:b w:val="0"/>
          <w:sz w:val="20"/>
          <w:rtl w:val="1"/>
          <w:szCs w:val="20"/>
          <w:bCs w:val="0"/>
        </w:rPr>
        <w:t>تنبيه منهجي: تُقرأ الدلالة على مستوى كل اختبار وفق طلب عرض Sig الأصلية؛ ولم يُضبط مستوى الخطأ العائلي عبر الاختبارات الكلية الـ42. يختلف ذلك عن الضبط الداخلي للأزواج الذي تنفذه الاختبارات البعدية المختارة.</w:t>
      </w:r>
    </w:p>
    <w:sectPr w:rsidR="00FC693F" w:rsidRPr="0006063C" w:rsidSect="00034616">
      <w:pgSz w:w="16838" w:h="11906" w:orient="landscape"/>
      <w:pgMar w:top="794" w:right="850" w:bottom="794"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100" w:before="0" w:line="252" w:lineRule="auto"/>
      <w:jc w:val="center"/>
      <w:keepNext w:val="0"/>
      <w:bidi w:val="0"/>
    </w:pPr>
    <w:r>
      <w:rPr>
        <w:rFonts w:ascii="Noto Naskh Arabic" w:hAnsi="Noto Naskh Arabic" w:cs="Noto Naskh Arabic" w:eastAsia="Noto Naskh Arabic"/>
        <w:sz w:val="18"/>
        <w:rtl w:val="1"/>
        <w:szCs w:val="18"/>
      </w:rPr>
      <w:t xml:space="preserve">صفحة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00" w:before="0" w:line="252" w:lineRule="auto"/>
      <w:jc w:val="start"/>
      <w:keepNext w:val="0"/>
      <w:bidi w:val="1"/>
    </w:pPr>
    <w:r>
      <w:rPr>
        <w:rFonts w:ascii="Noto Naskh Arabic" w:hAnsi="Noto Naskh Arabic" w:cs="Noto Naskh Arabic" w:eastAsia="Noto Naskh Arabic"/>
        <w:sz w:val="18"/>
        <w:rtl w:val="1"/>
        <w:szCs w:val="18"/>
      </w:rPr>
      <w:t>التساؤل الخامس | الحوكمة الرقمية والتنمية المستدامة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sz w:val="24"/>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Naskh Arabic" w:hAnsi="Noto Naskh Arabic"/>
      <w:b/>
      <w:bCs/>
      <w:color w:val="365F91" w:themeColor="accent1" w:themeShade="BF"/>
      <w:sz w:val="28"/>
      <w:szCs w:val="28"/>
      <w:rtl/>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Naskh Arabic" w:hAnsi="Noto Naskh Arabic"/>
      <w:b/>
      <w:bCs/>
      <w:color w:val="4F81BD" w:themeColor="accent1"/>
      <w:sz w:val="26"/>
      <w:szCs w:val="26"/>
      <w:rt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Naskh Arabic" w:hAnsi="Noto Naskh Arabic"/>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نتائج التساؤل الخامس: الفروق بحسب المتغيرات الديموغرافية والوظيفية</dc:title>
  <dc:subject>تحليل 124 استجابة عبر ستة محاور وسبعة متغيرات</dc:subject>
  <dc:creator/>
  <cp:keywords>الاستدلال الإحصائي، ANOVA، Welch، Tukey–Kramer، Games–Howell</cp:keywords>
  <dc:description>generated by python-docx</dc:description>
  <cp:lastModifiedBy/>
  <cp:revision>1</cp:revision>
  <dcterms:created xsi:type="dcterms:W3CDTF">2013-12-23T23:15:00Z</dcterms:created>
  <dcterms:modified xsi:type="dcterms:W3CDTF">2013-12-23T23:15:00Z</dcterms:modified>
  <cp:category/>
</cp:coreProperties>
</file>