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bidi w:val="1"/>
        <w:spacing w:after="160"/>
        <w:jc w:val="center"/>
      </w:pPr>
      <w:r>
        <w:rPr>
          <w:rFonts w:ascii="Noto Naskh Arabic" w:hAnsi="Noto Naskh Arabic" w:cs="Noto Naskh Arabic" w:eastAsia="Noto Naskh Arabic"/>
          <w:b/>
          <w:sz w:val="44"/>
          <w:szCs w:val="44"/>
          <w:rtl w:val="1"/>
          <w:bCs w:val="1"/>
        </w:rPr>
        <w:t>مؤشرات الاتساق الداخلي لبنود الاستبانة</w:t>
      </w:r>
    </w:p>
    <w:p>
      <w:pPr>
        <w:keepNext w:val="0"/>
        <w:bidi w:val="1"/>
        <w:spacing w:after="160"/>
        <w:jc w:val="center"/>
      </w:pPr>
      <w:r>
        <w:rPr>
          <w:rFonts w:ascii="Noto Naskh Arabic" w:hAnsi="Noto Naskh Arabic" w:cs="Noto Naskh Arabic" w:eastAsia="Noto Naskh Arabic"/>
          <w:b/>
          <w:sz w:val="32"/>
          <w:szCs w:val="32"/>
          <w:rtl w:val="1"/>
          <w:bCs w:val="1"/>
        </w:rPr>
        <w:t>توظيف ممارسي الاتصال المؤسسي للحوكمة الرقمية ودورها في تحقيق التنمية المستدامة في ضوء رؤية المملكة ٢٠٣٠. دراسة مسحية</w:t>
      </w:r>
    </w:p>
    <w:p>
      <w:pPr>
        <w:keepNext w:val="0"/>
        <w:bidi w:val="1"/>
        <w:spacing w:after="120"/>
        <w:jc w:val="both"/>
      </w:pPr>
      <w:r>
        <w:rPr>
          <w:rFonts w:ascii="Noto Naskh Arabic" w:hAnsi="Noto Naskh Arabic" w:cs="Noto Naskh Arabic" w:eastAsia="Noto Naskh Arabic"/>
          <w:b w:val="0"/>
          <w:sz w:val="28"/>
          <w:szCs w:val="28"/>
          <w:rtl w:val="1"/>
          <w:bCs w:val="0"/>
        </w:rPr>
        <w:t>يتناول هذا التقرير الاتساق الداخلي للمحاور الستة، البالغ عدد بنودها ٤٨ بندًا، اعتمادًا على استجابات ١٢٤ مشاركًا. حُسب ارتباط بيرسون بين كل بند ومجموع بقية بنود محوره بعد استبعاد البند، لتجنب تضمين البند في الدرجة التي يُقارن بها. اختبارات الدلالة ثنائية الطرف، مع تصحيح Holm للاختبارات الـ٤٨؛ وتعرض المعاملات بثلاث منازل عشرية.</w:t>
      </w:r>
    </w:p>
    <w:p>
      <w:pPr>
        <w:keepNext/>
        <w:bidi w:val="1"/>
        <w:spacing w:after="0" w:line="480" w:lineRule="exact"/>
        <w:jc w:val="center"/>
      </w:pPr>
      <w:r>
        <w:rPr>
          <w:rFonts w:ascii="Noto Naskh Arabic" w:hAnsi="Noto Naskh Arabic" w:cs="Noto Naskh Arabic" w:eastAsia="Noto Naskh Arabic"/>
          <w:b/>
          <w:sz w:val="32"/>
          <w:szCs w:val="32"/>
          <w:rtl w:val="1"/>
          <w:bCs w:val="1"/>
        </w:rPr>
        <w:t>جدول رقم (١)</w:t>
      </w:r>
    </w:p>
    <w:p>
      <w:pPr>
        <w:keepNext/>
        <w:bidi w:val="1"/>
        <w:spacing w:after="100" w:line="480" w:lineRule="exact"/>
        <w:jc w:val="center"/>
      </w:pPr>
      <w:r>
        <w:rPr>
          <w:rFonts w:ascii="Noto Naskh Arabic" w:hAnsi="Noto Naskh Arabic" w:cs="Noto Naskh Arabic" w:eastAsia="Noto Naskh Arabic"/>
          <w:b/>
          <w:sz w:val="32"/>
          <w:szCs w:val="32"/>
          <w:rtl w:val="1"/>
          <w:bCs w:val="1"/>
        </w:rPr>
        <w:t>ملخص معاملات ارتباط بيرسون المصححة ودلالتها في المحاور الستة</w:t>
      </w:r>
    </w:p>
    <w:tbl>
      <w:tblPr>
        <w:tblW w:type="auto" w:w="0"/>
        <w:jc w:val="center"/>
        <w:tblLayout w:type="fixed"/>
        <w:tblLook w:firstColumn="1" w:firstRow="1" w:lastColumn="0" w:lastRow="0" w:noHBand="0" w:noVBand="1" w:val="04A0"/>
        <w:bidiVisual w:val="1"/>
        <w:tblBorders>
          <w:top w:val="single" w:sz="4" w:color="64748B"/>
          <w:left w:val="single" w:sz="4" w:color="64748B"/>
          <w:bottom w:val="single" w:sz="4" w:color="64748B"/>
          <w:right w:val="single" w:sz="4" w:color="64748B"/>
          <w:insideH w:val="single" w:sz="4" w:color="64748B"/>
          <w:insideV w:val="single" w:sz="4" w:color="64748B"/>
        </w:tblBorders>
      </w:tblPr>
      <w:tblGrid>
        <w:gridCol w:w="3744"/>
        <w:gridCol w:w="792"/>
        <w:gridCol w:w="1080"/>
        <w:gridCol w:w="1080"/>
        <w:gridCol w:w="1584"/>
        <w:gridCol w:w="1944"/>
      </w:tblGrid>
      <w:tr>
        <w:trPr>
          <w:tblHeader w:val="1"/>
        </w:trPr>
        <w:tc>
          <w:tcPr>
            <w:tcW w:type="dxa" w:w="374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المحور</w:t>
            </w:r>
          </w:p>
        </w:tc>
        <w:tc>
          <w:tcPr>
            <w:tcW w:type="dxa" w:w="792"/>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عدد البنود</w:t>
            </w:r>
          </w:p>
        </w:tc>
        <w:tc>
          <w:tcPr>
            <w:tcW w:type="dxa" w:w="1080"/>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أدنى ارتباط</w:t>
            </w:r>
          </w:p>
        </w:tc>
        <w:tc>
          <w:tcPr>
            <w:tcW w:type="dxa" w:w="1080"/>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أعلى ارتباط</w:t>
            </w:r>
          </w:p>
        </w:tc>
        <w:tc>
          <w:tcPr>
            <w:tcW w:type="dxa" w:w="158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p بعد Holm</w:t>
            </w:r>
          </w:p>
        </w:tc>
        <w:tc>
          <w:tcPr>
            <w:tcW w:type="dxa" w:w="194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الحكم الإحصائي</w:t>
            </w:r>
          </w:p>
        </w:tc>
      </w:tr>
      <w:tr>
        <w:trPr>
          <w:cantSplit w:val="1"/>
        </w:trPr>
        <w:tc>
          <w:tcPr>
            <w:tcW w:type="dxa" w:w="3744"/>
            <w:vAlign w:val="center"/>
            <w:tcMar>
              <w:top w:w="55" w:type="dxa"/>
              <w:left w:w="55" w:type="dxa"/>
              <w:bottom w:w="55" w:type="dxa"/>
              <w:right w:w="55" w:type="dxa"/>
            </w:tcMar>
          </w:tcPr>
          <w:p>
            <w:pPr>
              <w:bidi w:val="1"/>
              <w:spacing w:before="20" w:after="20" w:line="400" w:lineRule="exact"/>
              <w:jc w:val="right"/>
            </w:pPr>
            <w:r/>
            <w:r>
              <w:rPr>
                <w:rFonts w:ascii="Noto Naskh Arabic" w:hAnsi="Noto Naskh Arabic" w:cs="Noto Naskh Arabic" w:eastAsia="Noto Naskh Arabic"/>
                <w:b w:val="0"/>
                <w:sz w:val="26"/>
                <w:szCs w:val="26"/>
                <w:rtl w:val="1"/>
                <w:bCs w:val="0"/>
              </w:rPr>
              <w:t>الوعي بالحوكمة الرقمية</w:t>
            </w:r>
          </w:p>
        </w:tc>
        <w:tc>
          <w:tcPr>
            <w:tcW w:type="dxa" w:w="79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٧</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‎٠.٦٧٦**‎</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‎٠.٨٤٥**‎</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94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جميع البنود دالة</w:t>
            </w:r>
          </w:p>
        </w:tc>
      </w:tr>
      <w:tr>
        <w:trPr>
          <w:cantSplit w:val="1"/>
        </w:trPr>
        <w:tc>
          <w:tcPr>
            <w:tcW w:type="dxa" w:w="3744"/>
            <w:vAlign w:val="center"/>
            <w:tcMar>
              <w:top w:w="55" w:type="dxa"/>
              <w:left w:w="55" w:type="dxa"/>
              <w:bottom w:w="55" w:type="dxa"/>
              <w:right w:w="55" w:type="dxa"/>
            </w:tcMar>
          </w:tcPr>
          <w:p>
            <w:pPr>
              <w:bidi w:val="1"/>
              <w:spacing w:before="20" w:after="20" w:line="400" w:lineRule="exact"/>
              <w:jc w:val="right"/>
            </w:pPr>
            <w:r/>
            <w:r>
              <w:rPr>
                <w:rFonts w:ascii="Noto Naskh Arabic" w:hAnsi="Noto Naskh Arabic" w:cs="Noto Naskh Arabic" w:eastAsia="Noto Naskh Arabic"/>
                <w:b w:val="0"/>
                <w:sz w:val="26"/>
                <w:szCs w:val="26"/>
                <w:rtl w:val="1"/>
                <w:bCs w:val="0"/>
              </w:rPr>
              <w:t>توظيف الحوكمة الرقمية</w:t>
            </w:r>
          </w:p>
        </w:tc>
        <w:tc>
          <w:tcPr>
            <w:tcW w:type="dxa" w:w="79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٨</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‎٠.٦٦٣**‎</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‎٠.٧٩٢**‎</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94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جميع البنود دالة</w:t>
            </w:r>
          </w:p>
        </w:tc>
      </w:tr>
      <w:tr>
        <w:trPr>
          <w:cantSplit w:val="1"/>
        </w:trPr>
        <w:tc>
          <w:tcPr>
            <w:tcW w:type="dxa" w:w="3744"/>
            <w:vAlign w:val="center"/>
            <w:tcMar>
              <w:top w:w="55" w:type="dxa"/>
              <w:left w:w="55" w:type="dxa"/>
              <w:bottom w:w="55" w:type="dxa"/>
              <w:right w:w="55" w:type="dxa"/>
            </w:tcMar>
          </w:tcPr>
          <w:p>
            <w:pPr>
              <w:bidi w:val="1"/>
              <w:spacing w:before="20" w:after="20" w:line="400" w:lineRule="exact"/>
              <w:jc w:val="right"/>
            </w:pPr>
            <w:r/>
            <w:r>
              <w:rPr>
                <w:rFonts w:ascii="Noto Naskh Arabic" w:hAnsi="Noto Naskh Arabic" w:cs="Noto Naskh Arabic" w:eastAsia="Noto Naskh Arabic"/>
                <w:b w:val="0"/>
                <w:sz w:val="26"/>
                <w:szCs w:val="26"/>
                <w:rtl w:val="1"/>
                <w:bCs w:val="0"/>
              </w:rPr>
              <w:t>تشكيل الممارسة الاتصالية</w:t>
            </w:r>
          </w:p>
        </w:tc>
        <w:tc>
          <w:tcPr>
            <w:tcW w:type="dxa" w:w="79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٦</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‎٠.٥٨٥**‎</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‎٠.٦٤٦**‎</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94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جميع البنود دالة</w:t>
            </w:r>
          </w:p>
        </w:tc>
      </w:tr>
      <w:tr>
        <w:trPr>
          <w:cantSplit w:val="1"/>
        </w:trPr>
        <w:tc>
          <w:tcPr>
            <w:tcW w:type="dxa" w:w="3744"/>
            <w:vAlign w:val="center"/>
            <w:tcMar>
              <w:top w:w="55" w:type="dxa"/>
              <w:left w:w="55" w:type="dxa"/>
              <w:bottom w:w="55" w:type="dxa"/>
              <w:right w:w="55" w:type="dxa"/>
            </w:tcMar>
          </w:tcPr>
          <w:p>
            <w:pPr>
              <w:bidi w:val="1"/>
              <w:spacing w:before="20" w:after="20" w:line="400" w:lineRule="exact"/>
              <w:jc w:val="right"/>
            </w:pPr>
            <w:r/>
            <w:r>
              <w:rPr>
                <w:rFonts w:ascii="Noto Naskh Arabic" w:hAnsi="Noto Naskh Arabic" w:cs="Noto Naskh Arabic" w:eastAsia="Noto Naskh Arabic"/>
                <w:b w:val="0"/>
                <w:sz w:val="26"/>
                <w:szCs w:val="26"/>
                <w:rtl w:val="1"/>
                <w:bCs w:val="0"/>
              </w:rPr>
              <w:t>المنفعة المدركة</w:t>
            </w:r>
          </w:p>
        </w:tc>
        <w:tc>
          <w:tcPr>
            <w:tcW w:type="dxa" w:w="79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٨</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‎٠.٤٧٩**‎</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‎٠.٧١٠**‎</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94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جميع البنود دالة</w:t>
            </w:r>
          </w:p>
        </w:tc>
      </w:tr>
      <w:tr>
        <w:trPr>
          <w:cantSplit w:val="1"/>
        </w:trPr>
        <w:tc>
          <w:tcPr>
            <w:tcW w:type="dxa" w:w="3744"/>
            <w:vAlign w:val="center"/>
            <w:tcMar>
              <w:top w:w="55" w:type="dxa"/>
              <w:left w:w="55" w:type="dxa"/>
              <w:bottom w:w="55" w:type="dxa"/>
              <w:right w:w="55" w:type="dxa"/>
            </w:tcMar>
          </w:tcPr>
          <w:p>
            <w:pPr>
              <w:bidi w:val="1"/>
              <w:spacing w:before="20" w:after="20" w:line="400" w:lineRule="exact"/>
              <w:jc w:val="right"/>
            </w:pPr>
            <w:r/>
            <w:r>
              <w:rPr>
                <w:rFonts w:ascii="Noto Naskh Arabic" w:hAnsi="Noto Naskh Arabic" w:cs="Noto Naskh Arabic" w:eastAsia="Noto Naskh Arabic"/>
                <w:b w:val="0"/>
                <w:sz w:val="26"/>
                <w:szCs w:val="26"/>
                <w:rtl w:val="1"/>
                <w:bCs w:val="0"/>
              </w:rPr>
              <w:t>البعد المؤسسي للتنمية المستدامة</w:t>
            </w:r>
          </w:p>
        </w:tc>
        <w:tc>
          <w:tcPr>
            <w:tcW w:type="dxa" w:w="79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١٠</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‎٠.٥٢٧**‎</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‎٠.٧٦٦**‎</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94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جميع البنود دالة</w:t>
            </w:r>
          </w:p>
        </w:tc>
      </w:tr>
      <w:tr>
        <w:trPr>
          <w:cantSplit w:val="1"/>
        </w:trPr>
        <w:tc>
          <w:tcPr>
            <w:tcW w:type="dxa" w:w="3744"/>
            <w:vAlign w:val="center"/>
            <w:tcMar>
              <w:top w:w="55" w:type="dxa"/>
              <w:left w:w="55" w:type="dxa"/>
              <w:bottom w:w="55" w:type="dxa"/>
              <w:right w:w="55" w:type="dxa"/>
            </w:tcMar>
          </w:tcPr>
          <w:p>
            <w:pPr>
              <w:bidi w:val="1"/>
              <w:spacing w:before="20" w:after="20" w:line="400" w:lineRule="exact"/>
              <w:jc w:val="right"/>
            </w:pPr>
            <w:r/>
            <w:r>
              <w:rPr>
                <w:rFonts w:ascii="Noto Naskh Arabic" w:hAnsi="Noto Naskh Arabic" w:cs="Noto Naskh Arabic" w:eastAsia="Noto Naskh Arabic"/>
                <w:b w:val="0"/>
                <w:sz w:val="26"/>
                <w:szCs w:val="26"/>
                <w:rtl w:val="1"/>
                <w:bCs w:val="0"/>
              </w:rPr>
              <w:t>شدة التحديات</w:t>
            </w:r>
          </w:p>
        </w:tc>
        <w:tc>
          <w:tcPr>
            <w:tcW w:type="dxa" w:w="79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٩</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‎٠.٣١٣**‎</w:t>
            </w:r>
          </w:p>
        </w:tc>
        <w:tc>
          <w:tcPr>
            <w:tcW w:type="dxa" w:w="1080"/>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‎٠.٧٢٧**‎</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94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جميع البنود دالة</w:t>
            </w:r>
          </w:p>
        </w:tc>
      </w:tr>
    </w:tbl>
    <w:p>
      <w:pPr>
        <w:spacing w:after="0" w:line="20" w:lineRule="exact" w:before="0"/>
      </w:pPr>
      <w:r>
        <w:rPr>
          <w:rFonts w:ascii="Noto Naskh Arabic" w:hAnsi="Noto Naskh Arabic" w:cs="Noto Naskh Arabic" w:eastAsia="Noto Naskh Arabic"/>
          <w:b w:val="0"/>
          <w:sz w:val="2"/>
          <w:szCs w:val="2"/>
          <w:rtl w:val="1"/>
          <w:bCs w:val="0"/>
        </w:rPr>
      </w:r>
    </w:p>
    <w:p>
      <w:pPr>
        <w:keepNext w:val="0"/>
        <w:bidi w:val="1"/>
        <w:spacing w:after="100" w:line="360" w:lineRule="exact"/>
        <w:jc w:val="both"/>
      </w:pPr>
      <w:r>
        <w:rPr>
          <w:rFonts w:ascii="Noto Naskh Arabic" w:hAnsi="Noto Naskh Arabic" w:cs="Noto Naskh Arabic" w:eastAsia="Noto Naskh Arabic"/>
          <w:b w:val="0"/>
          <w:sz w:val="25"/>
          <w:szCs w:val="25"/>
          <w:rtl w:val="1"/>
          <w:bCs w:val="0"/>
        </w:rPr>
        <w:t xml:space="preserve">ملاحظة: الارتباط المصحح: بيرسون للبند مع مجموع بقية بنود محوره بعد استبعاده؛ ن = ١٢٤، واختبارات ثنائية الطرف. النجوم حسب الدلالة المعدلة بطريقة Holm للـ٤٨ اختبارًا: </w:t>
      </w:r>
      <w:r>
        <w:rPr>
          <w:rFonts w:ascii="Noto Naskh Arabic" w:hAnsi="Noto Naskh Arabic" w:cs="Noto Naskh Arabic" w:eastAsia="Noto Naskh Arabic"/>
          <w:b w:val="0"/>
          <w:sz w:val="25"/>
          <w:szCs w:val="25"/>
          <w:rtl w:val="0"/>
          <w:bCs w:val="0"/>
        </w:rPr>
        <w:t>‎**: p &lt; 0.01‎</w:t>
      </w:r>
      <w:r>
        <w:rPr>
          <w:rFonts w:ascii="Noto Naskh Arabic" w:hAnsi="Noto Naskh Arabic" w:cs="Noto Naskh Arabic" w:eastAsia="Noto Naskh Arabic"/>
          <w:b w:val="0"/>
          <w:sz w:val="25"/>
          <w:szCs w:val="25"/>
          <w:rtl w:val="1"/>
          <w:bCs w:val="0"/>
        </w:rPr>
        <w:t xml:space="preserve">؛ </w:t>
      </w:r>
      <w:r>
        <w:rPr>
          <w:rFonts w:ascii="Noto Naskh Arabic" w:hAnsi="Noto Naskh Arabic" w:cs="Noto Naskh Arabic" w:eastAsia="Noto Naskh Arabic"/>
          <w:b w:val="0"/>
          <w:sz w:val="25"/>
          <w:szCs w:val="25"/>
          <w:rtl w:val="0"/>
          <w:bCs w:val="0"/>
        </w:rPr>
        <w:t>‎*: p &lt; 0.05‎</w:t>
      </w:r>
      <w:r>
        <w:rPr>
          <w:rFonts w:ascii="Noto Naskh Arabic" w:hAnsi="Noto Naskh Arabic" w:cs="Noto Naskh Arabic" w:eastAsia="Noto Naskh Arabic"/>
          <w:b w:val="0"/>
          <w:sz w:val="25"/>
          <w:szCs w:val="25"/>
          <w:rtl w:val="1"/>
          <w:bCs w:val="0"/>
        </w:rPr>
        <w:t>.</w:t>
      </w:r>
    </w:p>
    <w:p>
      <w:pPr>
        <w:keepNext w:val="0"/>
        <w:bidi w:val="1"/>
        <w:spacing w:after="120" w:line="440" w:lineRule="exact"/>
        <w:jc w:val="both"/>
      </w:pPr>
      <w:r>
        <w:rPr>
          <w:rFonts w:ascii="Noto Naskh Arabic" w:hAnsi="Noto Naskh Arabic" w:cs="Noto Naskh Arabic" w:eastAsia="Noto Naskh Arabic"/>
          <w:b w:val="0"/>
          <w:sz w:val="28"/>
          <w:szCs w:val="28"/>
          <w:rtl w:val="1"/>
          <w:bCs w:val="0"/>
        </w:rPr>
        <w:t>توضح بيانات الجدول رقم (١) أن الارتباطات المصححة موجبة، وتراوحت بين ٠.٣١٣ و٠.٨٤٥، وجميعها دالة إحصائيًا (</w:t>
      </w:r>
      <w:r>
        <w:rPr>
          <w:rFonts w:ascii="Noto Naskh Arabic" w:hAnsi="Noto Naskh Arabic" w:cs="Noto Naskh Arabic" w:eastAsia="Noto Naskh Arabic"/>
          <w:b w:val="0"/>
          <w:sz w:val="28"/>
          <w:szCs w:val="28"/>
          <w:rtl w:val="0"/>
          <w:bCs w:val="0"/>
        </w:rPr>
        <w:t>‎p &lt; 0.001‎</w:t>
      </w:r>
      <w:r>
        <w:rPr>
          <w:rFonts w:ascii="Noto Naskh Arabic" w:hAnsi="Noto Naskh Arabic" w:cs="Noto Naskh Arabic" w:eastAsia="Noto Naskh Arabic"/>
          <w:b w:val="0"/>
          <w:sz w:val="28"/>
          <w:szCs w:val="28"/>
          <w:rtl w:val="1"/>
          <w:bCs w:val="0"/>
        </w:rPr>
        <w:t>) بعد Holm. وتدعم النتائج الاتساق الداخلي للمحاور في هذه العينة، لكنها لا تثبت وحدها صدق البناء؛ ولا تعني دلالتها أن جميع الارتباطات قوية.</w:t>
      </w:r>
    </w:p>
    <w:p>
      <w:pPr>
        <w:keepNext/>
        <w:pageBreakBefore/>
        <w:bidi w:val="1"/>
        <w:spacing w:after="0" w:line="480" w:lineRule="exact"/>
        <w:jc w:val="center"/>
      </w:pPr>
      <w:r>
        <w:rPr>
          <w:rFonts w:ascii="Noto Naskh Arabic" w:hAnsi="Noto Naskh Arabic" w:cs="Noto Naskh Arabic" w:eastAsia="Noto Naskh Arabic"/>
          <w:b/>
          <w:sz w:val="32"/>
          <w:szCs w:val="32"/>
          <w:rtl w:val="1"/>
          <w:bCs w:val="1"/>
        </w:rPr>
        <w:t>جدول رقم (٢)</w:t>
      </w:r>
    </w:p>
    <w:p>
      <w:pPr>
        <w:keepNext/>
        <w:bidi w:val="1"/>
        <w:spacing w:after="100" w:line="480" w:lineRule="exact"/>
        <w:jc w:val="center"/>
      </w:pPr>
      <w:r>
        <w:rPr>
          <w:rFonts w:ascii="Noto Naskh Arabic" w:hAnsi="Noto Naskh Arabic" w:cs="Noto Naskh Arabic" w:eastAsia="Noto Naskh Arabic"/>
          <w:b/>
          <w:sz w:val="32"/>
          <w:szCs w:val="32"/>
          <w:rtl w:val="1"/>
          <w:bCs w:val="1"/>
        </w:rPr>
        <w:t>معاملات ارتباط بيرسون المصححة لبنود محور الوعي بالحوكمة الرقمية</w:t>
      </w:r>
    </w:p>
    <w:tbl>
      <w:tblPr>
        <w:tblW w:type="auto" w:w="0"/>
        <w:jc w:val="center"/>
        <w:tblLayout w:type="fixed"/>
        <w:tblLook w:firstColumn="1" w:firstRow="1" w:lastColumn="0" w:lastRow="0" w:noHBand="0" w:noVBand="1" w:val="04A0"/>
        <w:bidiVisual w:val="1"/>
        <w:tblBorders>
          <w:top w:val="single" w:sz="4" w:color="64748B"/>
          <w:left w:val="single" w:sz="4" w:color="64748B"/>
          <w:bottom w:val="single" w:sz="4" w:color="64748B"/>
          <w:right w:val="single" w:sz="4" w:color="64748B"/>
          <w:insideH w:val="single" w:sz="4" w:color="64748B"/>
          <w:insideV w:val="single" w:sz="4" w:color="64748B"/>
        </w:tblBorders>
      </w:tblPr>
      <w:tblGrid>
        <w:gridCol w:w="864"/>
        <w:gridCol w:w="5400"/>
        <w:gridCol w:w="1152"/>
        <w:gridCol w:w="1584"/>
        <w:gridCol w:w="1224"/>
      </w:tblGrid>
      <w:tr>
        <w:trPr>
          <w:tblHeader w:val="1"/>
        </w:trPr>
        <w:tc>
          <w:tcPr>
            <w:tcW w:type="dxa" w:w="86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رمز البند</w:t>
            </w:r>
          </w:p>
        </w:tc>
        <w:tc>
          <w:tcPr>
            <w:tcW w:type="dxa" w:w="5400"/>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العبارة</w:t>
            </w:r>
          </w:p>
        </w:tc>
        <w:tc>
          <w:tcPr>
            <w:tcW w:type="dxa" w:w="1152"/>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معامل</w:t>
              <w:br/>
              <w:t>بيرسون r</w:t>
            </w:r>
          </w:p>
        </w:tc>
        <w:tc>
          <w:tcPr>
            <w:tcW w:type="dxa" w:w="158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p بعد Holm</w:t>
            </w:r>
          </w:p>
        </w:tc>
        <w:tc>
          <w:tcPr>
            <w:tcW w:type="dxa" w:w="122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الحكم الإحصائي</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A1_01</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تمتد الحوكمة الرقمية من مفهوم الحوكمة في الإدارة الرشيدة.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‎٠.٦٧٦**‎</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A1_02</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تساعد الحوكمة الرقمية على تسهيل التكامل والتواصل بين الإدارات وجماهيرها داخل المنظمة وخارجها والمنظمات الأخرى.</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‎٠.٧٣٩**‎</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A1_03</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مبادئ المساءلة والرقابة الرقمية على الأداء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‎٠.٨٣٣**‎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A1_04</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مبادئ الشفافية والإفصاح في الاتصال المؤسسي الرقمي.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‎٠.٨٤٥**‎</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A1_05</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تسهم الحوكمة الرقمية في رفع كفاءة وفعالية ممارسات الاتصال المؤسسي عبر الفضاء الرقمي.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‎٠.٧٥٩**‎</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A1_06</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استخدام مؤشرات الأداء الرقمية في المتابعة والتقييم.</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‎٠.٧٣١**‎</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A1_07</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تسهل الحوكمة الرقمية التحول من منظمة مغلقة إلى منظمة منفتحة ذات أداء عالٍ.</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‎٠.٧٥٨**‎</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bl>
    <w:p>
      <w:pPr>
        <w:spacing w:after="0" w:line="20" w:lineRule="exact" w:before="0"/>
      </w:pPr>
      <w:r>
        <w:rPr>
          <w:rFonts w:ascii="Noto Naskh Arabic" w:hAnsi="Noto Naskh Arabic" w:cs="Noto Naskh Arabic" w:eastAsia="Noto Naskh Arabic"/>
          <w:b w:val="0"/>
          <w:sz w:val="2"/>
          <w:szCs w:val="2"/>
          <w:rtl w:val="1"/>
          <w:bCs w:val="0"/>
        </w:rPr>
      </w:r>
    </w:p>
    <w:p>
      <w:pPr>
        <w:keepNext w:val="0"/>
        <w:bidi w:val="1"/>
        <w:spacing w:after="100" w:line="360" w:lineRule="exact"/>
        <w:jc w:val="both"/>
      </w:pPr>
      <w:r>
        <w:rPr>
          <w:rFonts w:ascii="Noto Naskh Arabic" w:hAnsi="Noto Naskh Arabic" w:cs="Noto Naskh Arabic" w:eastAsia="Noto Naskh Arabic"/>
          <w:b w:val="0"/>
          <w:sz w:val="25"/>
          <w:szCs w:val="25"/>
          <w:rtl w:val="1"/>
          <w:bCs w:val="0"/>
        </w:rPr>
        <w:t xml:space="preserve">ملاحظة: ن = ١٢٤؛ </w:t>
      </w:r>
      <w:r>
        <w:rPr>
          <w:rFonts w:ascii="Noto Naskh Arabic" w:hAnsi="Noto Naskh Arabic" w:cs="Noto Naskh Arabic" w:eastAsia="Noto Naskh Arabic"/>
          <w:b w:val="0"/>
          <w:sz w:val="25"/>
          <w:szCs w:val="25"/>
          <w:rtl w:val="0"/>
          <w:bCs w:val="0"/>
        </w:rPr>
        <w:t>‎**: p &lt; 0.01‎</w:t>
      </w:r>
      <w:r>
        <w:rPr>
          <w:rFonts w:ascii="Noto Naskh Arabic" w:hAnsi="Noto Naskh Arabic" w:cs="Noto Naskh Arabic" w:eastAsia="Noto Naskh Arabic"/>
          <w:b w:val="0"/>
          <w:sz w:val="25"/>
          <w:szCs w:val="25"/>
          <w:rtl w:val="1"/>
          <w:bCs w:val="0"/>
        </w:rPr>
        <w:t xml:space="preserve"> بعد Holm للـ٤٨ اختبارًا؛ وجميع قيم p المعدلة </w:t>
      </w:r>
      <w:r>
        <w:rPr>
          <w:rFonts w:ascii="Noto Naskh Arabic" w:hAnsi="Noto Naskh Arabic" w:cs="Noto Naskh Arabic" w:eastAsia="Noto Naskh Arabic"/>
          <w:b w:val="0"/>
          <w:sz w:val="25"/>
          <w:szCs w:val="25"/>
          <w:rtl w:val="0"/>
          <w:bCs w:val="0"/>
        </w:rPr>
        <w:t>‎&lt; 0.001‎</w:t>
      </w:r>
      <w:r>
        <w:rPr>
          <w:rFonts w:ascii="Noto Naskh Arabic" w:hAnsi="Noto Naskh Arabic" w:cs="Noto Naskh Arabic" w:eastAsia="Noto Naskh Arabic"/>
          <w:b w:val="0"/>
          <w:sz w:val="25"/>
          <w:szCs w:val="25"/>
          <w:rtl w:val="1"/>
          <w:bCs w:val="0"/>
        </w:rPr>
        <w:t>. يستبعد البند من مجموع محوره عند حساب r؛ الاختبارات ثنائية الطرف.</w:t>
      </w:r>
    </w:p>
    <w:p>
      <w:pPr>
        <w:keepNext w:val="0"/>
        <w:bidi w:val="1"/>
        <w:spacing w:after="100" w:line="440" w:lineRule="exact"/>
        <w:jc w:val="both"/>
      </w:pPr>
      <w:r>
        <w:rPr>
          <w:rFonts w:ascii="Noto Naskh Arabic" w:hAnsi="Noto Naskh Arabic" w:cs="Noto Naskh Arabic" w:eastAsia="Noto Naskh Arabic"/>
          <w:b w:val="0"/>
          <w:sz w:val="28"/>
          <w:szCs w:val="28"/>
          <w:rtl w:val="1"/>
          <w:bCs w:val="0"/>
        </w:rPr>
        <w:t>توضح بيانات الجدول رقم (٢) أن ارتباطات بنود محور «الوعي بالحوكمة الرقمية» موجبة ودالة إحصائيًا (</w:t>
      </w:r>
      <w:r>
        <w:rPr>
          <w:rFonts w:ascii="Noto Naskh Arabic" w:hAnsi="Noto Naskh Arabic" w:cs="Noto Naskh Arabic" w:eastAsia="Noto Naskh Arabic"/>
          <w:b w:val="0"/>
          <w:sz w:val="28"/>
          <w:szCs w:val="28"/>
          <w:rtl w:val="0"/>
          <w:bCs w:val="0"/>
        </w:rPr>
        <w:t>‎p &lt; 0.001‎</w:t>
      </w:r>
      <w:r>
        <w:rPr>
          <w:rFonts w:ascii="Noto Naskh Arabic" w:hAnsi="Noto Naskh Arabic" w:cs="Noto Naskh Arabic" w:eastAsia="Noto Naskh Arabic"/>
          <w:b w:val="0"/>
          <w:sz w:val="28"/>
          <w:szCs w:val="28"/>
          <w:rtl w:val="1"/>
          <w:bCs w:val="0"/>
        </w:rPr>
        <w:t>) بعد Holm. جاء أعلى ارتباط للبند (A1_04) «مبادئ الشفافية والإفصاح في الاتصال المؤسسي الرقمي.»، وقيمته ٠.٨٤٥؛ وأدنى ارتباط للبند (A1_01) «تمتد الحوكمة الرقمية من مفهوم الحوكمة في الإدارة الرشيدة.»، وقيمته ٠.٦٧٦. يدعم ذلك الاتساق الداخلي للمحور في العينة الحالية، مع تفاوت قوة ارتباط بنوده.</w:t>
      </w:r>
    </w:p>
    <w:p>
      <w:pPr>
        <w:keepNext/>
        <w:pageBreakBefore/>
        <w:bidi w:val="1"/>
        <w:spacing w:after="0" w:line="480" w:lineRule="exact"/>
        <w:jc w:val="center"/>
      </w:pPr>
      <w:r>
        <w:rPr>
          <w:rFonts w:ascii="Noto Naskh Arabic" w:hAnsi="Noto Naskh Arabic" w:cs="Noto Naskh Arabic" w:eastAsia="Noto Naskh Arabic"/>
          <w:b/>
          <w:sz w:val="32"/>
          <w:szCs w:val="32"/>
          <w:rtl w:val="1"/>
          <w:bCs w:val="1"/>
        </w:rPr>
        <w:t>جدول رقم (٣)</w:t>
      </w:r>
    </w:p>
    <w:p>
      <w:pPr>
        <w:keepNext/>
        <w:bidi w:val="1"/>
        <w:spacing w:after="100" w:line="480" w:lineRule="exact"/>
        <w:jc w:val="center"/>
      </w:pPr>
      <w:r>
        <w:rPr>
          <w:rFonts w:ascii="Noto Naskh Arabic" w:hAnsi="Noto Naskh Arabic" w:cs="Noto Naskh Arabic" w:eastAsia="Noto Naskh Arabic"/>
          <w:b/>
          <w:sz w:val="32"/>
          <w:szCs w:val="32"/>
          <w:rtl w:val="1"/>
          <w:bCs w:val="1"/>
        </w:rPr>
        <w:t>معاملات ارتباط بيرسون المصححة لبنود محور توظيف الحوكمة الرقمية</w:t>
      </w:r>
    </w:p>
    <w:tbl>
      <w:tblPr>
        <w:tblW w:type="auto" w:w="0"/>
        <w:jc w:val="center"/>
        <w:tblLayout w:type="fixed"/>
        <w:tblLook w:firstColumn="1" w:firstRow="1" w:lastColumn="0" w:lastRow="0" w:noHBand="0" w:noVBand="1" w:val="04A0"/>
        <w:bidiVisual w:val="1"/>
        <w:tblBorders>
          <w:top w:val="single" w:sz="4" w:color="64748B"/>
          <w:left w:val="single" w:sz="4" w:color="64748B"/>
          <w:bottom w:val="single" w:sz="4" w:color="64748B"/>
          <w:right w:val="single" w:sz="4" w:color="64748B"/>
          <w:insideH w:val="single" w:sz="4" w:color="64748B"/>
          <w:insideV w:val="single" w:sz="4" w:color="64748B"/>
        </w:tblBorders>
      </w:tblPr>
      <w:tblGrid>
        <w:gridCol w:w="864"/>
        <w:gridCol w:w="5400"/>
        <w:gridCol w:w="1152"/>
        <w:gridCol w:w="1584"/>
        <w:gridCol w:w="1224"/>
      </w:tblGrid>
      <w:tr>
        <w:trPr>
          <w:tblHeader w:val="1"/>
        </w:trPr>
        <w:tc>
          <w:tcPr>
            <w:tcW w:type="dxa" w:w="86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رمز البند</w:t>
            </w:r>
          </w:p>
        </w:tc>
        <w:tc>
          <w:tcPr>
            <w:tcW w:type="dxa" w:w="5400"/>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العبارة</w:t>
            </w:r>
          </w:p>
        </w:tc>
        <w:tc>
          <w:tcPr>
            <w:tcW w:type="dxa" w:w="1152"/>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معامل</w:t>
              <w:br/>
              <w:t>بيرسون r</w:t>
            </w:r>
          </w:p>
        </w:tc>
        <w:tc>
          <w:tcPr>
            <w:tcW w:type="dxa" w:w="158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p بعد Holm</w:t>
            </w:r>
          </w:p>
        </w:tc>
        <w:tc>
          <w:tcPr>
            <w:tcW w:type="dxa" w:w="122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الحكم الإحصائي</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A2_01</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أوظف القنوات الرقمية في نشر المعلومات المؤسسية بما يعزز الشفافية والإفصاح.</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‎٠.٧٠٩**‎</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A2_02</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أستخدم الأنظمة الرقمية في توثيق الإجراءات والأنشطة الاتصالية بما يسهل متابعتها ومراجعتها.</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‎٠.٧٥٢**‎</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A2_03</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أستخدم القنوات والمنصات الرقمية لإتاحة فرص مشاركة الجمهور وأصحاب المصلحة في الموضوعات ذات العلاقة بالمنظمة.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‎٠.٦٦٣**‎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A2_04</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ألتزم بالسياسات والإجراءات التنظيمية المعتمدة عند إدارة المحتوى والاتصال عبر القنوات الرقمية.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‎٠.٦٧٤**‎</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A2_05</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أستخدم مؤشرات الأداء الرقمية (KPIs) في متابعة مدى تحقيق أهداف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‎٠.٦٧٢**‎</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A2_06</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أعتمد على الوسائل الرقمية في إعداد التقارير المتعلقة بنتائج وأداء أنشطة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‎٠.٧٦٩**‎</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A2_07</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أعتمد على البيانات والمؤشرات الرقمية عند اتخاذ القرارات المتعلقة بالاتصال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‎٠.٧٩٢**‎</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A2_08</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أستخدم الأنظمة الرقمية لتتبع الإجراءات والقرارات الاتصالية وتحديد المسؤوليات المرتبطة بها.</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‎٠.٦٩٦**‎</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bl>
    <w:p>
      <w:pPr>
        <w:spacing w:after="0" w:line="20" w:lineRule="exact" w:before="0"/>
      </w:pPr>
      <w:r>
        <w:rPr>
          <w:rFonts w:ascii="Noto Naskh Arabic" w:hAnsi="Noto Naskh Arabic" w:cs="Noto Naskh Arabic" w:eastAsia="Noto Naskh Arabic"/>
          <w:b w:val="0"/>
          <w:sz w:val="2"/>
          <w:szCs w:val="2"/>
          <w:rtl w:val="1"/>
          <w:bCs w:val="0"/>
        </w:rPr>
      </w:r>
    </w:p>
    <w:p>
      <w:pPr>
        <w:keepNext w:val="0"/>
        <w:bidi w:val="1"/>
        <w:spacing w:after="100" w:line="360" w:lineRule="exact"/>
        <w:jc w:val="both"/>
      </w:pPr>
      <w:r>
        <w:rPr>
          <w:rFonts w:ascii="Noto Naskh Arabic" w:hAnsi="Noto Naskh Arabic" w:cs="Noto Naskh Arabic" w:eastAsia="Noto Naskh Arabic"/>
          <w:b w:val="0"/>
          <w:sz w:val="25"/>
          <w:szCs w:val="25"/>
          <w:rtl w:val="1"/>
          <w:bCs w:val="0"/>
        </w:rPr>
        <w:t xml:space="preserve">ملاحظة: ن = ١٢٤؛ </w:t>
      </w:r>
      <w:r>
        <w:rPr>
          <w:rFonts w:ascii="Noto Naskh Arabic" w:hAnsi="Noto Naskh Arabic" w:cs="Noto Naskh Arabic" w:eastAsia="Noto Naskh Arabic"/>
          <w:b w:val="0"/>
          <w:sz w:val="25"/>
          <w:szCs w:val="25"/>
          <w:rtl w:val="0"/>
          <w:bCs w:val="0"/>
        </w:rPr>
        <w:t>‎**: p &lt; 0.01‎</w:t>
      </w:r>
      <w:r>
        <w:rPr>
          <w:rFonts w:ascii="Noto Naskh Arabic" w:hAnsi="Noto Naskh Arabic" w:cs="Noto Naskh Arabic" w:eastAsia="Noto Naskh Arabic"/>
          <w:b w:val="0"/>
          <w:sz w:val="25"/>
          <w:szCs w:val="25"/>
          <w:rtl w:val="1"/>
          <w:bCs w:val="0"/>
        </w:rPr>
        <w:t xml:space="preserve"> بعد Holm للـ٤٨ اختبارًا؛ وجميع قيم p المعدلة </w:t>
      </w:r>
      <w:r>
        <w:rPr>
          <w:rFonts w:ascii="Noto Naskh Arabic" w:hAnsi="Noto Naskh Arabic" w:cs="Noto Naskh Arabic" w:eastAsia="Noto Naskh Arabic"/>
          <w:b w:val="0"/>
          <w:sz w:val="25"/>
          <w:szCs w:val="25"/>
          <w:rtl w:val="0"/>
          <w:bCs w:val="0"/>
        </w:rPr>
        <w:t>‎&lt; 0.001‎</w:t>
      </w:r>
      <w:r>
        <w:rPr>
          <w:rFonts w:ascii="Noto Naskh Arabic" w:hAnsi="Noto Naskh Arabic" w:cs="Noto Naskh Arabic" w:eastAsia="Noto Naskh Arabic"/>
          <w:b w:val="0"/>
          <w:sz w:val="25"/>
          <w:szCs w:val="25"/>
          <w:rtl w:val="1"/>
          <w:bCs w:val="0"/>
        </w:rPr>
        <w:t>. يستبعد البند من مجموع محوره عند حساب r؛ الاختبارات ثنائية الطرف.</w:t>
      </w:r>
    </w:p>
    <w:p>
      <w:pPr>
        <w:keepNext w:val="0"/>
        <w:bidi w:val="1"/>
        <w:spacing w:after="100" w:line="440" w:lineRule="exact"/>
        <w:jc w:val="both"/>
      </w:pPr>
      <w:r>
        <w:rPr>
          <w:rFonts w:ascii="Noto Naskh Arabic" w:hAnsi="Noto Naskh Arabic" w:cs="Noto Naskh Arabic" w:eastAsia="Noto Naskh Arabic"/>
          <w:b w:val="0"/>
          <w:sz w:val="28"/>
          <w:szCs w:val="28"/>
          <w:rtl w:val="1"/>
          <w:bCs w:val="0"/>
        </w:rPr>
        <w:t>توضح بيانات الجدول رقم (٣) أن ارتباطات بنود محور «توظيف الحوكمة الرقمية» موجبة ودالة إحصائيًا (</w:t>
      </w:r>
      <w:r>
        <w:rPr>
          <w:rFonts w:ascii="Noto Naskh Arabic" w:hAnsi="Noto Naskh Arabic" w:cs="Noto Naskh Arabic" w:eastAsia="Noto Naskh Arabic"/>
          <w:b w:val="0"/>
          <w:sz w:val="28"/>
          <w:szCs w:val="28"/>
          <w:rtl w:val="0"/>
          <w:bCs w:val="0"/>
        </w:rPr>
        <w:t>‎p &lt; 0.001‎</w:t>
      </w:r>
      <w:r>
        <w:rPr>
          <w:rFonts w:ascii="Noto Naskh Arabic" w:hAnsi="Noto Naskh Arabic" w:cs="Noto Naskh Arabic" w:eastAsia="Noto Naskh Arabic"/>
          <w:b w:val="0"/>
          <w:sz w:val="28"/>
          <w:szCs w:val="28"/>
          <w:rtl w:val="1"/>
          <w:bCs w:val="0"/>
        </w:rPr>
        <w:t>) بعد Holm. جاء أعلى ارتباط للبند (A2_07) «أعتمد على البيانات والمؤشرات الرقمية عند اتخاذ القرارات المتعلقة بالاتصال المؤسسي.»، وقيمته ٠.٧٩٢؛ وأدنى ارتباط للبند (A2_03) «أستخدم القنوات والمنصات الرقمية لإتاحة فرص مشاركة الجمهور وأصحاب المصلحة في الموضوعات ذات العلاقة بالمنظمة.»، وقيمته ٠.٦٦٣. يدعم ذلك الاتساق الداخلي للمحور في العينة الحالية، مع تفاوت قوة ارتباط بنوده.</w:t>
      </w:r>
    </w:p>
    <w:p>
      <w:pPr>
        <w:keepNext/>
        <w:pageBreakBefore/>
        <w:bidi w:val="1"/>
        <w:spacing w:after="0" w:line="480" w:lineRule="exact"/>
        <w:jc w:val="center"/>
      </w:pPr>
      <w:r>
        <w:rPr>
          <w:rFonts w:ascii="Noto Naskh Arabic" w:hAnsi="Noto Naskh Arabic" w:cs="Noto Naskh Arabic" w:eastAsia="Noto Naskh Arabic"/>
          <w:b/>
          <w:sz w:val="32"/>
          <w:szCs w:val="32"/>
          <w:rtl w:val="1"/>
          <w:bCs w:val="1"/>
        </w:rPr>
        <w:t>جدول رقم (٤)</w:t>
      </w:r>
    </w:p>
    <w:p>
      <w:pPr>
        <w:keepNext/>
        <w:bidi w:val="1"/>
        <w:spacing w:after="100" w:line="480" w:lineRule="exact"/>
        <w:jc w:val="center"/>
      </w:pPr>
      <w:r>
        <w:rPr>
          <w:rFonts w:ascii="Noto Naskh Arabic" w:hAnsi="Noto Naskh Arabic" w:cs="Noto Naskh Arabic" w:eastAsia="Noto Naskh Arabic"/>
          <w:b/>
          <w:sz w:val="32"/>
          <w:szCs w:val="32"/>
          <w:rtl w:val="1"/>
          <w:bCs w:val="1"/>
        </w:rPr>
        <w:t>معاملات ارتباط بيرسون المصححة لبنود محور تشكيل الممارسة الاتصالية</w:t>
      </w:r>
    </w:p>
    <w:tbl>
      <w:tblPr>
        <w:tblW w:type="auto" w:w="0"/>
        <w:jc w:val="center"/>
        <w:tblLayout w:type="fixed"/>
        <w:tblLook w:firstColumn="1" w:firstRow="1" w:lastColumn="0" w:lastRow="0" w:noHBand="0" w:noVBand="1" w:val="04A0"/>
        <w:bidiVisual w:val="1"/>
        <w:tblBorders>
          <w:top w:val="single" w:sz="4" w:color="64748B"/>
          <w:left w:val="single" w:sz="4" w:color="64748B"/>
          <w:bottom w:val="single" w:sz="4" w:color="64748B"/>
          <w:right w:val="single" w:sz="4" w:color="64748B"/>
          <w:insideH w:val="single" w:sz="4" w:color="64748B"/>
          <w:insideV w:val="single" w:sz="4" w:color="64748B"/>
        </w:tblBorders>
      </w:tblPr>
      <w:tblGrid>
        <w:gridCol w:w="864"/>
        <w:gridCol w:w="5400"/>
        <w:gridCol w:w="1152"/>
        <w:gridCol w:w="1584"/>
        <w:gridCol w:w="1224"/>
      </w:tblGrid>
      <w:tr>
        <w:trPr>
          <w:tblHeader w:val="1"/>
        </w:trPr>
        <w:tc>
          <w:tcPr>
            <w:tcW w:type="dxa" w:w="86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رمز البند</w:t>
            </w:r>
          </w:p>
        </w:tc>
        <w:tc>
          <w:tcPr>
            <w:tcW w:type="dxa" w:w="5400"/>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العبارة</w:t>
            </w:r>
          </w:p>
        </w:tc>
        <w:tc>
          <w:tcPr>
            <w:tcW w:type="dxa" w:w="1152"/>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معامل</w:t>
              <w:br/>
              <w:t>بيرسون r</w:t>
            </w:r>
          </w:p>
        </w:tc>
        <w:tc>
          <w:tcPr>
            <w:tcW w:type="dxa" w:w="158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p بعد Holm</w:t>
            </w:r>
          </w:p>
        </w:tc>
        <w:tc>
          <w:tcPr>
            <w:tcW w:type="dxa" w:w="122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الحكم الإحصائي</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A3_01</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أسهمت أنظمة الحوكمة الرقمية في زيادة الاعتماد على البيانات عند اتخاذ القرارات الاتصالية.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‎٠.٥٨٥**‎</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A3_02</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أدت متطلبات الحوكمة الرقمية إلى إعادة تشكيل بعض أدوار ومهام ممارسي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‎٠.٦٤٦**‎</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A3_03</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أدى الاعتماد على أنظمة وتطبيقات الحوكمة الرقمية إلى تغيير أساليب ممارسة الاتصال المؤسسي داخل المنظمة.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‎٠.٦٠٣**‎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A3_04</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أسهمت تطبيقات الحوكمة الرقمية في تغيير أساليب تفاعل المنظمة مع جمهورها وأصحاب المصلحة.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‎٠.٥٨٨**‎</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A3_05</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يدفع التطور المستمر في أنظمة الحوكمة الرقمية إدارات الاتصال المؤسسي إلى تطوير إجراءات وأساليب عملها بصورة مستمرة.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‎٠.٥٩٧**‎</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A3_06</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أسهمت متطلبات الحوكمة الرقمية في تطوير المهارات الرقمية اللازمة لممارسة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‎٠.٦١٥**‎</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bl>
    <w:p>
      <w:pPr>
        <w:spacing w:after="0" w:line="20" w:lineRule="exact" w:before="0"/>
      </w:pPr>
      <w:r>
        <w:rPr>
          <w:rFonts w:ascii="Noto Naskh Arabic" w:hAnsi="Noto Naskh Arabic" w:cs="Noto Naskh Arabic" w:eastAsia="Noto Naskh Arabic"/>
          <w:b w:val="0"/>
          <w:sz w:val="2"/>
          <w:szCs w:val="2"/>
          <w:rtl w:val="1"/>
          <w:bCs w:val="0"/>
        </w:rPr>
      </w:r>
    </w:p>
    <w:p>
      <w:pPr>
        <w:keepNext w:val="0"/>
        <w:bidi w:val="1"/>
        <w:spacing w:after="100" w:line="360" w:lineRule="exact"/>
        <w:jc w:val="both"/>
      </w:pPr>
      <w:r>
        <w:rPr>
          <w:rFonts w:ascii="Noto Naskh Arabic" w:hAnsi="Noto Naskh Arabic" w:cs="Noto Naskh Arabic" w:eastAsia="Noto Naskh Arabic"/>
          <w:b w:val="0"/>
          <w:sz w:val="25"/>
          <w:szCs w:val="25"/>
          <w:rtl w:val="1"/>
          <w:bCs w:val="0"/>
        </w:rPr>
        <w:t xml:space="preserve">ملاحظة: ن = ١٢٤؛ </w:t>
      </w:r>
      <w:r>
        <w:rPr>
          <w:rFonts w:ascii="Noto Naskh Arabic" w:hAnsi="Noto Naskh Arabic" w:cs="Noto Naskh Arabic" w:eastAsia="Noto Naskh Arabic"/>
          <w:b w:val="0"/>
          <w:sz w:val="25"/>
          <w:szCs w:val="25"/>
          <w:rtl w:val="0"/>
          <w:bCs w:val="0"/>
        </w:rPr>
        <w:t>‎**: p &lt; 0.01‎</w:t>
      </w:r>
      <w:r>
        <w:rPr>
          <w:rFonts w:ascii="Noto Naskh Arabic" w:hAnsi="Noto Naskh Arabic" w:cs="Noto Naskh Arabic" w:eastAsia="Noto Naskh Arabic"/>
          <w:b w:val="0"/>
          <w:sz w:val="25"/>
          <w:szCs w:val="25"/>
          <w:rtl w:val="1"/>
          <w:bCs w:val="0"/>
        </w:rPr>
        <w:t xml:space="preserve"> بعد Holm للـ٤٨ اختبارًا؛ وجميع قيم p المعدلة </w:t>
      </w:r>
      <w:r>
        <w:rPr>
          <w:rFonts w:ascii="Noto Naskh Arabic" w:hAnsi="Noto Naskh Arabic" w:cs="Noto Naskh Arabic" w:eastAsia="Noto Naskh Arabic"/>
          <w:b w:val="0"/>
          <w:sz w:val="25"/>
          <w:szCs w:val="25"/>
          <w:rtl w:val="0"/>
          <w:bCs w:val="0"/>
        </w:rPr>
        <w:t>‎&lt; 0.001‎</w:t>
      </w:r>
      <w:r>
        <w:rPr>
          <w:rFonts w:ascii="Noto Naskh Arabic" w:hAnsi="Noto Naskh Arabic" w:cs="Noto Naskh Arabic" w:eastAsia="Noto Naskh Arabic"/>
          <w:b w:val="0"/>
          <w:sz w:val="25"/>
          <w:szCs w:val="25"/>
          <w:rtl w:val="1"/>
          <w:bCs w:val="0"/>
        </w:rPr>
        <w:t>. يستبعد البند من مجموع محوره عند حساب r؛ الاختبارات ثنائية الطرف.</w:t>
      </w:r>
    </w:p>
    <w:p>
      <w:pPr>
        <w:keepNext w:val="0"/>
        <w:bidi w:val="1"/>
        <w:spacing w:after="100" w:line="440" w:lineRule="exact"/>
        <w:jc w:val="both"/>
      </w:pPr>
      <w:r>
        <w:rPr>
          <w:rFonts w:ascii="Noto Naskh Arabic" w:hAnsi="Noto Naskh Arabic" w:cs="Noto Naskh Arabic" w:eastAsia="Noto Naskh Arabic"/>
          <w:b w:val="0"/>
          <w:sz w:val="28"/>
          <w:szCs w:val="28"/>
          <w:rtl w:val="1"/>
          <w:bCs w:val="0"/>
        </w:rPr>
        <w:t>توضح بيانات الجدول رقم (٤) أن ارتباطات بنود محور «تشكيل الممارسة الاتصالية» موجبة ودالة إحصائيًا (</w:t>
      </w:r>
      <w:r>
        <w:rPr>
          <w:rFonts w:ascii="Noto Naskh Arabic" w:hAnsi="Noto Naskh Arabic" w:cs="Noto Naskh Arabic" w:eastAsia="Noto Naskh Arabic"/>
          <w:b w:val="0"/>
          <w:sz w:val="28"/>
          <w:szCs w:val="28"/>
          <w:rtl w:val="0"/>
          <w:bCs w:val="0"/>
        </w:rPr>
        <w:t>‎p &lt; 0.001‎</w:t>
      </w:r>
      <w:r>
        <w:rPr>
          <w:rFonts w:ascii="Noto Naskh Arabic" w:hAnsi="Noto Naskh Arabic" w:cs="Noto Naskh Arabic" w:eastAsia="Noto Naskh Arabic"/>
          <w:b w:val="0"/>
          <w:sz w:val="28"/>
          <w:szCs w:val="28"/>
          <w:rtl w:val="1"/>
          <w:bCs w:val="0"/>
        </w:rPr>
        <w:t>) بعد Holm. جاء أعلى ارتباط للبند (A3_02) «أدت متطلبات الحوكمة الرقمية إلى إعادة تشكيل بعض أدوار ومهام ممارسي الاتصال المؤسسي.»، وقيمته ٠.٦٤٦؛ وأدنى ارتباط للبند (A3_01) «أسهمت أنظمة الحوكمة الرقمية في زيادة الاعتماد على البيانات عند اتخاذ القرارات الاتصالية.»، وقيمته ٠.٥٨٥. يدعم ذلك الاتساق الداخلي للمحور في العينة الحالية، مع تفاوت قوة ارتباط بنوده.</w:t>
      </w:r>
    </w:p>
    <w:p>
      <w:pPr>
        <w:keepNext/>
        <w:pageBreakBefore/>
        <w:bidi w:val="1"/>
        <w:spacing w:after="0" w:line="480" w:lineRule="exact"/>
        <w:jc w:val="center"/>
      </w:pPr>
      <w:r>
        <w:rPr>
          <w:rFonts w:ascii="Noto Naskh Arabic" w:hAnsi="Noto Naskh Arabic" w:cs="Noto Naskh Arabic" w:eastAsia="Noto Naskh Arabic"/>
          <w:b/>
          <w:sz w:val="32"/>
          <w:szCs w:val="32"/>
          <w:rtl w:val="1"/>
          <w:bCs w:val="1"/>
        </w:rPr>
        <w:t>جدول رقم (٥)</w:t>
      </w:r>
    </w:p>
    <w:p>
      <w:pPr>
        <w:keepNext/>
        <w:bidi w:val="1"/>
        <w:spacing w:after="100" w:line="480" w:lineRule="exact"/>
        <w:jc w:val="center"/>
      </w:pPr>
      <w:r>
        <w:rPr>
          <w:rFonts w:ascii="Noto Naskh Arabic" w:hAnsi="Noto Naskh Arabic" w:cs="Noto Naskh Arabic" w:eastAsia="Noto Naskh Arabic"/>
          <w:b/>
          <w:sz w:val="32"/>
          <w:szCs w:val="32"/>
          <w:rtl w:val="1"/>
          <w:bCs w:val="1"/>
        </w:rPr>
        <w:t>معاملات ارتباط بيرسون المصححة لبنود محور المنفعة المدركة</w:t>
      </w:r>
    </w:p>
    <w:tbl>
      <w:tblPr>
        <w:tblW w:type="auto" w:w="0"/>
        <w:jc w:val="center"/>
        <w:tblLayout w:type="fixed"/>
        <w:tblLook w:firstColumn="1" w:firstRow="1" w:lastColumn="0" w:lastRow="0" w:noHBand="0" w:noVBand="1" w:val="04A0"/>
        <w:bidiVisual w:val="1"/>
        <w:tblBorders>
          <w:top w:val="single" w:sz="4" w:color="64748B"/>
          <w:left w:val="single" w:sz="4" w:color="64748B"/>
          <w:bottom w:val="single" w:sz="4" w:color="64748B"/>
          <w:right w:val="single" w:sz="4" w:color="64748B"/>
          <w:insideH w:val="single" w:sz="4" w:color="64748B"/>
          <w:insideV w:val="single" w:sz="4" w:color="64748B"/>
        </w:tblBorders>
      </w:tblPr>
      <w:tblGrid>
        <w:gridCol w:w="864"/>
        <w:gridCol w:w="5400"/>
        <w:gridCol w:w="1152"/>
        <w:gridCol w:w="1584"/>
        <w:gridCol w:w="1224"/>
      </w:tblGrid>
      <w:tr>
        <w:trPr>
          <w:tblHeader w:val="1"/>
        </w:trPr>
        <w:tc>
          <w:tcPr>
            <w:tcW w:type="dxa" w:w="86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رمز البند</w:t>
            </w:r>
          </w:p>
        </w:tc>
        <w:tc>
          <w:tcPr>
            <w:tcW w:type="dxa" w:w="5400"/>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العبارة</w:t>
            </w:r>
          </w:p>
        </w:tc>
        <w:tc>
          <w:tcPr>
            <w:tcW w:type="dxa" w:w="1152"/>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معامل</w:t>
              <w:br/>
              <w:t>بيرسون r</w:t>
            </w:r>
          </w:p>
        </w:tc>
        <w:tc>
          <w:tcPr>
            <w:tcW w:type="dxa" w:w="158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p بعد Holm</w:t>
            </w:r>
          </w:p>
        </w:tc>
        <w:tc>
          <w:tcPr>
            <w:tcW w:type="dxa" w:w="122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الحكم الإحصائي</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A4_01</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يساعدني توظيف الحوكمة الرقمية على مشاركة المعلومات وتقديمها بسهولة عبر وسائل الاتصال الرقمية.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‎٠.٦٠٩**‎</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A4_02</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يسهم توظيف الحوكمة الرقمية في تحسين جودة أداء مهامي في مجال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‎٠.٦٨٥**‎</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A4_03</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يساعدني توظيف الحوكمة الرقمية على الوصول إلى المعلومات اللازمة لأداء مهامي بسهولة وسرعة أكبر.</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‎٠.٦٦٦**‎</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A4_04</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يسهم توظيف الحوكمة الرقمية في دعم اتخاذ القرارات المتعلقة بمهام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‎٠.٤٧٩**‎</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A4_05</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تساعدني الأدلة والسياسات الرقمية المعتمدة، مثل أدلة الهوية البصرية وسياسات النشر، على أداء مهامي الاتصالية بوضوح واتساق.</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‎٠.٤٩٠**‎</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A4_06</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توظيف الحوكمة الرقمية يؤدي إلى توفير الوقت والجهد عند أداء المهام الاتصالية.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‎٠.٥٠٦**‎</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A4_07</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تسهم الحوكمة الرقمية في حفظ المعرفة المؤسسية وضمان استمرارية الاستفادة منها عند تغير الموظفين أو المسؤوليات.</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‎٠.٦١٢**‎</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A4_08</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يساعدني توظيف الحوكمة الرقمية على متابعة الأنشطة الاتصالية وقياس نتائجها بصورة أكثر فاعلية.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‎٠.٧١٠**‎</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bl>
    <w:p>
      <w:pPr>
        <w:spacing w:after="0" w:line="20" w:lineRule="exact" w:before="0"/>
      </w:pPr>
      <w:r>
        <w:rPr>
          <w:rFonts w:ascii="Noto Naskh Arabic" w:hAnsi="Noto Naskh Arabic" w:cs="Noto Naskh Arabic" w:eastAsia="Noto Naskh Arabic"/>
          <w:b w:val="0"/>
          <w:sz w:val="2"/>
          <w:szCs w:val="2"/>
          <w:rtl w:val="1"/>
          <w:bCs w:val="0"/>
        </w:rPr>
      </w:r>
    </w:p>
    <w:p>
      <w:pPr>
        <w:keepNext w:val="0"/>
        <w:bidi w:val="1"/>
        <w:spacing w:after="100" w:line="360" w:lineRule="exact"/>
        <w:jc w:val="both"/>
      </w:pPr>
      <w:r>
        <w:rPr>
          <w:rFonts w:ascii="Noto Naskh Arabic" w:hAnsi="Noto Naskh Arabic" w:cs="Noto Naskh Arabic" w:eastAsia="Noto Naskh Arabic"/>
          <w:b w:val="0"/>
          <w:sz w:val="25"/>
          <w:szCs w:val="25"/>
          <w:rtl w:val="1"/>
          <w:bCs w:val="0"/>
        </w:rPr>
        <w:t xml:space="preserve">ملاحظة: ن = ١٢٤؛ </w:t>
      </w:r>
      <w:r>
        <w:rPr>
          <w:rFonts w:ascii="Noto Naskh Arabic" w:hAnsi="Noto Naskh Arabic" w:cs="Noto Naskh Arabic" w:eastAsia="Noto Naskh Arabic"/>
          <w:b w:val="0"/>
          <w:sz w:val="25"/>
          <w:szCs w:val="25"/>
          <w:rtl w:val="0"/>
          <w:bCs w:val="0"/>
        </w:rPr>
        <w:t>‎**: p &lt; 0.01‎</w:t>
      </w:r>
      <w:r>
        <w:rPr>
          <w:rFonts w:ascii="Noto Naskh Arabic" w:hAnsi="Noto Naskh Arabic" w:cs="Noto Naskh Arabic" w:eastAsia="Noto Naskh Arabic"/>
          <w:b w:val="0"/>
          <w:sz w:val="25"/>
          <w:szCs w:val="25"/>
          <w:rtl w:val="1"/>
          <w:bCs w:val="0"/>
        </w:rPr>
        <w:t xml:space="preserve"> بعد Holm للـ٤٨ اختبارًا؛ وجميع قيم p المعدلة </w:t>
      </w:r>
      <w:r>
        <w:rPr>
          <w:rFonts w:ascii="Noto Naskh Arabic" w:hAnsi="Noto Naskh Arabic" w:cs="Noto Naskh Arabic" w:eastAsia="Noto Naskh Arabic"/>
          <w:b w:val="0"/>
          <w:sz w:val="25"/>
          <w:szCs w:val="25"/>
          <w:rtl w:val="0"/>
          <w:bCs w:val="0"/>
        </w:rPr>
        <w:t>‎&lt; 0.001‎</w:t>
      </w:r>
      <w:r>
        <w:rPr>
          <w:rFonts w:ascii="Noto Naskh Arabic" w:hAnsi="Noto Naskh Arabic" w:cs="Noto Naskh Arabic" w:eastAsia="Noto Naskh Arabic"/>
          <w:b w:val="0"/>
          <w:sz w:val="25"/>
          <w:szCs w:val="25"/>
          <w:rtl w:val="1"/>
          <w:bCs w:val="0"/>
        </w:rPr>
        <w:t>. يستبعد البند من مجموع محوره عند حساب r؛ الاختبارات ثنائية الطرف.</w:t>
      </w:r>
    </w:p>
    <w:p>
      <w:pPr>
        <w:keepNext w:val="0"/>
        <w:bidi w:val="1"/>
        <w:spacing w:after="100" w:line="440" w:lineRule="exact"/>
        <w:jc w:val="both"/>
      </w:pPr>
      <w:r>
        <w:rPr>
          <w:rFonts w:ascii="Noto Naskh Arabic" w:hAnsi="Noto Naskh Arabic" w:cs="Noto Naskh Arabic" w:eastAsia="Noto Naskh Arabic"/>
          <w:b w:val="0"/>
          <w:sz w:val="28"/>
          <w:szCs w:val="28"/>
          <w:rtl w:val="1"/>
          <w:bCs w:val="0"/>
        </w:rPr>
        <w:t>توضح بيانات الجدول رقم (٥) أن ارتباطات بنود محور «المنفعة المدركة» موجبة ودالة إحصائيًا (</w:t>
      </w:r>
      <w:r>
        <w:rPr>
          <w:rFonts w:ascii="Noto Naskh Arabic" w:hAnsi="Noto Naskh Arabic" w:cs="Noto Naskh Arabic" w:eastAsia="Noto Naskh Arabic"/>
          <w:b w:val="0"/>
          <w:sz w:val="28"/>
          <w:szCs w:val="28"/>
          <w:rtl w:val="0"/>
          <w:bCs w:val="0"/>
        </w:rPr>
        <w:t>‎p &lt; 0.001‎</w:t>
      </w:r>
      <w:r>
        <w:rPr>
          <w:rFonts w:ascii="Noto Naskh Arabic" w:hAnsi="Noto Naskh Arabic" w:cs="Noto Naskh Arabic" w:eastAsia="Noto Naskh Arabic"/>
          <w:b w:val="0"/>
          <w:sz w:val="28"/>
          <w:szCs w:val="28"/>
          <w:rtl w:val="1"/>
          <w:bCs w:val="0"/>
        </w:rPr>
        <w:t>) بعد Holm. جاء أعلى ارتباط للبند (A4_08) «يساعدني توظيف الحوكمة الرقمية على متابعة الأنشطة الاتصالية وقياس نتائجها بصورة أكثر فاعلية.»، وقيمته ٠.٧١٠؛ وأدنى ارتباط للبند (A4_04) «يسهم توظيف الحوكمة الرقمية في دعم اتخاذ القرارات المتعلقة بمهام الاتصال المؤسسي.»، وقيمته ٠.٤٧٩. يدعم ذلك الاتساق الداخلي للمحور في العينة الحالية، مع تفاوت قوة ارتباط بنوده.</w:t>
      </w:r>
    </w:p>
    <w:p>
      <w:pPr>
        <w:spacing w:line="20" w:lineRule="exact" w:before="0" w:after="0"/>
        <w:sectPr>
          <w:headerReference w:type="default" r:id="rId9"/>
          <w:footerReference w:type="default" r:id="rId10"/>
          <w:pgSz w:w="12240" w:h="15840"/>
          <w:pgMar w:top="1008" w:right="1008" w:bottom="1008" w:left="1008" w:header="360" w:footer="360" w:gutter="0"/>
          <w:cols w:space="720"/>
          <w:docGrid w:linePitch="360"/>
        </w:sectPr>
      </w:pPr>
      <w:r>
        <w:rPr>
          <w:rFonts w:ascii="Noto Naskh Arabic" w:hAnsi="Noto Naskh Arabic" w:cs="Noto Naskh Arabic" w:eastAsia="Noto Naskh Arabic"/>
          <w:b w:val="0"/>
          <w:sz w:val="2"/>
          <w:szCs w:val="2"/>
          <w:rtl w:val="1"/>
          <w:bCs w:val="0"/>
        </w:rPr>
      </w:r>
    </w:p>
    <w:p>
      <w:pPr>
        <w:keepNext/>
        <w:bidi w:val="1"/>
        <w:spacing w:after="0" w:line="480" w:lineRule="exact"/>
        <w:jc w:val="center"/>
      </w:pPr>
      <w:r>
        <w:rPr>
          <w:rFonts w:ascii="Noto Naskh Arabic" w:hAnsi="Noto Naskh Arabic" w:cs="Noto Naskh Arabic" w:eastAsia="Noto Naskh Arabic"/>
          <w:b/>
          <w:sz w:val="32"/>
          <w:szCs w:val="32"/>
          <w:rtl w:val="1"/>
          <w:bCs w:val="1"/>
        </w:rPr>
        <w:t>جدول رقم (٦)</w:t>
      </w:r>
    </w:p>
    <w:p>
      <w:pPr>
        <w:keepNext/>
        <w:bidi w:val="1"/>
        <w:spacing w:after="100" w:line="480" w:lineRule="exact"/>
        <w:jc w:val="center"/>
      </w:pPr>
      <w:r>
        <w:rPr>
          <w:rFonts w:ascii="Noto Naskh Arabic" w:hAnsi="Noto Naskh Arabic" w:cs="Noto Naskh Arabic" w:eastAsia="Noto Naskh Arabic"/>
          <w:b/>
          <w:sz w:val="32"/>
          <w:szCs w:val="32"/>
          <w:rtl w:val="1"/>
          <w:bCs w:val="1"/>
        </w:rPr>
        <w:t>معاملات ارتباط بيرسون المصححة لبنود محور البعد المؤسسي للتنمية المستدامة</w:t>
      </w:r>
    </w:p>
    <w:tbl>
      <w:tblPr>
        <w:tblW w:type="auto" w:w="0"/>
        <w:jc w:val="center"/>
        <w:tblLayout w:type="fixed"/>
        <w:tblLook w:firstColumn="1" w:firstRow="1" w:lastColumn="0" w:lastRow="0" w:noHBand="0" w:noVBand="1" w:val="04A0"/>
        <w:bidiVisual w:val="1"/>
        <w:tblBorders>
          <w:top w:val="single" w:sz="4" w:color="64748B"/>
          <w:left w:val="single" w:sz="4" w:color="64748B"/>
          <w:bottom w:val="single" w:sz="4" w:color="64748B"/>
          <w:right w:val="single" w:sz="4" w:color="64748B"/>
          <w:insideH w:val="single" w:sz="4" w:color="64748B"/>
          <w:insideV w:val="single" w:sz="4" w:color="64748B"/>
        </w:tblBorders>
      </w:tblPr>
      <w:tblGrid>
        <w:gridCol w:w="864"/>
        <w:gridCol w:w="9432"/>
        <w:gridCol w:w="1152"/>
        <w:gridCol w:w="1584"/>
        <w:gridCol w:w="1224"/>
      </w:tblGrid>
      <w:tr>
        <w:trPr>
          <w:tblHeader w:val="1"/>
        </w:trPr>
        <w:tc>
          <w:tcPr>
            <w:tcW w:type="dxa" w:w="86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رمز البند</w:t>
            </w:r>
          </w:p>
        </w:tc>
        <w:tc>
          <w:tcPr>
            <w:tcW w:type="dxa" w:w="9432"/>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العبارة</w:t>
            </w:r>
          </w:p>
        </w:tc>
        <w:tc>
          <w:tcPr>
            <w:tcW w:type="dxa" w:w="1152"/>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معامل</w:t>
              <w:br/>
              <w:t>بيرسون r</w:t>
            </w:r>
          </w:p>
        </w:tc>
        <w:tc>
          <w:tcPr>
            <w:tcW w:type="dxa" w:w="158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p بعد Holm</w:t>
            </w:r>
          </w:p>
        </w:tc>
        <w:tc>
          <w:tcPr>
            <w:tcW w:type="dxa" w:w="122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الحكم الإحصائي</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A5_01</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تسهم الحوكمة الرقمية في رفع كفاءة ممارسات الاتصال المؤسسي بما يدعم كفاءة الأداء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‎٠.٥٧٤**‎</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A5_02</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تسهم الحوكمة الرقمية في تعزيز شفافية الإجراءات والقرارات داخل المنظمة.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‎٠.٥٩٥**‎</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A5_03</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تساعد الحوكمة الرقمية على اتخاذ قرارات مؤسسية معتمدة على البيانات والمعلومات.</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‎٠.٦٣٤**‎</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A5_04</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تسهم البيانات والمؤشرات الرقمية المستخدمة في الاتصال المؤسسي في دعم القرارات ذات العلاقة بالممارسة الاتصالية.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‎٠.٦٦٣**‎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A5_05</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تدعم الحوكمة الرقمية مشاركة الجمهور وأصحاب المصلحة في الموضوعات والقرارات ذات العلاقة بهم.</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‎٠.٥٢٧**‎</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A5_06</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تسهم الحوكمة الرقمية في تعزيز التكامل والتنسيق بين إدارات المنظمة.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‎٠.٦١٣**‎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A5_07</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تساعد الحوكمة الرقمية على متابعة مؤشرات الأداء المؤسسي وقياس مستوى تحقيق الأهداف.</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‎٠.٦٩٨**‎</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A5_08</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تسهم الحوكمة الرقمية في تعزيز الالتزام بالسياسات والأنظمة والإجراءات المؤسسية.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‎٠.٦٠٢**‎</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A5_09</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تعزز الحوكمة الرقمية مصداقية المنظمة لدى جمهورها وأصحاب المصلحة.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‎٠.٧٦٦**‎</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A5_10</w:t>
            </w:r>
          </w:p>
        </w:tc>
        <w:tc>
          <w:tcPr>
            <w:tcW w:type="dxa" w:w="9432"/>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تسهم الحوكمة الرقمية في تعزيز كفاءة وقدرة المنظمة على الاستجابة للتغيرات والمتطلبات المؤسسية والاستدامة.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‎٠.٦٢٣**‎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bl>
    <w:p>
      <w:pPr>
        <w:spacing w:after="0" w:line="20" w:lineRule="exact" w:before="0"/>
      </w:pPr>
      <w:r>
        <w:rPr>
          <w:rFonts w:ascii="Noto Naskh Arabic" w:hAnsi="Noto Naskh Arabic" w:cs="Noto Naskh Arabic" w:eastAsia="Noto Naskh Arabic"/>
          <w:b w:val="0"/>
          <w:sz w:val="2"/>
          <w:szCs w:val="2"/>
          <w:rtl w:val="1"/>
          <w:bCs w:val="0"/>
        </w:rPr>
      </w:r>
    </w:p>
    <w:p>
      <w:pPr>
        <w:keepNext w:val="0"/>
        <w:bidi w:val="1"/>
        <w:spacing w:after="100" w:line="360" w:lineRule="exact"/>
        <w:jc w:val="both"/>
      </w:pPr>
      <w:r>
        <w:rPr>
          <w:rFonts w:ascii="Noto Naskh Arabic" w:hAnsi="Noto Naskh Arabic" w:cs="Noto Naskh Arabic" w:eastAsia="Noto Naskh Arabic"/>
          <w:b w:val="0"/>
          <w:sz w:val="25"/>
          <w:szCs w:val="25"/>
          <w:rtl w:val="1"/>
          <w:bCs w:val="0"/>
        </w:rPr>
        <w:t xml:space="preserve">ملاحظة: ن = ١٢٤؛ </w:t>
      </w:r>
      <w:r>
        <w:rPr>
          <w:rFonts w:ascii="Noto Naskh Arabic" w:hAnsi="Noto Naskh Arabic" w:cs="Noto Naskh Arabic" w:eastAsia="Noto Naskh Arabic"/>
          <w:b w:val="0"/>
          <w:sz w:val="25"/>
          <w:szCs w:val="25"/>
          <w:rtl w:val="0"/>
          <w:bCs w:val="0"/>
        </w:rPr>
        <w:t>‎**: p &lt; 0.01‎</w:t>
      </w:r>
      <w:r>
        <w:rPr>
          <w:rFonts w:ascii="Noto Naskh Arabic" w:hAnsi="Noto Naskh Arabic" w:cs="Noto Naskh Arabic" w:eastAsia="Noto Naskh Arabic"/>
          <w:b w:val="0"/>
          <w:sz w:val="25"/>
          <w:szCs w:val="25"/>
          <w:rtl w:val="1"/>
          <w:bCs w:val="0"/>
        </w:rPr>
        <w:t xml:space="preserve"> بعد Holm للـ٤٨ اختبارًا؛ وجميع قيم p المعدلة </w:t>
      </w:r>
      <w:r>
        <w:rPr>
          <w:rFonts w:ascii="Noto Naskh Arabic" w:hAnsi="Noto Naskh Arabic" w:cs="Noto Naskh Arabic" w:eastAsia="Noto Naskh Arabic"/>
          <w:b w:val="0"/>
          <w:sz w:val="25"/>
          <w:szCs w:val="25"/>
          <w:rtl w:val="0"/>
          <w:bCs w:val="0"/>
        </w:rPr>
        <w:t>‎&lt; 0.001‎</w:t>
      </w:r>
      <w:r>
        <w:rPr>
          <w:rFonts w:ascii="Noto Naskh Arabic" w:hAnsi="Noto Naskh Arabic" w:cs="Noto Naskh Arabic" w:eastAsia="Noto Naskh Arabic"/>
          <w:b w:val="0"/>
          <w:sz w:val="25"/>
          <w:szCs w:val="25"/>
          <w:rtl w:val="1"/>
          <w:bCs w:val="0"/>
        </w:rPr>
        <w:t>. يستبعد البند من مجموع محوره عند حساب r؛ الاختبارات ثنائية الطرف.</w:t>
      </w:r>
    </w:p>
    <w:p>
      <w:pPr>
        <w:keepNext w:val="0"/>
        <w:bidi w:val="1"/>
        <w:spacing w:after="100" w:line="440" w:lineRule="exact"/>
        <w:jc w:val="both"/>
      </w:pPr>
      <w:r>
        <w:rPr>
          <w:rFonts w:ascii="Noto Naskh Arabic" w:hAnsi="Noto Naskh Arabic" w:cs="Noto Naskh Arabic" w:eastAsia="Noto Naskh Arabic"/>
          <w:b w:val="0"/>
          <w:sz w:val="28"/>
          <w:szCs w:val="28"/>
          <w:rtl w:val="1"/>
          <w:bCs w:val="0"/>
        </w:rPr>
        <w:t>توضح بيانات الجدول رقم (٦) أن ارتباطات بنود محور «البعد المؤسسي للتنمية المستدامة» موجبة ودالة إحصائيًا (</w:t>
      </w:r>
      <w:r>
        <w:rPr>
          <w:rFonts w:ascii="Noto Naskh Arabic" w:hAnsi="Noto Naskh Arabic" w:cs="Noto Naskh Arabic" w:eastAsia="Noto Naskh Arabic"/>
          <w:b w:val="0"/>
          <w:sz w:val="28"/>
          <w:szCs w:val="28"/>
          <w:rtl w:val="0"/>
          <w:bCs w:val="0"/>
        </w:rPr>
        <w:t>‎p &lt; 0.001‎</w:t>
      </w:r>
      <w:r>
        <w:rPr>
          <w:rFonts w:ascii="Noto Naskh Arabic" w:hAnsi="Noto Naskh Arabic" w:cs="Noto Naskh Arabic" w:eastAsia="Noto Naskh Arabic"/>
          <w:b w:val="0"/>
          <w:sz w:val="28"/>
          <w:szCs w:val="28"/>
          <w:rtl w:val="1"/>
          <w:bCs w:val="0"/>
        </w:rPr>
        <w:t>) بعد Holm. جاء أعلى ارتباط للبند (A5_09) «تعزز الحوكمة الرقمية مصداقية المنظمة لدى جمهورها وأصحاب المصلحة.»، وقيمته ٠.٧٦٦؛ وأدنى ارتباط للبند (A5_05) «تدعم الحوكمة الرقمية مشاركة الجمهور وأصحاب المصلحة في الموضوعات والقرارات ذات العلاقة بهم.»، وقيمته ٠.٥٢٧. يدعم ذلك الاتساق الداخلي للمحور في العينة الحالية، مع تفاوت قوة ارتباط بنوده.</w:t>
      </w:r>
    </w:p>
    <w:p>
      <w:pPr>
        <w:spacing w:line="20" w:lineRule="exact" w:before="0" w:after="0"/>
        <w:sectPr>
          <w:pgSz w:w="15840" w:h="12240" w:orient="landscape"/>
          <w:pgMar w:top="648" w:right="792" w:bottom="648" w:left="792" w:header="360" w:footer="360" w:gutter="0"/>
          <w:cols w:space="720"/>
          <w:docGrid w:linePitch="360"/>
        </w:sectPr>
      </w:pPr>
      <w:r>
        <w:rPr>
          <w:rFonts w:ascii="Noto Naskh Arabic" w:hAnsi="Noto Naskh Arabic" w:cs="Noto Naskh Arabic" w:eastAsia="Noto Naskh Arabic"/>
          <w:b w:val="0"/>
          <w:sz w:val="2"/>
          <w:szCs w:val="2"/>
          <w:rtl w:val="1"/>
          <w:bCs w:val="0"/>
        </w:rPr>
      </w:r>
    </w:p>
    <w:p>
      <w:pPr>
        <w:keepNext/>
        <w:bidi w:val="1"/>
        <w:spacing w:after="0" w:line="480" w:lineRule="exact"/>
        <w:jc w:val="center"/>
      </w:pPr>
      <w:r>
        <w:rPr>
          <w:rFonts w:ascii="Noto Naskh Arabic" w:hAnsi="Noto Naskh Arabic" w:cs="Noto Naskh Arabic" w:eastAsia="Noto Naskh Arabic"/>
          <w:b/>
          <w:sz w:val="32"/>
          <w:szCs w:val="32"/>
          <w:rtl w:val="1"/>
          <w:bCs w:val="1"/>
        </w:rPr>
        <w:t>جدول رقم (٧)</w:t>
      </w:r>
    </w:p>
    <w:p>
      <w:pPr>
        <w:keepNext/>
        <w:bidi w:val="1"/>
        <w:spacing w:after="100" w:line="480" w:lineRule="exact"/>
        <w:jc w:val="center"/>
      </w:pPr>
      <w:r>
        <w:rPr>
          <w:rFonts w:ascii="Noto Naskh Arabic" w:hAnsi="Noto Naskh Arabic" w:cs="Noto Naskh Arabic" w:eastAsia="Noto Naskh Arabic"/>
          <w:b/>
          <w:sz w:val="32"/>
          <w:szCs w:val="32"/>
          <w:rtl w:val="1"/>
          <w:bCs w:val="1"/>
        </w:rPr>
        <w:t>معاملات ارتباط بيرسون المصححة لبنود محور شدة التحديات</w:t>
      </w:r>
    </w:p>
    <w:tbl>
      <w:tblPr>
        <w:tblW w:type="auto" w:w="0"/>
        <w:jc w:val="center"/>
        <w:tblLayout w:type="fixed"/>
        <w:tblLook w:firstColumn="1" w:firstRow="1" w:lastColumn="0" w:lastRow="0" w:noHBand="0" w:noVBand="1" w:val="04A0"/>
        <w:bidiVisual w:val="1"/>
        <w:tblBorders>
          <w:top w:val="single" w:sz="4" w:color="64748B"/>
          <w:left w:val="single" w:sz="4" w:color="64748B"/>
          <w:bottom w:val="single" w:sz="4" w:color="64748B"/>
          <w:right w:val="single" w:sz="4" w:color="64748B"/>
          <w:insideH w:val="single" w:sz="4" w:color="64748B"/>
          <w:insideV w:val="single" w:sz="4" w:color="64748B"/>
        </w:tblBorders>
      </w:tblPr>
      <w:tblGrid>
        <w:gridCol w:w="864"/>
        <w:gridCol w:w="5400"/>
        <w:gridCol w:w="1152"/>
        <w:gridCol w:w="1584"/>
        <w:gridCol w:w="1224"/>
      </w:tblGrid>
      <w:tr>
        <w:trPr>
          <w:tblHeader w:val="1"/>
        </w:trPr>
        <w:tc>
          <w:tcPr>
            <w:tcW w:type="dxa" w:w="86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رمز البند</w:t>
            </w:r>
          </w:p>
        </w:tc>
        <w:tc>
          <w:tcPr>
            <w:tcW w:type="dxa" w:w="5400"/>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العبارة</w:t>
            </w:r>
          </w:p>
        </w:tc>
        <w:tc>
          <w:tcPr>
            <w:tcW w:type="dxa" w:w="1152"/>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معامل</w:t>
              <w:br/>
              <w:t>بيرسون r</w:t>
            </w:r>
          </w:p>
        </w:tc>
        <w:tc>
          <w:tcPr>
            <w:tcW w:type="dxa" w:w="158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p بعد Holm</w:t>
            </w:r>
          </w:p>
        </w:tc>
        <w:tc>
          <w:tcPr>
            <w:tcW w:type="dxa" w:w="1224"/>
            <w:vAlign w:val="center"/>
            <w:tcMar>
              <w:top w:w="55" w:type="dxa"/>
              <w:left w:w="55" w:type="dxa"/>
              <w:bottom w:w="55" w:type="dxa"/>
              <w:right w:w="55" w:type="dxa"/>
            </w:tcMar>
            <w:shd w:fill="DBE5F1"/>
          </w:tcPr>
          <w:p>
            <w:pPr>
              <w:bidi w:val="1"/>
              <w:spacing w:before="20" w:after="20" w:line="400" w:lineRule="exact"/>
              <w:jc w:val="center"/>
            </w:pPr>
            <w:r/>
            <w:r>
              <w:rPr>
                <w:rFonts w:ascii="Noto Naskh Arabic" w:hAnsi="Noto Naskh Arabic" w:cs="Noto Naskh Arabic" w:eastAsia="Noto Naskh Arabic"/>
                <w:b/>
                <w:sz w:val="26"/>
                <w:szCs w:val="26"/>
                <w:rtl w:val="1"/>
                <w:bCs w:val="1"/>
              </w:rPr>
              <w:t>الحكم الإحصائي</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A6_01</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نقص المعرفة بمفاهيم ومتطلبات الحوكمة الرقمية لدى ممارسي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‎٠.٦٦٣**‎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A6_02</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قلة الخبرات والمهارات التقنية اللازمة لتطبيق الحوكمة الرقمية.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‎٠.٧٢٧**‎</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A6_03</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ضعف البنية التحتية والأنظمة الرقمية داخل المنظمة.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‎٠.٤٦١**‎</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A6_04</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مقاومة بعض العاملين للتغيير عند تطبيق ممارسات اتصالية قائمة على الحوكمة الرقمية.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‎٠.٥٤٣**‎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A6_05</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وجود معوقات تنظيمية أو قانونية تؤثر في تطبيق الحوكمة الرقمية.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‎٠.٣١٣**‎</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A6_06</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محدودية الموارد التقنية والمالية اللازمة لتوظيف الحوكمة الرقمية في أعمال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‎٠.٤٤٢**‎</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A6_07</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قلة الكفاءات المتخصصة التي تدعم تكامل الحوكمة الرقمية مع أعمال الاتصال المؤسسي.</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‎٠.٦٥٤**‎</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A6_08</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عدم وضوح بعض السياسات والإجراءات المرتبطة بتطبيق الحوكمة الرقمية.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‎٠.٦٧٤**‎</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r>
        <w:trPr>
          <w:cantSplit w:val="1"/>
        </w:trPr>
        <w:tc>
          <w:tcPr>
            <w:tcW w:type="dxa" w:w="86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A6_09</w:t>
            </w:r>
          </w:p>
        </w:tc>
        <w:tc>
          <w:tcPr>
            <w:tcW w:type="dxa" w:w="5400"/>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ضعف التنسيق بين إدارات الاتصال المؤسسي والإدارات ذات العلاقة بتطبيق الحوكمة الرقمية.</w:t>
            </w:r>
          </w:p>
        </w:tc>
        <w:tc>
          <w:tcPr>
            <w:tcW w:type="dxa" w:w="1152"/>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‎٠.٥٧٨**‎</w:t>
            </w:r>
          </w:p>
        </w:tc>
        <w:tc>
          <w:tcPr>
            <w:tcW w:type="dxa" w:w="1584"/>
            <w:vAlign w:val="center"/>
            <w:tcMar>
              <w:top w:w="55" w:type="dxa"/>
              <w:left w:w="55" w:type="dxa"/>
              <w:bottom w:w="55" w:type="dxa"/>
              <w:right w:w="55" w:type="dxa"/>
            </w:tcMar>
          </w:tcPr>
          <w:p>
            <w:pPr>
              <w:bidi w:val="0"/>
              <w:spacing w:before="20" w:after="20" w:line="400" w:lineRule="exact"/>
              <w:jc w:val="center"/>
            </w:pPr>
            <w:r/>
            <w:r>
              <w:rPr>
                <w:rFonts w:ascii="Noto Naskh Arabic" w:hAnsi="Noto Naskh Arabic" w:cs="Noto Naskh Arabic" w:eastAsia="Noto Naskh Arabic"/>
                <w:b w:val="0"/>
                <w:sz w:val="26"/>
                <w:szCs w:val="26"/>
                <w:rtl w:val="0"/>
                <w:bCs w:val="0"/>
              </w:rPr>
              <w:t>‎&lt; 0.001‎</w:t>
            </w:r>
          </w:p>
        </w:tc>
        <w:tc>
          <w:tcPr>
            <w:tcW w:type="dxa" w:w="1224"/>
            <w:vAlign w:val="center"/>
            <w:tcMar>
              <w:top w:w="55" w:type="dxa"/>
              <w:left w:w="55" w:type="dxa"/>
              <w:bottom w:w="55" w:type="dxa"/>
              <w:right w:w="55" w:type="dxa"/>
            </w:tcMar>
          </w:tcPr>
          <w:p>
            <w:pPr>
              <w:bidi w:val="1"/>
              <w:spacing w:before="20" w:after="20" w:line="400" w:lineRule="exact"/>
              <w:jc w:val="center"/>
            </w:pPr>
            <w:r/>
            <w:r>
              <w:rPr>
                <w:rFonts w:ascii="Noto Naskh Arabic" w:hAnsi="Noto Naskh Arabic" w:cs="Noto Naskh Arabic" w:eastAsia="Noto Naskh Arabic"/>
                <w:b w:val="0"/>
                <w:sz w:val="26"/>
                <w:szCs w:val="26"/>
                <w:rtl w:val="1"/>
                <w:bCs w:val="0"/>
              </w:rPr>
              <w:t>دالة</w:t>
            </w:r>
          </w:p>
        </w:tc>
      </w:tr>
    </w:tbl>
    <w:p>
      <w:pPr>
        <w:spacing w:after="0" w:line="20" w:lineRule="exact" w:before="0"/>
      </w:pPr>
      <w:r>
        <w:rPr>
          <w:rFonts w:ascii="Noto Naskh Arabic" w:hAnsi="Noto Naskh Arabic" w:cs="Noto Naskh Arabic" w:eastAsia="Noto Naskh Arabic"/>
          <w:b w:val="0"/>
          <w:sz w:val="2"/>
          <w:szCs w:val="2"/>
          <w:rtl w:val="1"/>
          <w:bCs w:val="0"/>
        </w:rPr>
      </w:r>
    </w:p>
    <w:p>
      <w:pPr>
        <w:keepNext w:val="0"/>
        <w:bidi w:val="1"/>
        <w:spacing w:after="100" w:line="360" w:lineRule="exact"/>
        <w:jc w:val="both"/>
      </w:pPr>
      <w:r>
        <w:rPr>
          <w:rFonts w:ascii="Noto Naskh Arabic" w:hAnsi="Noto Naskh Arabic" w:cs="Noto Naskh Arabic" w:eastAsia="Noto Naskh Arabic"/>
          <w:b w:val="0"/>
          <w:sz w:val="25"/>
          <w:szCs w:val="25"/>
          <w:rtl w:val="1"/>
          <w:bCs w:val="0"/>
        </w:rPr>
        <w:t xml:space="preserve">ملاحظة: ن = ١٢٤؛ </w:t>
      </w:r>
      <w:r>
        <w:rPr>
          <w:rFonts w:ascii="Noto Naskh Arabic" w:hAnsi="Noto Naskh Arabic" w:cs="Noto Naskh Arabic" w:eastAsia="Noto Naskh Arabic"/>
          <w:b w:val="0"/>
          <w:sz w:val="25"/>
          <w:szCs w:val="25"/>
          <w:rtl w:val="0"/>
          <w:bCs w:val="0"/>
        </w:rPr>
        <w:t>‎**: p &lt; 0.01‎</w:t>
      </w:r>
      <w:r>
        <w:rPr>
          <w:rFonts w:ascii="Noto Naskh Arabic" w:hAnsi="Noto Naskh Arabic" w:cs="Noto Naskh Arabic" w:eastAsia="Noto Naskh Arabic"/>
          <w:b w:val="0"/>
          <w:sz w:val="25"/>
          <w:szCs w:val="25"/>
          <w:rtl w:val="1"/>
          <w:bCs w:val="0"/>
        </w:rPr>
        <w:t xml:space="preserve"> بعد Holm للـ٤٨ اختبارًا؛ وجميع قيم p المعدلة </w:t>
      </w:r>
      <w:r>
        <w:rPr>
          <w:rFonts w:ascii="Noto Naskh Arabic" w:hAnsi="Noto Naskh Arabic" w:cs="Noto Naskh Arabic" w:eastAsia="Noto Naskh Arabic"/>
          <w:b w:val="0"/>
          <w:sz w:val="25"/>
          <w:szCs w:val="25"/>
          <w:rtl w:val="0"/>
          <w:bCs w:val="0"/>
        </w:rPr>
        <w:t>‎&lt; 0.001‎</w:t>
      </w:r>
      <w:r>
        <w:rPr>
          <w:rFonts w:ascii="Noto Naskh Arabic" w:hAnsi="Noto Naskh Arabic" w:cs="Noto Naskh Arabic" w:eastAsia="Noto Naskh Arabic"/>
          <w:b w:val="0"/>
          <w:sz w:val="25"/>
          <w:szCs w:val="25"/>
          <w:rtl w:val="1"/>
          <w:bCs w:val="0"/>
        </w:rPr>
        <w:t>. يستبعد البند من مجموع محوره عند حساب r؛ الاختبارات ثنائية الطرف.</w:t>
      </w:r>
    </w:p>
    <w:p>
      <w:pPr>
        <w:keepNext w:val="0"/>
        <w:bidi w:val="1"/>
        <w:spacing w:after="100" w:line="440" w:lineRule="exact"/>
        <w:jc w:val="both"/>
      </w:pPr>
      <w:r>
        <w:rPr>
          <w:rFonts w:ascii="Noto Naskh Arabic" w:hAnsi="Noto Naskh Arabic" w:cs="Noto Naskh Arabic" w:eastAsia="Noto Naskh Arabic"/>
          <w:b w:val="0"/>
          <w:sz w:val="28"/>
          <w:szCs w:val="28"/>
          <w:rtl w:val="1"/>
          <w:bCs w:val="0"/>
        </w:rPr>
        <w:t>توضح بيانات الجدول رقم (٧) أن ارتباطات بنود محور «شدة التحديات» موجبة ودالة إحصائيًا (</w:t>
      </w:r>
      <w:r>
        <w:rPr>
          <w:rFonts w:ascii="Noto Naskh Arabic" w:hAnsi="Noto Naskh Arabic" w:cs="Noto Naskh Arabic" w:eastAsia="Noto Naskh Arabic"/>
          <w:b w:val="0"/>
          <w:sz w:val="28"/>
          <w:szCs w:val="28"/>
          <w:rtl w:val="0"/>
          <w:bCs w:val="0"/>
        </w:rPr>
        <w:t>‎p &lt; 0.001‎</w:t>
      </w:r>
      <w:r>
        <w:rPr>
          <w:rFonts w:ascii="Noto Naskh Arabic" w:hAnsi="Noto Naskh Arabic" w:cs="Noto Naskh Arabic" w:eastAsia="Noto Naskh Arabic"/>
          <w:b w:val="0"/>
          <w:sz w:val="28"/>
          <w:szCs w:val="28"/>
          <w:rtl w:val="1"/>
          <w:bCs w:val="0"/>
        </w:rPr>
        <w:t>) بعد Holm. جاء أعلى ارتباط للبند (A6_02) «قلة الخبرات والمهارات التقنية اللازمة لتطبيق الحوكمة الرقمية.»، وقيمته ٠.٧٢٧؛ وأدنى ارتباط للبند (A6_05) «وجود معوقات تنظيمية أو قانونية تؤثر في تطبيق الحوكمة الرقمية.»، وقيمته ٠.٣١٣. وتدعم النتائج اتساق بنود المحور؛ ويظل A6_05 دالًا رغم أنه أدنى ارتباط في الاستبانة.</w:t>
      </w:r>
    </w:p>
    <w:sectPr w:rsidR="00FC693F" w:rsidRPr="0006063C" w:rsidSect="00034616">
      <w:pgSz w:w="12240" w:h="15840"/>
      <w:pgMar w:top="1008" w:right="1008" w:bottom="1008"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ascii="Noto Naskh Arabic" w:hAnsi="Noto Naskh Arabic" w:cs="Noto Naskh Arabic" w:eastAsia="Noto Naskh Arabic"/>
        <w:b w:val="0"/>
        <w:sz w:val="22"/>
        <w:szCs w:val="22"/>
        <w:rtl w:val="1"/>
        <w:bCs w:val="0"/>
      </w:rPr>
      <w:t xml:space="preserve">صفحة </w:t>
    </w:r>
    <w:fldSimple w:instr="PAGE \* Arabic"/>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Noto Naskh Arabic" w:hAnsi="Noto Naskh Arabic" w:cs="Noto Naskh Arabic" w:eastAsia="Noto Naskh Arabic"/>
        <w:b w:val="0"/>
        <w:color w:val="64748B"/>
        <w:sz w:val="20"/>
        <w:szCs w:val="20"/>
        <w:rtl w:val="1"/>
        <w:bCs w:val="0"/>
      </w:rPr>
      <w:t>مؤشرات الاتساق الداخلي لبنود الاستبانة | نتائج الدراسة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20"/>
      <w:bidi w:val="1"/>
    </w:pPr>
    <w:rPr>
      <w:rFonts w:ascii="Noto Naskh Arabic" w:hAnsi="Noto Naskh Arabic"/>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bidi w:val="1"/>
    </w:pPr>
    <w:rPr>
      <w:rFonts w:asciiTheme="majorHAnsi" w:eastAsiaTheme="majorEastAsia" w:hAnsiTheme="majorHAnsi" w:cstheme="majorBidi" w:ascii="Noto Naskh Arabic" w:hAnsi="Noto Naskh Arabic"/>
      <w:b/>
      <w:bCs/>
      <w:color w:val="244A73"/>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bidi w:val="1"/>
    </w:pPr>
    <w:rPr>
      <w:rFonts w:asciiTheme="majorHAnsi" w:eastAsiaTheme="majorEastAsia" w:hAnsiTheme="majorHAnsi" w:cstheme="majorBidi" w:ascii="Noto Naskh Arabic" w:hAnsi="Noto Naskh Arabic"/>
      <w:b/>
      <w:bCs/>
      <w:color w:val="244A73"/>
      <w:sz w:val="34"/>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bidi w:val="1"/>
    </w:pPr>
    <w:rPr>
      <w:rFonts w:asciiTheme="majorHAnsi" w:eastAsiaTheme="majorEastAsia" w:hAnsiTheme="majorHAnsi" w:cstheme="majorBidi" w:ascii="Noto Naskh Arabic" w:hAnsi="Noto Naskh Arabic"/>
      <w:b/>
      <w:bCs/>
      <w:color w:val="244A73"/>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240"/>
      <w:contextualSpacing/>
      <w:bidi w:val="1"/>
    </w:pPr>
    <w:rPr>
      <w:rFonts w:asciiTheme="majorHAnsi" w:eastAsiaTheme="majorEastAsia" w:hAnsiTheme="majorHAnsi" w:cstheme="majorBidi" w:ascii="Noto Naskh Arabic" w:hAnsi="Noto Naskh Arabic"/>
      <w:b/>
      <w:color w:val="244A73"/>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مؤشرات الاتساق الداخلي لبنود الاستبانة</dc:title>
  <dc:subject>ارتباطات بيرسون المصححة للبنود ودلالتها بعد تصحيح Holm</dc:subject>
  <dc:creator>تقرير إحصائي أُعد من بيانات الدراسة</dc:creator>
  <cp:keywords>استبيان، ألفا كرونباخ، الحوكمة الرقمية، التنمية المستدامة</cp:keywords>
  <dc:description>تقرير مركز يضم ملخصًا وستة جداول لجميع البنود؛ جميع القيم مستمدة من analysis_results.json المدقق. النجوم حسب p بعد Holm.</dc:description>
  <cp:lastModifiedBy/>
  <cp:revision>1</cp:revision>
  <dcterms:created xsi:type="dcterms:W3CDTF">2013-12-23T23:15:00Z</dcterms:created>
  <dcterms:modified xsi:type="dcterms:W3CDTF">2013-12-23T23:15:00Z</dcterms:modified>
  <cp:category/>
</cp:coreProperties>
</file>