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1"/>
        <w:spacing w:after="160"/>
        <w:jc w:val="center"/>
      </w:pPr>
      <w:r>
        <w:rPr>
          <w:rFonts w:ascii="Noto Naskh Arabic" w:hAnsi="Noto Naskh Arabic" w:cs="Noto Naskh Arabic" w:eastAsia="Noto Naskh Arabic"/>
          <w:b/>
          <w:sz w:val="44"/>
          <w:szCs w:val="44"/>
          <w:rtl w:val="1"/>
          <w:bCs w:val="1"/>
        </w:rPr>
        <w:t>مؤشرات الاتساق الداخلي لبنود الاستبانة</w:t>
      </w:r>
    </w:p>
    <w:p>
      <w:pPr>
        <w:keepNext w:val="0"/>
        <w:bidi w:val="1"/>
        <w:spacing w:after="160"/>
        <w:jc w:val="center"/>
      </w:pPr>
      <w:r>
        <w:rPr>
          <w:rFonts w:ascii="Noto Naskh Arabic" w:hAnsi="Noto Naskh Arabic" w:cs="Noto Naskh Arabic" w:eastAsia="Noto Naskh Arabic"/>
          <w:b/>
          <w:sz w:val="32"/>
          <w:szCs w:val="32"/>
          <w:rtl w:val="1"/>
          <w:bCs w:val="1"/>
        </w:rPr>
        <w:t>توظيف ممارسي الاتصال المؤسسي للحوكمة الرقمية ودورها في تحقيق التنمية المستدامة في ضوء رؤية المملكة ٢٠٣٠. دراسة مسحية</w:t>
      </w:r>
    </w:p>
    <w:p>
      <w:pPr>
        <w:keepNext w:val="0"/>
        <w:bidi w:val="1"/>
        <w:spacing w:after="120"/>
        <w:jc w:val="both"/>
      </w:pPr>
      <w:r>
        <w:rPr>
          <w:rFonts w:ascii="Noto Naskh Arabic" w:hAnsi="Noto Naskh Arabic" w:cs="Noto Naskh Arabic" w:eastAsia="Noto Naskh Arabic"/>
          <w:b w:val="0"/>
          <w:sz w:val="28"/>
          <w:szCs w:val="28"/>
          <w:rtl w:val="1"/>
          <w:bCs w:val="0"/>
        </w:rPr>
        <w:t>يتناول هذا التقرير الاتساق الداخلي للمحاور الستة، البالغ عدد بنودها ٤٨ بندًا، اعتمادًا على استجابات ١٢٤ مشاركًا. حُسب ارتباط بيرسون بين كل بند ومجموع بقية بنود محوره بعد استبعاد البند، لتجنب تضمين البند في الدرجة التي يُقارن بها. اختبارات الدلالة ثنائية الطرف، مع تصحيح Holm للاختبارات الـ٤٨؛ وتعرض المعاملات بثلاث منازل عشرية.</w:t>
      </w:r>
    </w:p>
    <w:p>
      <w:pPr>
        <w:keepNext/>
        <w:bidi w:val="1"/>
        <w:spacing w:after="0" w:line="480" w:lineRule="exact"/>
        <w:jc w:val="center"/>
      </w:pPr>
      <w:r>
        <w:rPr>
          <w:rFonts w:ascii="Noto Naskh Arabic" w:hAnsi="Noto Naskh Arabic" w:cs="Noto Naskh Arabic" w:eastAsia="Noto Naskh Arabic"/>
          <w:b/>
          <w:sz w:val="32"/>
          <w:szCs w:val="32"/>
          <w:rtl w:val="1"/>
          <w:bCs w:val="1"/>
        </w:rPr>
        <w:t>جدول رقم (١)</w:t>
      </w:r>
    </w:p>
    <w:p>
      <w:pPr>
        <w:keepNext/>
        <w:bidi w:val="1"/>
        <w:spacing w:after="100" w:line="480" w:lineRule="exact"/>
        <w:jc w:val="center"/>
      </w:pPr>
      <w:r>
        <w:rPr>
          <w:rFonts w:ascii="Noto Naskh Arabic" w:hAnsi="Noto Naskh Arabic" w:cs="Noto Naskh Arabic" w:eastAsia="Noto Naskh Arabic"/>
          <w:b/>
          <w:sz w:val="32"/>
          <w:szCs w:val="32"/>
          <w:rtl w:val="1"/>
          <w:bCs w:val="1"/>
        </w:rPr>
        <w:t>ملخص معاملات الارتباط المصححة ودلالتها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744"/>
        <w:gridCol w:w="792"/>
        <w:gridCol w:w="1080"/>
        <w:gridCol w:w="1080"/>
        <w:gridCol w:w="1584"/>
        <w:gridCol w:w="1944"/>
      </w:tblGrid>
      <w:tr>
        <w:trPr>
          <w:tblHeader w:val="1"/>
        </w:trPr>
        <w:tc>
          <w:tcPr>
            <w:tcW w:type="dxa" w:w="374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المحور</w:t>
            </w:r>
          </w:p>
        </w:tc>
        <w:tc>
          <w:tcPr>
            <w:tcW w:type="dxa" w:w="79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عدد البنود</w:t>
            </w:r>
          </w:p>
        </w:tc>
        <w:tc>
          <w:tcPr>
            <w:tcW w:type="dxa" w:w="108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أدنى ارتباط</w:t>
            </w:r>
          </w:p>
        </w:tc>
        <w:tc>
          <w:tcPr>
            <w:tcW w:type="dxa" w:w="108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أعلى ارتباط</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94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3744"/>
            <w:vAlign w:val="center"/>
            <w:tcMar>
              <w:top w:w="55" w:type="dxa"/>
              <w:left w:w="55" w:type="dxa"/>
              <w:bottom w:w="55" w:type="dxa"/>
              <w:right w:w="55" w:type="dxa"/>
            </w:tcMar>
          </w:tcPr>
          <w:p>
            <w:pPr>
              <w:bidi w:val="1"/>
              <w:spacing w:before="20" w:after="20" w:line="400" w:lineRule="exact"/>
              <w:jc w:val="right"/>
            </w:pPr>
            <w:r/>
            <w:r>
              <w:rPr>
                <w:rFonts w:ascii="Noto Naskh Arabic" w:hAnsi="Noto Naskh Arabic" w:cs="Noto Naskh Arabic" w:eastAsia="Noto Naskh Arabic"/>
                <w:b w:val="0"/>
                <w:sz w:val="26"/>
                <w:szCs w:val="26"/>
                <w:rtl w:val="1"/>
                <w:bCs w:val="0"/>
              </w:rPr>
              <w:t>الوعي بالحوكمة الرقمية</w:t>
            </w:r>
          </w:p>
        </w:tc>
        <w:tc>
          <w:tcPr>
            <w:tcW w:type="dxa" w:w="79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٧</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‎٠.٦٧٦**‎</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‎٠.٨٤٥**‎</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94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جميع البنود دالة</w:t>
            </w:r>
          </w:p>
        </w:tc>
      </w:tr>
      <w:tr>
        <w:trPr>
          <w:cantSplit w:val="1"/>
        </w:trPr>
        <w:tc>
          <w:tcPr>
            <w:tcW w:type="dxa" w:w="3744"/>
            <w:vAlign w:val="center"/>
            <w:tcMar>
              <w:top w:w="55" w:type="dxa"/>
              <w:left w:w="55" w:type="dxa"/>
              <w:bottom w:w="55" w:type="dxa"/>
              <w:right w:w="55" w:type="dxa"/>
            </w:tcMar>
          </w:tcPr>
          <w:p>
            <w:pPr>
              <w:bidi w:val="1"/>
              <w:spacing w:before="20" w:after="20" w:line="400" w:lineRule="exact"/>
              <w:jc w:val="right"/>
            </w:pPr>
            <w:r/>
            <w:r>
              <w:rPr>
                <w:rFonts w:ascii="Noto Naskh Arabic" w:hAnsi="Noto Naskh Arabic" w:cs="Noto Naskh Arabic" w:eastAsia="Noto Naskh Arabic"/>
                <w:b w:val="0"/>
                <w:sz w:val="26"/>
                <w:szCs w:val="26"/>
                <w:rtl w:val="1"/>
                <w:bCs w:val="0"/>
              </w:rPr>
              <w:t>توظيف الحوكمة الرقمية</w:t>
            </w:r>
          </w:p>
        </w:tc>
        <w:tc>
          <w:tcPr>
            <w:tcW w:type="dxa" w:w="79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٨</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‎٠.٦٦٣**‎</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‎٠.٧٩٢**‎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94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جميع البنود دالة</w:t>
            </w:r>
          </w:p>
        </w:tc>
      </w:tr>
      <w:tr>
        <w:trPr>
          <w:cantSplit w:val="1"/>
        </w:trPr>
        <w:tc>
          <w:tcPr>
            <w:tcW w:type="dxa" w:w="3744"/>
            <w:vAlign w:val="center"/>
            <w:tcMar>
              <w:top w:w="55" w:type="dxa"/>
              <w:left w:w="55" w:type="dxa"/>
              <w:bottom w:w="55" w:type="dxa"/>
              <w:right w:w="55" w:type="dxa"/>
            </w:tcMar>
          </w:tcPr>
          <w:p>
            <w:pPr>
              <w:bidi w:val="1"/>
              <w:spacing w:before="20" w:after="20" w:line="400" w:lineRule="exact"/>
              <w:jc w:val="right"/>
            </w:pPr>
            <w:r/>
            <w:r>
              <w:rPr>
                <w:rFonts w:ascii="Noto Naskh Arabic" w:hAnsi="Noto Naskh Arabic" w:cs="Noto Naskh Arabic" w:eastAsia="Noto Naskh Arabic"/>
                <w:b w:val="0"/>
                <w:sz w:val="26"/>
                <w:szCs w:val="26"/>
                <w:rtl w:val="1"/>
                <w:bCs w:val="0"/>
              </w:rPr>
              <w:t>تشكيل الممارسة الاتصالية</w:t>
            </w:r>
          </w:p>
        </w:tc>
        <w:tc>
          <w:tcPr>
            <w:tcW w:type="dxa" w:w="79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٦</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‎٠.٥٨٥**‎</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‎٠.٦٤٦**‎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94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جميع البنود دالة</w:t>
            </w:r>
          </w:p>
        </w:tc>
      </w:tr>
      <w:tr>
        <w:trPr>
          <w:cantSplit w:val="1"/>
        </w:trPr>
        <w:tc>
          <w:tcPr>
            <w:tcW w:type="dxa" w:w="3744"/>
            <w:vAlign w:val="center"/>
            <w:tcMar>
              <w:top w:w="55" w:type="dxa"/>
              <w:left w:w="55" w:type="dxa"/>
              <w:bottom w:w="55" w:type="dxa"/>
              <w:right w:w="55" w:type="dxa"/>
            </w:tcMar>
          </w:tcPr>
          <w:p>
            <w:pPr>
              <w:bidi w:val="1"/>
              <w:spacing w:before="20" w:after="20" w:line="400" w:lineRule="exact"/>
              <w:jc w:val="right"/>
            </w:pPr>
            <w:r/>
            <w:r>
              <w:rPr>
                <w:rFonts w:ascii="Noto Naskh Arabic" w:hAnsi="Noto Naskh Arabic" w:cs="Noto Naskh Arabic" w:eastAsia="Noto Naskh Arabic"/>
                <w:b w:val="0"/>
                <w:sz w:val="26"/>
                <w:szCs w:val="26"/>
                <w:rtl w:val="1"/>
                <w:bCs w:val="0"/>
              </w:rPr>
              <w:t>المنفعة المدركة</w:t>
            </w:r>
          </w:p>
        </w:tc>
        <w:tc>
          <w:tcPr>
            <w:tcW w:type="dxa" w:w="79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٨</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‎٠.٤٧٩**‎</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‎٠.٧١٠**‎</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94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جميع البنود دالة</w:t>
            </w:r>
          </w:p>
        </w:tc>
      </w:tr>
      <w:tr>
        <w:trPr>
          <w:cantSplit w:val="1"/>
        </w:trPr>
        <w:tc>
          <w:tcPr>
            <w:tcW w:type="dxa" w:w="3744"/>
            <w:vAlign w:val="center"/>
            <w:tcMar>
              <w:top w:w="55" w:type="dxa"/>
              <w:left w:w="55" w:type="dxa"/>
              <w:bottom w:w="55" w:type="dxa"/>
              <w:right w:w="55" w:type="dxa"/>
            </w:tcMar>
          </w:tcPr>
          <w:p>
            <w:pPr>
              <w:bidi w:val="1"/>
              <w:spacing w:before="20" w:after="20" w:line="400" w:lineRule="exact"/>
              <w:jc w:val="right"/>
            </w:pPr>
            <w:r/>
            <w:r>
              <w:rPr>
                <w:rFonts w:ascii="Noto Naskh Arabic" w:hAnsi="Noto Naskh Arabic" w:cs="Noto Naskh Arabic" w:eastAsia="Noto Naskh Arabic"/>
                <w:b w:val="0"/>
                <w:sz w:val="26"/>
                <w:szCs w:val="26"/>
                <w:rtl w:val="1"/>
                <w:bCs w:val="0"/>
              </w:rPr>
              <w:t>البعد المؤسسي للتنمية المستدامة</w:t>
            </w:r>
          </w:p>
        </w:tc>
        <w:tc>
          <w:tcPr>
            <w:tcW w:type="dxa" w:w="79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١٠</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‎٠.٥٢٧**‎</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‎٠.٧٦٦**‎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94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جميع البنود دالة</w:t>
            </w:r>
          </w:p>
        </w:tc>
      </w:tr>
      <w:tr>
        <w:trPr>
          <w:cantSplit w:val="1"/>
        </w:trPr>
        <w:tc>
          <w:tcPr>
            <w:tcW w:type="dxa" w:w="3744"/>
            <w:vAlign w:val="center"/>
            <w:tcMar>
              <w:top w:w="55" w:type="dxa"/>
              <w:left w:w="55" w:type="dxa"/>
              <w:bottom w:w="55" w:type="dxa"/>
              <w:right w:w="55" w:type="dxa"/>
            </w:tcMar>
          </w:tcPr>
          <w:p>
            <w:pPr>
              <w:bidi w:val="1"/>
              <w:spacing w:before="20" w:after="20" w:line="400" w:lineRule="exact"/>
              <w:jc w:val="right"/>
            </w:pPr>
            <w:r/>
            <w:r>
              <w:rPr>
                <w:rFonts w:ascii="Noto Naskh Arabic" w:hAnsi="Noto Naskh Arabic" w:cs="Noto Naskh Arabic" w:eastAsia="Noto Naskh Arabic"/>
                <w:b w:val="0"/>
                <w:sz w:val="26"/>
                <w:szCs w:val="26"/>
                <w:rtl w:val="1"/>
                <w:bCs w:val="0"/>
              </w:rPr>
              <w:t>شدة التحديات</w:t>
            </w:r>
          </w:p>
        </w:tc>
        <w:tc>
          <w:tcPr>
            <w:tcW w:type="dxa" w:w="79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٩</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‎٠.٣١٣**‎</w:t>
            </w:r>
          </w:p>
        </w:tc>
        <w:tc>
          <w:tcPr>
            <w:tcW w:type="dxa" w:w="1080"/>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‎٠.٧٢٧**‎</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94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جميع البنود 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الارتباط المصحح: بيرسون للبند مع مجموع بقية بنود محوره بعد استبعاده؛ ن = ١٢٤، واختبارات ثنائية الطرف. النجوم حسب الدلالة المعدلة بطريقة Holm للـ٤٨ اختبارًا: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w:t>
      </w:r>
      <w:r>
        <w:rPr>
          <w:rFonts w:ascii="Noto Naskh Arabic" w:hAnsi="Noto Naskh Arabic" w:cs="Noto Naskh Arabic" w:eastAsia="Noto Naskh Arabic"/>
          <w:b w:val="0"/>
          <w:sz w:val="25"/>
          <w:szCs w:val="25"/>
          <w:rtl w:val="0"/>
          <w:bCs w:val="0"/>
        </w:rPr>
        <w:t>‎*: p &lt; 0.05‎</w:t>
      </w:r>
      <w:r>
        <w:rPr>
          <w:rFonts w:ascii="Noto Naskh Arabic" w:hAnsi="Noto Naskh Arabic" w:cs="Noto Naskh Arabic" w:eastAsia="Noto Naskh Arabic"/>
          <w:b w:val="0"/>
          <w:sz w:val="25"/>
          <w:szCs w:val="25"/>
          <w:rtl w:val="1"/>
          <w:bCs w:val="0"/>
        </w:rPr>
        <w:t>.</w:t>
      </w:r>
    </w:p>
    <w:p>
      <w:pPr>
        <w:keepNext w:val="0"/>
        <w:bidi w:val="1"/>
        <w:spacing w:after="120" w:line="440" w:lineRule="exact"/>
        <w:jc w:val="both"/>
      </w:pPr>
      <w:r>
        <w:rPr>
          <w:rFonts w:ascii="Noto Naskh Arabic" w:hAnsi="Noto Naskh Arabic" w:cs="Noto Naskh Arabic" w:eastAsia="Noto Naskh Arabic"/>
          <w:b w:val="0"/>
          <w:sz w:val="28"/>
          <w:szCs w:val="28"/>
          <w:rtl w:val="1"/>
          <w:bCs w:val="0"/>
        </w:rPr>
        <w:t>توضح بيانات الجدول رقم (١) أن الارتباطات المصححة موجبة، وتراوحت بين ٠.٣١٣ و٠.٨٤٥، وجميعها 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وتدعم النتائج الاتساق الداخلي للمحاور في هذه العينة، لكنها لا تثبت وحدها صدق البناء؛ ولا تعني دلالتها أن جميع الارتباطات قوية.</w:t>
      </w:r>
    </w:p>
    <w:p>
      <w:pPr>
        <w:keepNext/>
        <w:pageBreakBefore/>
        <w:bidi w:val="1"/>
        <w:spacing w:after="0" w:line="480" w:lineRule="exact"/>
        <w:jc w:val="center"/>
      </w:pPr>
      <w:r>
        <w:rPr>
          <w:rFonts w:ascii="Noto Naskh Arabic" w:hAnsi="Noto Naskh Arabic" w:cs="Noto Naskh Arabic" w:eastAsia="Noto Naskh Arabic"/>
          <w:b/>
          <w:sz w:val="32"/>
          <w:szCs w:val="32"/>
          <w:rtl w:val="1"/>
          <w:bCs w:val="1"/>
        </w:rPr>
        <w:t>جدول رقم (٢)</w:t>
      </w:r>
    </w:p>
    <w:p>
      <w:pPr>
        <w:keepNext/>
        <w:bidi w:val="1"/>
        <w:spacing w:after="100" w:line="480" w:lineRule="exact"/>
        <w:jc w:val="center"/>
      </w:pPr>
      <w:r>
        <w:rPr>
          <w:rFonts w:ascii="Noto Naskh Arabic" w:hAnsi="Noto Naskh Arabic" w:cs="Noto Naskh Arabic" w:eastAsia="Noto Naskh Arabic"/>
          <w:b/>
          <w:sz w:val="32"/>
          <w:szCs w:val="32"/>
          <w:rtl w:val="1"/>
          <w:bCs w:val="1"/>
        </w:rPr>
        <w:t>معاملات الارتباط المصححة لبنود محور الوعي بالحوكمة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864"/>
        <w:gridCol w:w="5400"/>
        <w:gridCol w:w="1152"/>
        <w:gridCol w:w="1584"/>
        <w:gridCol w:w="1224"/>
      </w:tblGrid>
      <w:tr>
        <w:trPr>
          <w:tblHeader w:val="1"/>
        </w:trPr>
        <w:tc>
          <w:tcPr>
            <w:tcW w:type="dxa" w:w="86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رمز البند</w:t>
            </w:r>
          </w:p>
        </w:tc>
        <w:tc>
          <w:tcPr>
            <w:tcW w:type="dxa" w:w="540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العبارة</w:t>
            </w:r>
          </w:p>
        </w:tc>
        <w:tc>
          <w:tcPr>
            <w:tcW w:type="dxa" w:w="115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الارتباط المصحح r</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22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A1_01</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تمتد الحوكمة الرقمية من مفهوم الحوكمة في الإدارة الرشيدة.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‎٠.٦٧٦**‎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A1_02</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تساعد الحوكمة الرقمية على تسهيل التكامل والتواصل بين الإدارات وجماهيرها داخل المنظمة وخارجها والمنظمات الأخرى.</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‎٠.٧٣٩**‎</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A1_03</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مبادئ المساءلة والرقابة الرقمية على الأداء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‎٠.٨٣٣**‎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A1_04</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مبادئ الشفافية والإفصاح في الاتصال المؤسسي الرقمي.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‎٠.٨٤٥**‎</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A1_05</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رفع كفاءة وفعالية ممارسات الاتصال المؤسسي عبر الفضاء الرقمي.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‎٠.٧٥٩**‎</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A1_06</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استخدام مؤشرات الأداء الرقمية في المتابعة والتقييم.</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‎٠.٧٣١**‎</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A1_07</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تسهل الحوكمة الرقمية التحول من منظمة مغلقة إلى منظمة منفتحة ذات أداء عالٍ.</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‎٠.٧٥٨**‎</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ن = ١٢٤؛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بعد Holm للـ٤٨ اختبارًا؛ وجميع قيم p المعدلة </w:t>
      </w:r>
      <w:r>
        <w:rPr>
          <w:rFonts w:ascii="Noto Naskh Arabic" w:hAnsi="Noto Naskh Arabic" w:cs="Noto Naskh Arabic" w:eastAsia="Noto Naskh Arabic"/>
          <w:b w:val="0"/>
          <w:sz w:val="25"/>
          <w:szCs w:val="25"/>
          <w:rtl w:val="0"/>
          <w:bCs w:val="0"/>
        </w:rPr>
        <w:t>‎&lt; 0.001‎</w:t>
      </w:r>
      <w:r>
        <w:rPr>
          <w:rFonts w:ascii="Noto Naskh Arabic" w:hAnsi="Noto Naskh Arabic" w:cs="Noto Naskh Arabic" w:eastAsia="Noto Naskh Arabic"/>
          <w:b w:val="0"/>
          <w:sz w:val="25"/>
          <w:szCs w:val="25"/>
          <w:rtl w:val="1"/>
          <w:bCs w:val="0"/>
        </w:rPr>
        <w:t>. يستبعد البند من مجموع محوره عند حساب r؛ الاختبارات ثنائية الطرف.</w:t>
      </w:r>
    </w:p>
    <w:p>
      <w:pPr>
        <w:keepNext w:val="0"/>
        <w:bidi w:val="1"/>
        <w:spacing w:after="100" w:line="440" w:lineRule="exact"/>
        <w:jc w:val="both"/>
      </w:pPr>
      <w:r>
        <w:rPr>
          <w:rFonts w:ascii="Noto Naskh Arabic" w:hAnsi="Noto Naskh Arabic" w:cs="Noto Naskh Arabic" w:eastAsia="Noto Naskh Arabic"/>
          <w:b w:val="0"/>
          <w:sz w:val="28"/>
          <w:szCs w:val="28"/>
          <w:rtl w:val="1"/>
          <w:bCs w:val="0"/>
        </w:rPr>
        <w:t>توضح بيانات الجدول رقم (٢) أن ارتباطات بنود محور «الوعي بالحوكمة الرقمية» موجبة ودالة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جاء أعلى ارتباط للبند (A1_04) «مبادئ الشفافية والإفصاح في الاتصال المؤسسي الرقمي.»، وقيمته ٠.٨٤٥؛ وأدنى ارتباط للبند (A1_01) «تمتد الحوكمة الرقمية من مفهوم الحوكمة في الإدارة الرشيدة.»، وقيمته ٠.٦٧٦. يدعم ذلك الاتساق الداخلي للمحور في العينة الحالية، مع تفاوت قوة ارتباط بنوده.</w:t>
      </w:r>
    </w:p>
    <w:p>
      <w:pPr>
        <w:keepNext/>
        <w:pageBreakBefore/>
        <w:bidi w:val="1"/>
        <w:spacing w:after="0" w:line="480" w:lineRule="exact"/>
        <w:jc w:val="center"/>
      </w:pPr>
      <w:r>
        <w:rPr>
          <w:rFonts w:ascii="Noto Naskh Arabic" w:hAnsi="Noto Naskh Arabic" w:cs="Noto Naskh Arabic" w:eastAsia="Noto Naskh Arabic"/>
          <w:b/>
          <w:sz w:val="32"/>
          <w:szCs w:val="32"/>
          <w:rtl w:val="1"/>
          <w:bCs w:val="1"/>
        </w:rPr>
        <w:t>جدول رقم (٣)</w:t>
      </w:r>
    </w:p>
    <w:p>
      <w:pPr>
        <w:keepNext/>
        <w:bidi w:val="1"/>
        <w:spacing w:after="100" w:line="480" w:lineRule="exact"/>
        <w:jc w:val="center"/>
      </w:pPr>
      <w:r>
        <w:rPr>
          <w:rFonts w:ascii="Noto Naskh Arabic" w:hAnsi="Noto Naskh Arabic" w:cs="Noto Naskh Arabic" w:eastAsia="Noto Naskh Arabic"/>
          <w:b/>
          <w:sz w:val="32"/>
          <w:szCs w:val="32"/>
          <w:rtl w:val="1"/>
          <w:bCs w:val="1"/>
        </w:rPr>
        <w:t>معاملات الارتباط المصححة لبنود محور توظيف 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864"/>
        <w:gridCol w:w="5400"/>
        <w:gridCol w:w="1152"/>
        <w:gridCol w:w="1584"/>
        <w:gridCol w:w="1224"/>
      </w:tblGrid>
      <w:tr>
        <w:trPr>
          <w:tblHeader w:val="1"/>
        </w:trPr>
        <w:tc>
          <w:tcPr>
            <w:tcW w:type="dxa" w:w="86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رمز البند</w:t>
            </w:r>
          </w:p>
        </w:tc>
        <w:tc>
          <w:tcPr>
            <w:tcW w:type="dxa" w:w="540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العبارة</w:t>
            </w:r>
          </w:p>
        </w:tc>
        <w:tc>
          <w:tcPr>
            <w:tcW w:type="dxa" w:w="115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الارتباط المصحح r</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22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A2_01</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أوظف القنوات الرقمية في نشر المعلومات المؤسسية بما يعزز الشفافية والإفصاح.</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‎٠.٧٠٩**‎</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A2_02</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أستخدم الأنظمة الرقمية في توثيق الإجراءات والأنشطة الاتصالية بما يسهل متابعتها ومراجعتها.</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‎٠.٧٥٢**‎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A2_03</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أستخدم القنوات والمنصات الرقمية لإتاحة فرص مشاركة الجمهور وأصحاب المصلحة في الموضوعات ذات العلاقة بالمنظمة.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‎٠.٦٦٣**‎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A2_04</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ألتزم بالسياسات والإجراءات التنظيمية المعتمدة عند إدارة المحتوى والاتصال عبر القنوات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‎٠.٦٧٤**‎</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A2_05</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أستخدم مؤشرات الأداء الرقمية (KPIs) في متابعة مدى تحقيق أهداف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‎٠.٦٧٢**‎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A2_06</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أعتمد على الوسائل الرقمية في إعداد التقارير المتعلقة بنتائج وأداء أنشطة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‎٠.٧٦٩**‎</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A2_07</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أعتمد على البيانات والمؤشرات الرقمية عند اتخاذ القرارات المتعلقة بالاتصال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‎٠.٧٩٢**‎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A2_08</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أستخدم الأنظمة الرقمية لتتبع الإجراءات والقرارات الاتصالية وتحديد المسؤوليات المرتبطة بها.</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‎٠.٦٩٦**‎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ن = ١٢٤؛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بعد Holm للـ٤٨ اختبارًا؛ وجميع قيم p المعدلة </w:t>
      </w:r>
      <w:r>
        <w:rPr>
          <w:rFonts w:ascii="Noto Naskh Arabic" w:hAnsi="Noto Naskh Arabic" w:cs="Noto Naskh Arabic" w:eastAsia="Noto Naskh Arabic"/>
          <w:b w:val="0"/>
          <w:sz w:val="25"/>
          <w:szCs w:val="25"/>
          <w:rtl w:val="0"/>
          <w:bCs w:val="0"/>
        </w:rPr>
        <w:t>‎&lt; 0.001‎</w:t>
      </w:r>
      <w:r>
        <w:rPr>
          <w:rFonts w:ascii="Noto Naskh Arabic" w:hAnsi="Noto Naskh Arabic" w:cs="Noto Naskh Arabic" w:eastAsia="Noto Naskh Arabic"/>
          <w:b w:val="0"/>
          <w:sz w:val="25"/>
          <w:szCs w:val="25"/>
          <w:rtl w:val="1"/>
          <w:bCs w:val="0"/>
        </w:rPr>
        <w:t>. يستبعد البند من مجموع محوره عند حساب r؛ الاختبارات ثنائية الطرف.</w:t>
      </w:r>
    </w:p>
    <w:p>
      <w:pPr>
        <w:keepNext w:val="0"/>
        <w:bidi w:val="1"/>
        <w:spacing w:after="100" w:line="440" w:lineRule="exact"/>
        <w:jc w:val="both"/>
      </w:pPr>
      <w:r>
        <w:rPr>
          <w:rFonts w:ascii="Noto Naskh Arabic" w:hAnsi="Noto Naskh Arabic" w:cs="Noto Naskh Arabic" w:eastAsia="Noto Naskh Arabic"/>
          <w:b w:val="0"/>
          <w:sz w:val="28"/>
          <w:szCs w:val="28"/>
          <w:rtl w:val="1"/>
          <w:bCs w:val="0"/>
        </w:rPr>
        <w:t>توضح بيانات الجدول رقم (٣) أن ارتباطات بنود محور «توظيف الحوكمة الرقمية» موجبة ودالة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جاء أعلى ارتباط للبند (A2_07) «أعتمد على البيانات والمؤشرات الرقمية عند اتخاذ القرارات المتعلقة بالاتصال المؤسسي.»، وقيمته ٠.٧٩٢؛ وأدنى ارتباط للبند (A2_03) «أستخدم القنوات والمنصات الرقمية لإتاحة فرص مشاركة الجمهور وأصحاب المصلحة في الموضوعات ذات العلاقة بالمنظمة.»، وقيمته ٠.٦٦٣. يدعم ذلك الاتساق الداخلي للمحور في العينة الحالية، مع تفاوت قوة ارتباط بنوده.</w:t>
      </w:r>
    </w:p>
    <w:p>
      <w:pPr>
        <w:keepNext/>
        <w:pageBreakBefore/>
        <w:bidi w:val="1"/>
        <w:spacing w:after="0" w:line="480" w:lineRule="exact"/>
        <w:jc w:val="center"/>
      </w:pPr>
      <w:r>
        <w:rPr>
          <w:rFonts w:ascii="Noto Naskh Arabic" w:hAnsi="Noto Naskh Arabic" w:cs="Noto Naskh Arabic" w:eastAsia="Noto Naskh Arabic"/>
          <w:b/>
          <w:sz w:val="32"/>
          <w:szCs w:val="32"/>
          <w:rtl w:val="1"/>
          <w:bCs w:val="1"/>
        </w:rPr>
        <w:t>جدول رقم (٤)</w:t>
      </w:r>
    </w:p>
    <w:p>
      <w:pPr>
        <w:keepNext/>
        <w:bidi w:val="1"/>
        <w:spacing w:after="100" w:line="480" w:lineRule="exact"/>
        <w:jc w:val="center"/>
      </w:pPr>
      <w:r>
        <w:rPr>
          <w:rFonts w:ascii="Noto Naskh Arabic" w:hAnsi="Noto Naskh Arabic" w:cs="Noto Naskh Arabic" w:eastAsia="Noto Naskh Arabic"/>
          <w:b/>
          <w:sz w:val="32"/>
          <w:szCs w:val="32"/>
          <w:rtl w:val="1"/>
          <w:bCs w:val="1"/>
        </w:rPr>
        <w:t>معاملات الارتباط المصححة لبنود محور تشكيل الممارسة الاتصالية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864"/>
        <w:gridCol w:w="5400"/>
        <w:gridCol w:w="1152"/>
        <w:gridCol w:w="1584"/>
        <w:gridCol w:w="1224"/>
      </w:tblGrid>
      <w:tr>
        <w:trPr>
          <w:tblHeader w:val="1"/>
        </w:trPr>
        <w:tc>
          <w:tcPr>
            <w:tcW w:type="dxa" w:w="86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رمز البند</w:t>
            </w:r>
          </w:p>
        </w:tc>
        <w:tc>
          <w:tcPr>
            <w:tcW w:type="dxa" w:w="540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العبارة</w:t>
            </w:r>
          </w:p>
        </w:tc>
        <w:tc>
          <w:tcPr>
            <w:tcW w:type="dxa" w:w="115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الارتباط المصحح r</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22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A3_01</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أسهمت أنظمة الحوكمة الرقمية في زيادة الاعتماد على البيانات عند اتخاذ القرارات الاتصالية.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‎٠.٥٨٥**‎</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A3_02</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أدت متطلبات الحوكمة الرقمية إلى إعادة تشكيل بعض أدوار ومهام ممارسي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‎٠.٦٤٦**‎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A3_03</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أدى الاعتماد على أنظمة وتطبيقات الحوكمة الرقمية إلى تغيير أساليب ممارسة الاتصال المؤسسي داخل المنظمة.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‎٠.٦٠٣**‎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A3_04</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أسهمت تطبيقات الحوكمة الرقمية في تغيير أساليب تفاعل المنظمة مع جمهورها وأصحاب المصلحة.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‎٠.٥٨٨**‎</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A3_05</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يدفع التطور المستمر في أنظمة الحوكمة الرقمية إدارات الاتصال المؤسسي إلى تطوير إجراءات وأساليب عملها بصورة مستمرة.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‎٠.٥٩٧**‎</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A3_06</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أسهمت متطلبات الحوكمة الرقمية في تطوير المهارات الرقمية اللازمة لممارسة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‎٠.٦١٥**‎</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ن = ١٢٤؛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بعد Holm للـ٤٨ اختبارًا؛ وجميع قيم p المعدلة </w:t>
      </w:r>
      <w:r>
        <w:rPr>
          <w:rFonts w:ascii="Noto Naskh Arabic" w:hAnsi="Noto Naskh Arabic" w:cs="Noto Naskh Arabic" w:eastAsia="Noto Naskh Arabic"/>
          <w:b w:val="0"/>
          <w:sz w:val="25"/>
          <w:szCs w:val="25"/>
          <w:rtl w:val="0"/>
          <w:bCs w:val="0"/>
        </w:rPr>
        <w:t>‎&lt; 0.001‎</w:t>
      </w:r>
      <w:r>
        <w:rPr>
          <w:rFonts w:ascii="Noto Naskh Arabic" w:hAnsi="Noto Naskh Arabic" w:cs="Noto Naskh Arabic" w:eastAsia="Noto Naskh Arabic"/>
          <w:b w:val="0"/>
          <w:sz w:val="25"/>
          <w:szCs w:val="25"/>
          <w:rtl w:val="1"/>
          <w:bCs w:val="0"/>
        </w:rPr>
        <w:t>. يستبعد البند من مجموع محوره عند حساب r؛ الاختبارات ثنائية الطرف.</w:t>
      </w:r>
    </w:p>
    <w:p>
      <w:pPr>
        <w:keepNext w:val="0"/>
        <w:bidi w:val="1"/>
        <w:spacing w:after="100" w:line="440" w:lineRule="exact"/>
        <w:jc w:val="both"/>
      </w:pPr>
      <w:r>
        <w:rPr>
          <w:rFonts w:ascii="Noto Naskh Arabic" w:hAnsi="Noto Naskh Arabic" w:cs="Noto Naskh Arabic" w:eastAsia="Noto Naskh Arabic"/>
          <w:b w:val="0"/>
          <w:sz w:val="28"/>
          <w:szCs w:val="28"/>
          <w:rtl w:val="1"/>
          <w:bCs w:val="0"/>
        </w:rPr>
        <w:t>توضح بيانات الجدول رقم (٤) أن ارتباطات بنود محور «تشكيل الممارسة الاتصالية» موجبة ودالة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جاء أعلى ارتباط للبند (A3_02) «أدت متطلبات الحوكمة الرقمية إلى إعادة تشكيل بعض أدوار ومهام ممارسي الاتصال المؤسسي.»، وقيمته ٠.٦٤٦؛ وأدنى ارتباط للبند (A3_01) «أسهمت أنظمة الحوكمة الرقمية في زيادة الاعتماد على البيانات عند اتخاذ القرارات الاتصالية.»، وقيمته ٠.٥٨٥. يدعم ذلك الاتساق الداخلي للمحور في العينة الحالية، مع تفاوت قوة ارتباط بنوده.</w:t>
      </w:r>
    </w:p>
    <w:p>
      <w:pPr>
        <w:keepNext/>
        <w:pageBreakBefore/>
        <w:bidi w:val="1"/>
        <w:spacing w:after="0" w:line="480" w:lineRule="exact"/>
        <w:jc w:val="center"/>
      </w:pPr>
      <w:r>
        <w:rPr>
          <w:rFonts w:ascii="Noto Naskh Arabic" w:hAnsi="Noto Naskh Arabic" w:cs="Noto Naskh Arabic" w:eastAsia="Noto Naskh Arabic"/>
          <w:b/>
          <w:sz w:val="32"/>
          <w:szCs w:val="32"/>
          <w:rtl w:val="1"/>
          <w:bCs w:val="1"/>
        </w:rPr>
        <w:t>جدول رقم (٥)</w:t>
      </w:r>
    </w:p>
    <w:p>
      <w:pPr>
        <w:keepNext/>
        <w:bidi w:val="1"/>
        <w:spacing w:after="100" w:line="480" w:lineRule="exact"/>
        <w:jc w:val="center"/>
      </w:pPr>
      <w:r>
        <w:rPr>
          <w:rFonts w:ascii="Noto Naskh Arabic" w:hAnsi="Noto Naskh Arabic" w:cs="Noto Naskh Arabic" w:eastAsia="Noto Naskh Arabic"/>
          <w:b/>
          <w:sz w:val="32"/>
          <w:szCs w:val="32"/>
          <w:rtl w:val="1"/>
          <w:bCs w:val="1"/>
        </w:rPr>
        <w:t>معاملات الارتباط المصححة لبنود محور المنفعة المدركة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864"/>
        <w:gridCol w:w="5400"/>
        <w:gridCol w:w="1152"/>
        <w:gridCol w:w="1584"/>
        <w:gridCol w:w="1224"/>
      </w:tblGrid>
      <w:tr>
        <w:trPr>
          <w:tblHeader w:val="1"/>
        </w:trPr>
        <w:tc>
          <w:tcPr>
            <w:tcW w:type="dxa" w:w="86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رمز البند</w:t>
            </w:r>
          </w:p>
        </w:tc>
        <w:tc>
          <w:tcPr>
            <w:tcW w:type="dxa" w:w="540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العبارة</w:t>
            </w:r>
          </w:p>
        </w:tc>
        <w:tc>
          <w:tcPr>
            <w:tcW w:type="dxa" w:w="115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الارتباط المصحح r</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22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A4_01</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يساعدني توظيف الحوكمة الرقمية على مشاركة المعلومات وتقديمها بسهولة عبر وسائل الاتصال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‎٠.٦٠٩**‎</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A4_02</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يسهم توظيف الحوكمة الرقمية في تحسين جودة أداء مهامي في مجال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‎٠.٦٨٥**‎</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A4_03</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يساعدني توظيف الحوكمة الرقمية على الوصول إلى المعلومات اللازمة لأداء مهامي بسهولة وسرعة أكبر.</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‎٠.٦٦٦**‎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A4_04</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يسهم توظيف الحوكمة الرقمية في دعم اتخاذ القرارات المتعلقة بمهام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‎٠.٤٧٩**‎</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A4_05</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تساعدني الأدلة والسياسات الرقمية المعتمدة، مثل أدلة الهوية البصرية وسياسات النشر، على أداء مهامي الاتصالية بوضوح واتساق.</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‎٠.٤٩٠**‎</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A4_06</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توظيف الحوكمة الرقمية يؤدي إلى توفير الوقت والجهد عند أداء المهام الاتصالية.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‎٠.٥٠٦**‎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A4_07</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حفظ المعرفة المؤسسية وضمان استمرارية الاستفادة منها عند تغير الموظفين أو المسؤوليات.</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‎٠.٦١٢**‎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A4_08</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يساعدني توظيف الحوكمة الرقمية على متابعة الأنشطة الاتصالية وقياس نتائجها بصورة أكثر فاعلية.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‎٠.٧١٠**‎</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ن = ١٢٤؛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بعد Holm للـ٤٨ اختبارًا؛ وجميع قيم p المعدلة </w:t>
      </w:r>
      <w:r>
        <w:rPr>
          <w:rFonts w:ascii="Noto Naskh Arabic" w:hAnsi="Noto Naskh Arabic" w:cs="Noto Naskh Arabic" w:eastAsia="Noto Naskh Arabic"/>
          <w:b w:val="0"/>
          <w:sz w:val="25"/>
          <w:szCs w:val="25"/>
          <w:rtl w:val="0"/>
          <w:bCs w:val="0"/>
        </w:rPr>
        <w:t>‎&lt; 0.001‎</w:t>
      </w:r>
      <w:r>
        <w:rPr>
          <w:rFonts w:ascii="Noto Naskh Arabic" w:hAnsi="Noto Naskh Arabic" w:cs="Noto Naskh Arabic" w:eastAsia="Noto Naskh Arabic"/>
          <w:b w:val="0"/>
          <w:sz w:val="25"/>
          <w:szCs w:val="25"/>
          <w:rtl w:val="1"/>
          <w:bCs w:val="0"/>
        </w:rPr>
        <w:t>. يستبعد البند من مجموع محوره عند حساب r؛ الاختبارات ثنائية الطرف.</w:t>
      </w:r>
    </w:p>
    <w:p>
      <w:pPr>
        <w:keepNext w:val="0"/>
        <w:bidi w:val="1"/>
        <w:spacing w:after="100" w:line="440" w:lineRule="exact"/>
        <w:jc w:val="both"/>
      </w:pPr>
      <w:r>
        <w:rPr>
          <w:rFonts w:ascii="Noto Naskh Arabic" w:hAnsi="Noto Naskh Arabic" w:cs="Noto Naskh Arabic" w:eastAsia="Noto Naskh Arabic"/>
          <w:b w:val="0"/>
          <w:sz w:val="28"/>
          <w:szCs w:val="28"/>
          <w:rtl w:val="1"/>
          <w:bCs w:val="0"/>
        </w:rPr>
        <w:t>توضح بيانات الجدول رقم (٥) أن ارتباطات بنود محور «المنفعة المدركة» موجبة ودالة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جاء أعلى ارتباط للبند (A4_08) «يساعدني توظيف الحوكمة الرقمية على متابعة الأنشطة الاتصالية وقياس نتائجها بصورة أكثر فاعلية.»، وقيمته ٠.٧١٠؛ وأدنى ارتباط للبند (A4_04) «يسهم توظيف الحوكمة الرقمية في دعم اتخاذ القرارات المتعلقة بمهام الاتصال المؤسسي.»، وقيمته ٠.٤٧٩. يدعم ذلك الاتساق الداخلي للمحور في العينة الحالية، مع تفاوت قوة ارتباط بنوده.</w:t>
      </w:r>
    </w:p>
    <w:p>
      <w:pPr>
        <w:spacing w:line="20" w:lineRule="exact" w:before="0" w:after="0"/>
        <w:sectPr>
          <w:headerReference w:type="default" r:id="rId9"/>
          <w:footerReference w:type="default" r:id="rId10"/>
          <w:pgSz w:w="12240" w:h="15840"/>
          <w:pgMar w:top="1008" w:right="1008" w:bottom="1008" w:left="1008" w:header="360" w:footer="360" w:gutter="0"/>
          <w:cols w:space="720"/>
          <w:docGrid w:linePitch="360"/>
        </w:sectPr>
      </w:pPr>
      <w:r>
        <w:rPr>
          <w:rFonts w:ascii="Noto Naskh Arabic" w:hAnsi="Noto Naskh Arabic" w:cs="Noto Naskh Arabic" w:eastAsia="Noto Naskh Arabic"/>
          <w:b w:val="0"/>
          <w:sz w:val="2"/>
          <w:szCs w:val="2"/>
          <w:rtl w:val="1"/>
          <w:bCs w:val="0"/>
        </w:rPr>
      </w:r>
    </w:p>
    <w:p>
      <w:pPr>
        <w:keepNext/>
        <w:bidi w:val="1"/>
        <w:spacing w:after="0" w:line="480" w:lineRule="exact"/>
        <w:jc w:val="center"/>
      </w:pPr>
      <w:r>
        <w:rPr>
          <w:rFonts w:ascii="Noto Naskh Arabic" w:hAnsi="Noto Naskh Arabic" w:cs="Noto Naskh Arabic" w:eastAsia="Noto Naskh Arabic"/>
          <w:b/>
          <w:sz w:val="32"/>
          <w:szCs w:val="32"/>
          <w:rtl w:val="1"/>
          <w:bCs w:val="1"/>
        </w:rPr>
        <w:t>جدول رقم (٦)</w:t>
      </w:r>
    </w:p>
    <w:p>
      <w:pPr>
        <w:keepNext/>
        <w:bidi w:val="1"/>
        <w:spacing w:after="100" w:line="480" w:lineRule="exact"/>
        <w:jc w:val="center"/>
      </w:pPr>
      <w:r>
        <w:rPr>
          <w:rFonts w:ascii="Noto Naskh Arabic" w:hAnsi="Noto Naskh Arabic" w:cs="Noto Naskh Arabic" w:eastAsia="Noto Naskh Arabic"/>
          <w:b/>
          <w:sz w:val="32"/>
          <w:szCs w:val="32"/>
          <w:rtl w:val="1"/>
          <w:bCs w:val="1"/>
        </w:rPr>
        <w:t>معاملات الارتباط المصححة لبنود محور البعد المؤسسي للتنمية المستدامة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864"/>
        <w:gridCol w:w="9432"/>
        <w:gridCol w:w="1152"/>
        <w:gridCol w:w="1584"/>
        <w:gridCol w:w="1224"/>
      </w:tblGrid>
      <w:tr>
        <w:trPr>
          <w:tblHeader w:val="1"/>
        </w:trPr>
        <w:tc>
          <w:tcPr>
            <w:tcW w:type="dxa" w:w="86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رمز البند</w:t>
            </w:r>
          </w:p>
        </w:tc>
        <w:tc>
          <w:tcPr>
            <w:tcW w:type="dxa" w:w="943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العبارة</w:t>
            </w:r>
          </w:p>
        </w:tc>
        <w:tc>
          <w:tcPr>
            <w:tcW w:type="dxa" w:w="115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الارتباط المصحح r</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22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A5_01</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رفع كفاءة ممارسات الاتصال المؤسسي بما يدعم كفاءة الأداء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‎٠.٥٧٤**‎</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A5_02</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تعزيز شفافية الإجراءات والقرارات داخل المنظمة.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‎٠.٥٩٥**‎</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A5_03</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تساعد الحوكمة الرقمية على اتخاذ قرارات مؤسسية معتمدة على البيانات والمعلومات.</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‎٠.٦٣٤**‎</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A5_04</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البيانات والمؤشرات الرقمية المستخدمة في الاتصال المؤسسي في دعم القرارات ذات العلاقة بالممارسة الاتصالية.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‎٠.٦٦٣**‎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A5_05</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تدعم الحوكمة الرقمية مشاركة الجمهور وأصحاب المصلحة في الموضوعات والقرارات ذات العلاقة بهم.</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‎٠.٥٢٧**‎</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A5_06</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تعزيز التكامل والتنسيق بين إدارات المنظمة.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‎٠.٦١٣**‎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A5_07</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تساعد الحوكمة الرقمية على متابعة مؤشرات الأداء المؤسسي وقياس مستوى تحقيق الأهداف.</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‎٠.٦٩٨**‎</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A5_08</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تعزيز الالتزام بالسياسات والأنظمة والإجراءات المؤسسية.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‎٠.٦٠٢**‎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A5_09</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تعزز الحوكمة الرقمية مصداقية المنظمة لدى جمهورها وأصحاب المصلحة.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‎٠.٧٦٦**‎</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A5_10</w:t>
            </w:r>
          </w:p>
        </w:tc>
        <w:tc>
          <w:tcPr>
            <w:tcW w:type="dxa" w:w="9432"/>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تسهم الحوكمة الرقمية في تعزيز كفاءة وقدرة المنظمة على الاستجابة للتغيرات والمتطلبات المؤسسية والاستدامة.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‎٠.٦٢٣**‎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ن = ١٢٤؛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بعد Holm للـ٤٨ اختبارًا؛ وجميع قيم p المعدلة </w:t>
      </w:r>
      <w:r>
        <w:rPr>
          <w:rFonts w:ascii="Noto Naskh Arabic" w:hAnsi="Noto Naskh Arabic" w:cs="Noto Naskh Arabic" w:eastAsia="Noto Naskh Arabic"/>
          <w:b w:val="0"/>
          <w:sz w:val="25"/>
          <w:szCs w:val="25"/>
          <w:rtl w:val="0"/>
          <w:bCs w:val="0"/>
        </w:rPr>
        <w:t>‎&lt; 0.001‎</w:t>
      </w:r>
      <w:r>
        <w:rPr>
          <w:rFonts w:ascii="Noto Naskh Arabic" w:hAnsi="Noto Naskh Arabic" w:cs="Noto Naskh Arabic" w:eastAsia="Noto Naskh Arabic"/>
          <w:b w:val="0"/>
          <w:sz w:val="25"/>
          <w:szCs w:val="25"/>
          <w:rtl w:val="1"/>
          <w:bCs w:val="0"/>
        </w:rPr>
        <w:t>. يستبعد البند من مجموع محوره عند حساب r؛ الاختبارات ثنائية الطرف.</w:t>
      </w:r>
    </w:p>
    <w:p>
      <w:pPr>
        <w:keepNext w:val="0"/>
        <w:bidi w:val="1"/>
        <w:spacing w:after="100" w:line="440" w:lineRule="exact"/>
        <w:jc w:val="both"/>
      </w:pPr>
      <w:r>
        <w:rPr>
          <w:rFonts w:ascii="Noto Naskh Arabic" w:hAnsi="Noto Naskh Arabic" w:cs="Noto Naskh Arabic" w:eastAsia="Noto Naskh Arabic"/>
          <w:b w:val="0"/>
          <w:sz w:val="28"/>
          <w:szCs w:val="28"/>
          <w:rtl w:val="1"/>
          <w:bCs w:val="0"/>
        </w:rPr>
        <w:t>توضح بيانات الجدول رقم (٦) أن ارتباطات بنود محور «البعد المؤسسي للتنمية المستدامة» موجبة ودالة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جاء أعلى ارتباط للبند (A5_09) «تعزز الحوكمة الرقمية مصداقية المنظمة لدى جمهورها وأصحاب المصلحة.»، وقيمته ٠.٧٦٦؛ وأدنى ارتباط للبند (A5_05) «تدعم الحوكمة الرقمية مشاركة الجمهور وأصحاب المصلحة في الموضوعات والقرارات ذات العلاقة بهم.»، وقيمته ٠.٥٢٧. يدعم ذلك الاتساق الداخلي للمحور في العينة الحالية، مع تفاوت قوة ارتباط بنوده.</w:t>
      </w:r>
    </w:p>
    <w:p>
      <w:pPr>
        <w:spacing w:line="20" w:lineRule="exact" w:before="0" w:after="0"/>
        <w:sectPr>
          <w:pgSz w:w="15840" w:h="12240" w:orient="landscape"/>
          <w:pgMar w:top="648" w:right="792" w:bottom="648" w:left="792" w:header="360" w:footer="360" w:gutter="0"/>
          <w:cols w:space="720"/>
          <w:docGrid w:linePitch="360"/>
        </w:sectPr>
      </w:pPr>
      <w:r>
        <w:rPr>
          <w:rFonts w:ascii="Noto Naskh Arabic" w:hAnsi="Noto Naskh Arabic" w:cs="Noto Naskh Arabic" w:eastAsia="Noto Naskh Arabic"/>
          <w:b w:val="0"/>
          <w:sz w:val="2"/>
          <w:szCs w:val="2"/>
          <w:rtl w:val="1"/>
          <w:bCs w:val="0"/>
        </w:rPr>
      </w:r>
    </w:p>
    <w:p>
      <w:pPr>
        <w:keepNext/>
        <w:bidi w:val="1"/>
        <w:spacing w:after="0" w:line="480" w:lineRule="exact"/>
        <w:jc w:val="center"/>
      </w:pPr>
      <w:r>
        <w:rPr>
          <w:rFonts w:ascii="Noto Naskh Arabic" w:hAnsi="Noto Naskh Arabic" w:cs="Noto Naskh Arabic" w:eastAsia="Noto Naskh Arabic"/>
          <w:b/>
          <w:sz w:val="32"/>
          <w:szCs w:val="32"/>
          <w:rtl w:val="1"/>
          <w:bCs w:val="1"/>
        </w:rPr>
        <w:t>جدول رقم (٧)</w:t>
      </w:r>
    </w:p>
    <w:p>
      <w:pPr>
        <w:keepNext/>
        <w:bidi w:val="1"/>
        <w:spacing w:after="100" w:line="480" w:lineRule="exact"/>
        <w:jc w:val="center"/>
      </w:pPr>
      <w:r>
        <w:rPr>
          <w:rFonts w:ascii="Noto Naskh Arabic" w:hAnsi="Noto Naskh Arabic" w:cs="Noto Naskh Arabic" w:eastAsia="Noto Naskh Arabic"/>
          <w:b/>
          <w:sz w:val="32"/>
          <w:szCs w:val="32"/>
          <w:rtl w:val="1"/>
          <w:bCs w:val="1"/>
        </w:rPr>
        <w:t>معاملات الارتباط المصححة لبنود محور شدة التحديات</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864"/>
        <w:gridCol w:w="5400"/>
        <w:gridCol w:w="1152"/>
        <w:gridCol w:w="1584"/>
        <w:gridCol w:w="1224"/>
      </w:tblGrid>
      <w:tr>
        <w:trPr>
          <w:tblHeader w:val="1"/>
        </w:trPr>
        <w:tc>
          <w:tcPr>
            <w:tcW w:type="dxa" w:w="86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رمز البند</w:t>
            </w:r>
          </w:p>
        </w:tc>
        <w:tc>
          <w:tcPr>
            <w:tcW w:type="dxa" w:w="5400"/>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العبارة</w:t>
            </w:r>
          </w:p>
        </w:tc>
        <w:tc>
          <w:tcPr>
            <w:tcW w:type="dxa" w:w="1152"/>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الارتباط المصحح r</w:t>
            </w:r>
          </w:p>
        </w:tc>
        <w:tc>
          <w:tcPr>
            <w:tcW w:type="dxa" w:w="158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p بعد Holm</w:t>
            </w:r>
          </w:p>
        </w:tc>
        <w:tc>
          <w:tcPr>
            <w:tcW w:type="dxa" w:w="1224"/>
            <w:vAlign w:val="center"/>
            <w:tcMar>
              <w:top w:w="55" w:type="dxa"/>
              <w:left w:w="55" w:type="dxa"/>
              <w:bottom w:w="55" w:type="dxa"/>
              <w:right w:w="55" w:type="dxa"/>
            </w:tcMar>
            <w:shd w:fill="DBE5F1"/>
          </w:tcPr>
          <w:p>
            <w:pPr>
              <w:bidi w:val="1"/>
              <w:spacing w:before="20" w:after="20" w:line="400" w:lineRule="exact"/>
              <w:jc w:val="center"/>
            </w:pPr>
            <w:r/>
            <w:r>
              <w:rPr>
                <w:rFonts w:ascii="Noto Naskh Arabic" w:hAnsi="Noto Naskh Arabic" w:cs="Noto Naskh Arabic" w:eastAsia="Noto Naskh Arabic"/>
                <w:b/>
                <w:sz w:val="26"/>
                <w:szCs w:val="26"/>
                <w:rtl w:val="1"/>
                <w:bCs w:val="1"/>
              </w:rPr>
              <w:t>الحكم الإحصائي</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A6_01</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نقص المعرفة بمفاهيم ومتطلبات الحوكمة الرقمية لدى ممارسي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‎٠.٦٦٣**‎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A6_02</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قلة الخبرات والمهارات التقنية اللازمة لتطبيق الحوكمة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‎٠.٧٢٧**‎</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A6_03</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ضعف البنية التحتية والأنظمة الرقمية داخل المنظمة.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‎٠.٤٦١**‎</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A6_04</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مقاومة بعض العاملين للتغيير عند تطبيق ممارسات اتصالية قائمة على الحوكمة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‎٠.٥٤٣**‎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A6_05</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وجود معوقات تنظيمية أو قانونية تؤثر في تطبيق الحوكمة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‎٠.٣١٣**‎</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A6_06</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محدودية الموارد التقنية والمالية اللازمة لتوظيف الحوكمة الرقمية في أعمال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‎٠.٤٤٢**‎</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A6_07</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قلة الكفاءات المتخصصة التي تدعم تكامل الحوكمة الرقمية مع أعمال الاتصال المؤسسي.</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‎٠.٦٥٤**‎</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A6_08</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عدم وضوح بعض السياسات والإجراءات المرتبطة بتطبيق الحوكمة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‎٠.٦٧٤**‎</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r>
        <w:trPr>
          <w:cantSplit w:val="1"/>
        </w:trPr>
        <w:tc>
          <w:tcPr>
            <w:tcW w:type="dxa" w:w="86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A6_09</w:t>
            </w:r>
          </w:p>
        </w:tc>
        <w:tc>
          <w:tcPr>
            <w:tcW w:type="dxa" w:w="5400"/>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ضعف التنسيق بين إدارات الاتصال المؤسسي والإدارات ذات العلاقة بتطبيق الحوكمة الرقمية.</w:t>
            </w:r>
          </w:p>
        </w:tc>
        <w:tc>
          <w:tcPr>
            <w:tcW w:type="dxa" w:w="1152"/>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‎٠.٥٧٨**‎</w:t>
            </w:r>
          </w:p>
        </w:tc>
        <w:tc>
          <w:tcPr>
            <w:tcW w:type="dxa" w:w="1584"/>
            <w:vAlign w:val="center"/>
            <w:tcMar>
              <w:top w:w="55" w:type="dxa"/>
              <w:left w:w="55" w:type="dxa"/>
              <w:bottom w:w="55" w:type="dxa"/>
              <w:right w:w="55" w:type="dxa"/>
            </w:tcMar>
          </w:tcPr>
          <w:p>
            <w:pPr>
              <w:bidi w:val="0"/>
              <w:spacing w:before="20" w:after="20" w:line="400" w:lineRule="exact"/>
              <w:jc w:val="center"/>
            </w:pPr>
            <w:r/>
            <w:r>
              <w:rPr>
                <w:rFonts w:ascii="Noto Naskh Arabic" w:hAnsi="Noto Naskh Arabic" w:cs="Noto Naskh Arabic" w:eastAsia="Noto Naskh Arabic"/>
                <w:b w:val="0"/>
                <w:sz w:val="26"/>
                <w:szCs w:val="26"/>
                <w:rtl w:val="0"/>
                <w:bCs w:val="0"/>
              </w:rPr>
              <w:t>‎&lt; 0.001‎</w:t>
            </w:r>
          </w:p>
        </w:tc>
        <w:tc>
          <w:tcPr>
            <w:tcW w:type="dxa" w:w="1224"/>
            <w:vAlign w:val="center"/>
            <w:tcMar>
              <w:top w:w="55" w:type="dxa"/>
              <w:left w:w="55" w:type="dxa"/>
              <w:bottom w:w="55" w:type="dxa"/>
              <w:right w:w="55" w:type="dxa"/>
            </w:tcMar>
          </w:tcPr>
          <w:p>
            <w:pPr>
              <w:bidi w:val="1"/>
              <w:spacing w:before="20" w:after="20" w:line="400" w:lineRule="exact"/>
              <w:jc w:val="center"/>
            </w:pPr>
            <w:r/>
            <w:r>
              <w:rPr>
                <w:rFonts w:ascii="Noto Naskh Arabic" w:hAnsi="Noto Naskh Arabic" w:cs="Noto Naskh Arabic" w:eastAsia="Noto Naskh Arabic"/>
                <w:b w:val="0"/>
                <w:sz w:val="26"/>
                <w:szCs w:val="26"/>
                <w:rtl w:val="1"/>
                <w:bCs w:val="0"/>
              </w:rPr>
              <w:t>دالة</w:t>
            </w:r>
          </w:p>
        </w:tc>
      </w:tr>
    </w:tbl>
    <w:p>
      <w:pPr>
        <w:spacing w:after="0" w:line="20" w:lineRule="exact" w:before="0"/>
      </w:pPr>
      <w:r>
        <w:rPr>
          <w:rFonts w:ascii="Noto Naskh Arabic" w:hAnsi="Noto Naskh Arabic" w:cs="Noto Naskh Arabic" w:eastAsia="Noto Naskh Arabic"/>
          <w:b w:val="0"/>
          <w:sz w:val="2"/>
          <w:szCs w:val="2"/>
          <w:rtl w:val="1"/>
          <w:bCs w:val="0"/>
        </w:rPr>
      </w:r>
    </w:p>
    <w:p>
      <w:pPr>
        <w:keepNext w:val="0"/>
        <w:bidi w:val="1"/>
        <w:spacing w:after="100" w:line="360" w:lineRule="exact"/>
        <w:jc w:val="both"/>
      </w:pPr>
      <w:r>
        <w:rPr>
          <w:rFonts w:ascii="Noto Naskh Arabic" w:hAnsi="Noto Naskh Arabic" w:cs="Noto Naskh Arabic" w:eastAsia="Noto Naskh Arabic"/>
          <w:b w:val="0"/>
          <w:sz w:val="25"/>
          <w:szCs w:val="25"/>
          <w:rtl w:val="1"/>
          <w:bCs w:val="0"/>
        </w:rPr>
        <w:t xml:space="preserve">ملاحظة: ن = ١٢٤؛ </w:t>
      </w:r>
      <w:r>
        <w:rPr>
          <w:rFonts w:ascii="Noto Naskh Arabic" w:hAnsi="Noto Naskh Arabic" w:cs="Noto Naskh Arabic" w:eastAsia="Noto Naskh Arabic"/>
          <w:b w:val="0"/>
          <w:sz w:val="25"/>
          <w:szCs w:val="25"/>
          <w:rtl w:val="0"/>
          <w:bCs w:val="0"/>
        </w:rPr>
        <w:t>‎**: p &lt; 0.01‎</w:t>
      </w:r>
      <w:r>
        <w:rPr>
          <w:rFonts w:ascii="Noto Naskh Arabic" w:hAnsi="Noto Naskh Arabic" w:cs="Noto Naskh Arabic" w:eastAsia="Noto Naskh Arabic"/>
          <w:b w:val="0"/>
          <w:sz w:val="25"/>
          <w:szCs w:val="25"/>
          <w:rtl w:val="1"/>
          <w:bCs w:val="0"/>
        </w:rPr>
        <w:t xml:space="preserve"> بعد Holm للـ٤٨ اختبارًا؛ وجميع قيم p المعدلة </w:t>
      </w:r>
      <w:r>
        <w:rPr>
          <w:rFonts w:ascii="Noto Naskh Arabic" w:hAnsi="Noto Naskh Arabic" w:cs="Noto Naskh Arabic" w:eastAsia="Noto Naskh Arabic"/>
          <w:b w:val="0"/>
          <w:sz w:val="25"/>
          <w:szCs w:val="25"/>
          <w:rtl w:val="0"/>
          <w:bCs w:val="0"/>
        </w:rPr>
        <w:t>‎&lt; 0.001‎</w:t>
      </w:r>
      <w:r>
        <w:rPr>
          <w:rFonts w:ascii="Noto Naskh Arabic" w:hAnsi="Noto Naskh Arabic" w:cs="Noto Naskh Arabic" w:eastAsia="Noto Naskh Arabic"/>
          <w:b w:val="0"/>
          <w:sz w:val="25"/>
          <w:szCs w:val="25"/>
          <w:rtl w:val="1"/>
          <w:bCs w:val="0"/>
        </w:rPr>
        <w:t>. يستبعد البند من مجموع محوره عند حساب r؛ الاختبارات ثنائية الطرف.</w:t>
      </w:r>
    </w:p>
    <w:p>
      <w:pPr>
        <w:keepNext w:val="0"/>
        <w:bidi w:val="1"/>
        <w:spacing w:after="100" w:line="440" w:lineRule="exact"/>
        <w:jc w:val="both"/>
      </w:pPr>
      <w:r>
        <w:rPr>
          <w:rFonts w:ascii="Noto Naskh Arabic" w:hAnsi="Noto Naskh Arabic" w:cs="Noto Naskh Arabic" w:eastAsia="Noto Naskh Arabic"/>
          <w:b w:val="0"/>
          <w:sz w:val="28"/>
          <w:szCs w:val="28"/>
          <w:rtl w:val="1"/>
          <w:bCs w:val="0"/>
        </w:rPr>
        <w:t>توضح بيانات الجدول رقم (٧) أن ارتباطات بنود محور «شدة التحديات» موجبة ودالة إحصائيًا (</w:t>
      </w:r>
      <w:r>
        <w:rPr>
          <w:rFonts w:ascii="Noto Naskh Arabic" w:hAnsi="Noto Naskh Arabic" w:cs="Noto Naskh Arabic" w:eastAsia="Noto Naskh Arabic"/>
          <w:b w:val="0"/>
          <w:sz w:val="28"/>
          <w:szCs w:val="28"/>
          <w:rtl w:val="0"/>
          <w:bCs w:val="0"/>
        </w:rPr>
        <w:t>‎p &lt; 0.001‎</w:t>
      </w:r>
      <w:r>
        <w:rPr>
          <w:rFonts w:ascii="Noto Naskh Arabic" w:hAnsi="Noto Naskh Arabic" w:cs="Noto Naskh Arabic" w:eastAsia="Noto Naskh Arabic"/>
          <w:b w:val="0"/>
          <w:sz w:val="28"/>
          <w:szCs w:val="28"/>
          <w:rtl w:val="1"/>
          <w:bCs w:val="0"/>
        </w:rPr>
        <w:t>) بعد Holm. جاء أعلى ارتباط للبند (A6_02) «قلة الخبرات والمهارات التقنية اللازمة لتطبيق الحوكمة الرقمية.»، وقيمته ٠.٧٢٧؛ وأدنى ارتباط للبند (A6_05) «وجود معوقات تنظيمية أو قانونية تؤثر في تطبيق الحوكمة الرقمية.»، وقيمته ٠.٣١٣. وتدعم النتائج اتساق بنود المحور؛ ويظل A6_05 دالًا رغم أنه أدنى ارتباط في الاستبانة.</w:t>
      </w:r>
    </w:p>
    <w:sectPr w:rsidR="00FC693F" w:rsidRPr="0006063C" w:rsidSect="00034616">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eastAsia="Noto Naskh Arabic"/>
        <w:b w:val="0"/>
        <w:sz w:val="22"/>
        <w:szCs w:val="22"/>
        <w:rtl w:val="1"/>
        <w:bCs w:val="0"/>
      </w:rPr>
      <w:t xml:space="preserve">صفحة </w:t>
    </w:r>
    <w:fldSimple w:instr="PAGE \* Arabic"/>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Naskh Arabic" w:hAnsi="Noto Naskh Arabic" w:cs="Noto Naskh Arabic" w:eastAsia="Noto Naskh Arabic"/>
        <w:b w:val="0"/>
        <w:color w:val="64748B"/>
        <w:sz w:val="20"/>
        <w:szCs w:val="20"/>
        <w:rtl w:val="1"/>
        <w:bCs w:val="0"/>
      </w:rPr>
      <w:t>مؤشرات الاتساق الداخلي لبنود الاستبانة | نتائج الدراسة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bidi w:val="1"/>
    </w:pPr>
    <w:rPr>
      <w:rFonts w:ascii="Noto Naskh Arabic" w:hAnsi="Noto Naskh Arabic"/>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bidi w:val="1"/>
    </w:pPr>
    <w:rPr>
      <w:rFonts w:asciiTheme="majorHAnsi" w:eastAsiaTheme="majorEastAsia" w:hAnsiTheme="majorHAnsi" w:cstheme="majorBidi" w:ascii="Noto Naskh Arabic" w:hAnsi="Noto Naskh Arabic"/>
      <w:b/>
      <w:bCs/>
      <w:color w:val="244A73"/>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bidi w:val="1"/>
    </w:pPr>
    <w:rPr>
      <w:rFonts w:asciiTheme="majorHAnsi" w:eastAsiaTheme="majorEastAsia" w:hAnsiTheme="majorHAnsi" w:cstheme="majorBidi" w:ascii="Noto Naskh Arabic" w:hAnsi="Noto Naskh Arabic"/>
      <w:b/>
      <w:bCs/>
      <w:color w:val="244A73"/>
      <w:sz w:val="3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bidi w:val="1"/>
    </w:pPr>
    <w:rPr>
      <w:rFonts w:asciiTheme="majorHAnsi" w:eastAsiaTheme="majorEastAsia" w:hAnsiTheme="majorHAnsi" w:cstheme="majorBidi" w:ascii="Noto Naskh Arabic" w:hAnsi="Noto Naskh Arabic"/>
      <w:b/>
      <w:bCs/>
      <w:color w:val="244A73"/>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bidi w:val="1"/>
    </w:pPr>
    <w:rPr>
      <w:rFonts w:asciiTheme="majorHAnsi" w:eastAsiaTheme="majorEastAsia" w:hAnsiTheme="majorHAnsi" w:cstheme="majorBidi" w:ascii="Noto Naskh Arabic" w:hAnsi="Noto Naskh Arabic"/>
      <w:b/>
      <w:color w:val="244A7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مؤشرات الاتساق الداخلي لبنود الاستبانة</dc:title>
  <dc:subject>ارتباطات بيرسون المصححة للبنود ودلالتها بعد تصحيح Holm</dc:subject>
  <dc:creator>تقرير إحصائي أُعد من بيانات الدراسة</dc:creator>
  <cp:keywords>استبيان، ألفا كرونباخ، الحوكمة الرقمية، التنمية المستدامة</cp:keywords>
  <dc:description>تقرير مركز يضم ملخصًا وستة جداول لجميع البنود؛ جميع القيم مستمدة من analysis_results.json المدقق. النجوم حسب p بعد Holm.</dc:description>
  <cp:lastModifiedBy/>
  <cp:revision>1</cp:revision>
  <dcterms:created xsi:type="dcterms:W3CDTF">2013-12-23T23:15:00Z</dcterms:created>
  <dcterms:modified xsi:type="dcterms:W3CDTF">2013-12-23T23:15:00Z</dcterms:modified>
  <cp:category/>
</cp:coreProperties>
</file>