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spacing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تقرير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تقييم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المؤشرات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واستجابة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الأطراف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المدرسة</w:t>
      </w:r>
    </w:p>
    <w:p w:rsidR="00000000" w:rsidDel="00000000" w:rsidP="00000000" w:rsidRDefault="00000000" w:rsidRPr="00000000" w14:paraId="00000002">
      <w:pPr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2025-05-16</w:t>
      </w:r>
    </w:p>
    <w:p w:rsidR="00000000" w:rsidDel="00000000" w:rsidP="00000000" w:rsidRDefault="00000000" w:rsidRPr="00000000" w14:paraId="00000003">
      <w:pPr>
        <w:bidi w:val="1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274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توصيف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المخططات</w:t>
      </w:r>
    </w:p>
    <w:p w:rsidR="00000000" w:rsidDel="00000000" w:rsidP="00000000" w:rsidRDefault="00000000" w:rsidRPr="00000000" w14:paraId="00000005">
      <w:pPr>
        <w:bidi w:val="1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</w:t>
      </w:r>
      <w:r w:rsidDel="00000000" w:rsidR="00000000" w:rsidRPr="00000000">
        <w:rPr>
          <w:rtl w:val="1"/>
        </w:rPr>
        <w:t xml:space="preserve">يشتمل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والاحترام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التوقعات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الأكاديمية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الظاهرة</w:t>
      </w:r>
    </w:p>
    <w:p w:rsidR="00000000" w:rsidDel="00000000" w:rsidP="00000000" w:rsidRDefault="00000000" w:rsidRPr="00000000" w14:paraId="00000009">
      <w:pPr>
        <w:bidi w:val="1"/>
        <w:spacing w:line="240" w:lineRule="auto"/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انخفاض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واضح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مؤشر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التواصل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جميع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الأنواع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ويصل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 (6.85)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tl w:val="0"/>
        </w:rPr>
        <w:t xml:space="preserve"> Middle/High School.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مدارس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25.9%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YABC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بالمدرسة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•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YABC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(&gt;80%).</w:t>
      </w:r>
    </w:p>
    <w:p w:rsidR="00000000" w:rsidDel="00000000" w:rsidP="00000000" w:rsidRDefault="00000000" w:rsidRPr="00000000" w14:paraId="0000000D">
      <w:pPr>
        <w:bidi w:val="1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استجابة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الطلاب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عالية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إجمال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متوسط</w:t>
      </w:r>
      <w:r w:rsidDel="00000000" w:rsidR="00000000" w:rsidRPr="00000000">
        <w:rPr>
          <w:rtl w:val="0"/>
        </w:rPr>
        <w:t xml:space="preserve"> ≈ 82.2%)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أنها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تتراجع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قليل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المدارس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الانتقالية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</w:t>
      </w:r>
      <w:r w:rsidDel="00000000" w:rsidR="00000000" w:rsidRPr="00000000">
        <w:rPr>
          <w:rtl w:val="0"/>
        </w:rPr>
        <w:t xml:space="preserve">YABC.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الدلالات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قنوات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الهبوط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المؤشرات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حرجة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ومحفزة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ملاءمة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الاستبيان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إدراكهم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لأهمية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التميز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ثقافة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لتوظيف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آرائهم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البرامج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الأكاديمية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bidi w:val="1"/>
        <w:spacing w:line="240" w:lineRule="auto"/>
        <w:ind w:left="720" w:hanging="360"/>
        <w:rPr/>
      </w:pPr>
      <w:r w:rsidDel="00000000" w:rsidR="00000000" w:rsidRPr="00000000">
        <w:rPr>
          <w:rtl w:val="1"/>
        </w:rPr>
        <w:t xml:space="preserve">التوصيات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القنوات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لجذب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أولياء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وزيادة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ورش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تدريبية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للمعلمين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Middle/Middle‑High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والتواصل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لتعزيز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استبيانات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للطلاب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والأهالي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حوافز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لتحليل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استبيانات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تصحيحية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(Early Childhood, Elementary)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جلسات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</w:p>
    <w:tbl>
      <w:tblPr>
        <w:tblStyle w:val="Table1"/>
        <w:tblW w:w="8856.0" w:type="dxa"/>
        <w:jc w:val="left"/>
        <w:tblInd w:w="-115.0" w:type="dxa"/>
        <w:tblLayout w:type="fixed"/>
        <w:tblLook w:val="0400"/>
      </w:tblPr>
      <w:tblGrid>
        <w:gridCol w:w="2067"/>
        <w:gridCol w:w="1662"/>
        <w:gridCol w:w="1726"/>
        <w:gridCol w:w="1699"/>
        <w:gridCol w:w="1702"/>
        <w:tblGridChange w:id="0">
          <w:tblGrid>
            <w:gridCol w:w="2067"/>
            <w:gridCol w:w="1662"/>
            <w:gridCol w:w="1726"/>
            <w:gridCol w:w="1699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المدرسة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Safety and Respect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Academic Expectations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Early Childhood School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8.62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8.13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Elementary School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8.27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7.65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7.87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Elementary/Middle School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7.66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7.25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7.54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School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7.46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7.07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7.42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Middle/High School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6.85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7.12</w:t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7.39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6.85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7.16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High School</w:t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8.09</w:t>
            </w:r>
          </w:p>
        </w:tc>
        <w:tc>
          <w:tcPr/>
          <w:p w:rsidR="00000000" w:rsidDel="00000000" w:rsidP="00000000" w:rsidRDefault="00000000" w:rsidRPr="00000000" w14:paraId="0000004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7.24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7.78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YABC</w:t>
            </w:r>
          </w:p>
        </w:tc>
        <w:tc>
          <w:tcPr/>
          <w:p w:rsidR="00000000" w:rsidDel="00000000" w:rsidP="00000000" w:rsidRDefault="00000000" w:rsidRPr="00000000" w14:paraId="0000004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8.38</w:t>
            </w:r>
          </w:p>
        </w:tc>
        <w:tc>
          <w:tcPr/>
          <w:p w:rsidR="00000000" w:rsidDel="00000000" w:rsidP="00000000" w:rsidRDefault="00000000" w:rsidRPr="00000000" w14:paraId="0000004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8.16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8.37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(%)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نوع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المدرسة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Early Childhood School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76.4%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88.3%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Elementary School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68.5%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82.4%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94.6%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Elementary/Middle School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60.9%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82.5%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93.8%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School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58.7%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83.9%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Middle/High School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40.2%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80.0%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84.0%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35.1%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84.3%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77.5%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 High School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35.7%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90.0%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YABC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25.9%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80.5%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65.9%</w:t>
            </w:r>
          </w:p>
        </w:tc>
      </w:tr>
    </w:tbl>
    <w:p w:rsidR="00000000" w:rsidDel="00000000" w:rsidP="00000000" w:rsidRDefault="00000000" w:rsidRPr="00000000" w14:paraId="0000006D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tlJozjviysGBAjhGt/1hIMgfg==">CgMxLjA4AHIhMUdfV2NZcmk5QzVlLVZ0Uzh5Sjg3VXBMMV8wN2ZiNG5F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