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5174" w:rsidRDefault="004A5174">
      <w:pPr>
        <w:widowControl w:val="0"/>
        <w:pBdr>
          <w:top w:val="nil"/>
          <w:left w:val="nil"/>
          <w:bottom w:val="nil"/>
          <w:right w:val="nil"/>
          <w:between w:val="nil"/>
        </w:pBdr>
        <w:spacing w:after="0" w:line="276" w:lineRule="auto"/>
      </w:pPr>
    </w:p>
    <w:p w:rsidR="004A5174" w:rsidRDefault="004A5174">
      <w:pPr>
        <w:spacing w:after="0"/>
        <w:rPr>
          <w:rFonts w:ascii="Times New Roman" w:eastAsia="Times New Roman" w:hAnsi="Times New Roman" w:cs="Times New Roman"/>
          <w:b/>
          <w:sz w:val="24"/>
          <w:szCs w:val="24"/>
        </w:rPr>
      </w:pPr>
    </w:p>
    <w:p w:rsidR="004A5174" w:rsidRDefault="00000000">
      <w:pPr>
        <w:pBdr>
          <w:top w:val="nil"/>
          <w:left w:val="nil"/>
          <w:bottom w:val="nil"/>
          <w:right w:val="nil"/>
          <w:between w:val="nil"/>
        </w:pBdr>
        <w:spacing w:after="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TITLE: TITLE SHOULD BE INFORMATIVE, CONCISE AND CLEAR WITH NO ABBREVIATIONS TYPED IN UPPERCASE </w:t>
      </w:r>
    </w:p>
    <w:p w:rsidR="004A5174" w:rsidRDefault="00A45701">
      <w:pPr>
        <w:pBdr>
          <w:top w:val="nil"/>
          <w:left w:val="nil"/>
          <w:bottom w:val="nil"/>
          <w:right w:val="nil"/>
          <w:between w:val="nil"/>
        </w:pBdr>
        <w:spacing w:after="0" w:line="240" w:lineRule="auto"/>
        <w:ind w:firstLine="1418"/>
        <w:rPr>
          <w:rFonts w:ascii="Times New Roman" w:eastAsia="Times New Roman" w:hAnsi="Times New Roman" w:cs="Times New Roman"/>
          <w:color w:val="000000"/>
          <w:sz w:val="24"/>
          <w:szCs w:val="24"/>
        </w:rPr>
      </w:pPr>
      <w:r w:rsidRPr="00A45701">
        <w:rPr>
          <w:rFonts w:ascii="Times New Roman" w:eastAsia="Times New Roman" w:hAnsi="Times New Roman" w:cs="Times New Roman"/>
          <w:bCs/>
          <w:sz w:val="24"/>
          <w:szCs w:val="24"/>
        </w:rPr>
        <w:t>De</w:t>
      </w:r>
      <w:r>
        <w:rPr>
          <w:rFonts w:ascii="Times New Roman" w:eastAsia="Times New Roman" w:hAnsi="Times New Roman" w:cs="Times New Roman"/>
          <w:color w:val="000000"/>
          <w:sz w:val="24"/>
          <w:szCs w:val="24"/>
        </w:rPr>
        <w:t>partment/Faculty, University, City, Postal Code</w:t>
      </w:r>
      <w:r w:rsidR="00C60ADA">
        <w:rPr>
          <w:rFonts w:ascii="Times New Roman" w:eastAsia="Times New Roman" w:hAnsi="Times New Roman" w:cs="Times New Roman"/>
          <w:color w:val="000000"/>
          <w:sz w:val="24"/>
          <w:szCs w:val="24"/>
        </w:rPr>
        <w:t xml:space="preserve">, </w:t>
      </w:r>
      <w:r w:rsidR="00C60ADA">
        <w:rPr>
          <w:rFonts w:ascii="Times New Roman" w:eastAsia="Times New Roman" w:hAnsi="Times New Roman" w:cs="Times New Roman"/>
          <w:color w:val="000000"/>
          <w:sz w:val="24"/>
          <w:szCs w:val="24"/>
        </w:rPr>
        <w:t>Province, Country</w:t>
      </w:r>
    </w:p>
    <w:p w:rsidR="004A5174" w:rsidRDefault="00000000">
      <w:pPr>
        <w:spacing w:before="240" w:after="240"/>
        <w:ind w:firstLine="1418"/>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*Email: Corresponding author email</w:t>
      </w:r>
    </w:p>
    <w:p w:rsidR="004A5174" w:rsidRDefault="00000000">
      <w:pPr>
        <w:spacing w:line="240" w:lineRule="auto"/>
        <w:ind w:left="1418"/>
        <w:jc w:val="both"/>
        <w:rPr>
          <w:rFonts w:ascii="Times New Roman" w:eastAsia="Times New Roman" w:hAnsi="Times New Roman" w:cs="Times New Roman"/>
        </w:rPr>
      </w:pPr>
      <w:r>
        <w:rPr>
          <w:rFonts w:ascii="Times New Roman" w:eastAsia="Times New Roman" w:hAnsi="Times New Roman" w:cs="Times New Roman"/>
          <w:b/>
        </w:rPr>
        <w:t>Abstract.</w:t>
      </w:r>
      <w:r>
        <w:rPr>
          <w:rFonts w:ascii="Times New Roman" w:eastAsia="Times New Roman" w:hAnsi="Times New Roman" w:cs="Times New Roman"/>
        </w:rPr>
        <w:t xml:space="preserve"> Abstract should be written in one paragraph, informative, and completely self-explanatory. The abstract should be between 150 and 200 words consist of objective(s), materials and method, important results or, major findings and conclusions. No literature should be cited.</w:t>
      </w:r>
    </w:p>
    <w:p w:rsidR="004A5174" w:rsidRDefault="00000000">
      <w:pPr>
        <w:pBdr>
          <w:top w:val="nil"/>
          <w:left w:val="nil"/>
          <w:bottom w:val="nil"/>
          <w:right w:val="nil"/>
          <w:between w:val="nil"/>
        </w:pBdr>
        <w:spacing w:after="240"/>
        <w:ind w:left="1418"/>
        <w:jc w:val="both"/>
        <w:rPr>
          <w:rFonts w:ascii="Times New Roman" w:eastAsia="Times New Roman" w:hAnsi="Times New Roman" w:cs="Times New Roman"/>
          <w:color w:val="000000"/>
        </w:rPr>
      </w:pPr>
      <w:r>
        <w:rPr>
          <w:rFonts w:ascii="Times New Roman" w:eastAsia="Times New Roman" w:hAnsi="Times New Roman" w:cs="Times New Roman"/>
          <w:b/>
          <w:color w:val="000000"/>
        </w:rPr>
        <w:t>Keywords:</w:t>
      </w:r>
      <w:r>
        <w:rPr>
          <w:rFonts w:ascii="Times New Roman" w:eastAsia="Times New Roman" w:hAnsi="Times New Roman" w:cs="Times New Roman"/>
          <w:color w:val="000000"/>
        </w:rPr>
        <w:t xml:space="preserve"> About 5 keywords that provide index references should be listed, separated by comma</w:t>
      </w:r>
    </w:p>
    <w:p w:rsidR="004A5174" w:rsidRDefault="00000000">
      <w:pPr>
        <w:numPr>
          <w:ilvl w:val="0"/>
          <w:numId w:val="2"/>
        </w:numPr>
        <w:pBdr>
          <w:top w:val="nil"/>
          <w:left w:val="nil"/>
          <w:bottom w:val="nil"/>
          <w:right w:val="nil"/>
          <w:between w:val="nil"/>
        </w:pBdr>
        <w:spacing w:after="0" w:line="240" w:lineRule="auto"/>
        <w:ind w:left="284" w:hanging="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rsidR="004A5174" w:rsidRDefault="00000000">
      <w:pPr>
        <w:spacing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should provide a clear statement of the problem including background with relevant literature. The objective of the research should be clearly and expressively written. The introduction should be understandable to colleagues from a broad range of scientific disciplines. </w:t>
      </w:r>
    </w:p>
    <w:p w:rsidR="004A5174" w:rsidRDefault="00000000">
      <w:pPr>
        <w:pBdr>
          <w:top w:val="nil"/>
          <w:left w:val="nil"/>
          <w:bottom w:val="nil"/>
          <w:right w:val="nil"/>
          <w:between w:val="nil"/>
        </w:pBdr>
        <w:spacing w:after="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 less than 80% of the total cited literature should be in the form of papers published in national and international scientific journals. The suggested references are the most recent publications (within the last 10 years). Articles in preparation, unpublished observations and personal communication should not be included in the reference list but should only be mentioned in the article text. </w:t>
      </w:r>
    </w:p>
    <w:p w:rsidR="004A5174" w:rsidRDefault="00000000">
      <w:pPr>
        <w:spacing w:after="12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references can come from textbooks, proceedings, or other valid scientific sources. Information sources that come from online sites (internet) are allowed if the sources are trustful and accountable, such as research institution sites, universities, and governments. Private sites (blogs or the likes) are not allowed as references.</w:t>
      </w:r>
    </w:p>
    <w:p w:rsidR="004A5174" w:rsidRDefault="00000000">
      <w:pPr>
        <w:numPr>
          <w:ilvl w:val="0"/>
          <w:numId w:val="2"/>
        </w:numPr>
        <w:pBdr>
          <w:top w:val="nil"/>
          <w:left w:val="nil"/>
          <w:bottom w:val="nil"/>
          <w:right w:val="nil"/>
          <w:between w:val="nil"/>
        </w:pBdr>
        <w:spacing w:after="0" w:line="276" w:lineRule="auto"/>
        <w:jc w:val="both"/>
      </w:pPr>
      <w:r>
        <w:rPr>
          <w:rFonts w:ascii="Times New Roman" w:eastAsia="Times New Roman" w:hAnsi="Times New Roman" w:cs="Times New Roman"/>
          <w:b/>
          <w:color w:val="000000"/>
          <w:sz w:val="24"/>
          <w:szCs w:val="24"/>
        </w:rPr>
        <w:t>Methods</w:t>
      </w:r>
    </w:p>
    <w:p w:rsidR="004A5174" w:rsidRDefault="00000000">
      <w:pPr>
        <w:pBdr>
          <w:top w:val="nil"/>
          <w:left w:val="nil"/>
          <w:bottom w:val="nil"/>
          <w:right w:val="nil"/>
          <w:between w:val="nil"/>
        </w:pBdr>
        <w:spacing w:after="12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Should be described in short but complete enough to allow experiments to be reproduced or verified. This should include materials and instruments/tools, protocol of research, research/experimental design, observed variables, technique for data collection and analysis. Procedures and analysis methods should also be concise, and methods in general use need not detail description. Previously published procedures should be cited and important modifications (if any) should be mentioned briefly.</w:t>
      </w:r>
    </w:p>
    <w:p w:rsidR="004A5174" w:rsidRDefault="00000000">
      <w:pPr>
        <w:numPr>
          <w:ilvl w:val="0"/>
          <w:numId w:val="2"/>
        </w:numPr>
        <w:pBdr>
          <w:top w:val="nil"/>
          <w:left w:val="nil"/>
          <w:bottom w:val="nil"/>
          <w:right w:val="nil"/>
          <w:between w:val="nil"/>
        </w:pBdr>
        <w:spacing w:after="0" w:line="276" w:lineRule="auto"/>
        <w:jc w:val="both"/>
      </w:pPr>
      <w:r>
        <w:rPr>
          <w:rFonts w:ascii="Times New Roman" w:eastAsia="Times New Roman" w:hAnsi="Times New Roman" w:cs="Times New Roman"/>
          <w:b/>
          <w:color w:val="000000"/>
          <w:sz w:val="24"/>
          <w:szCs w:val="24"/>
        </w:rPr>
        <w:t>Results And Discussion</w:t>
      </w:r>
    </w:p>
    <w:p w:rsidR="004A5174" w:rsidRDefault="00000000">
      <w:pPr>
        <w:numPr>
          <w:ilvl w:val="1"/>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p>
    <w:p w:rsidR="004A5174" w:rsidRDefault="00000000">
      <w:pPr>
        <w:pBdr>
          <w:top w:val="nil"/>
          <w:left w:val="nil"/>
          <w:bottom w:val="nil"/>
          <w:right w:val="nil"/>
          <w:between w:val="nil"/>
        </w:pBdr>
        <w:spacing w:after="12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description of research results should be clearly and precisely written. Results should be sufficiently explained and can be supported by tables, graphics or figures. Discussion must concise and appropriately interpret the results. It should explain the meaning and usefulness of the finding as an answer to the research problem.</w:t>
      </w:r>
    </w:p>
    <w:p w:rsidR="004A5174" w:rsidRDefault="00000000">
      <w:pPr>
        <w:numPr>
          <w:ilvl w:val="1"/>
          <w:numId w:val="2"/>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Figures and Tables</w:t>
      </w:r>
    </w:p>
    <w:p w:rsidR="004A5174" w:rsidRDefault="00000000">
      <w:pPr>
        <w:pBdr>
          <w:top w:val="nil"/>
          <w:left w:val="nil"/>
          <w:bottom w:val="nil"/>
          <w:right w:val="nil"/>
          <w:between w:val="nil"/>
        </w:pBdr>
        <w:spacing w:after="12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Figures, graphs and tables contain successive numbers and explanations (codes, abbreviations, and symbols) and are self-explanatory without reference to the text. Figure, graphs and tables are placed directly within the related paragraph. The titles should be in clear short statements, using valid international metric systems (e.g. m, kg, mol). Graphs should be </w:t>
      </w:r>
      <w:r>
        <w:rPr>
          <w:rFonts w:ascii="Times New Roman" w:eastAsia="Times New Roman" w:hAnsi="Times New Roman" w:cs="Times New Roman"/>
          <w:color w:val="000000"/>
          <w:sz w:val="24"/>
          <w:szCs w:val="24"/>
        </w:rPr>
        <w:lastRenderedPageBreak/>
        <w:t>original (not from photocopy or scan), using Microsoft Excel or Sigma Plot with maximum width of 8.5 cm. The number and letters within graphs and figures should be in 10-size font. Figures in photos (black-white or colors) should be printed on glossy post-card size paper submitted electronically in JPEG/TIFF format.</w:t>
      </w:r>
    </w:p>
    <w:p w:rsidR="004A5174"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43371" cy="1648055"/>
            <wp:effectExtent l="0" t="0" r="0" b="0"/>
            <wp:docPr id="1695693790" name="image3.png" descr="A close-up of a black and white phot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up of a black and white photo&#10;&#10;Description automatically generated"/>
                    <pic:cNvPicPr preferRelativeResize="0"/>
                  </pic:nvPicPr>
                  <pic:blipFill>
                    <a:blip r:embed="rId8"/>
                    <a:srcRect/>
                    <a:stretch>
                      <a:fillRect/>
                    </a:stretch>
                  </pic:blipFill>
                  <pic:spPr>
                    <a:xfrm>
                      <a:off x="0" y="0"/>
                      <a:ext cx="1943371" cy="1648055"/>
                    </a:xfrm>
                    <a:prstGeom prst="rect">
                      <a:avLst/>
                    </a:prstGeom>
                    <a:ln/>
                  </pic:spPr>
                </pic:pic>
              </a:graphicData>
            </a:graphic>
          </wp:inline>
        </w:drawing>
      </w:r>
    </w:p>
    <w:p w:rsidR="004A5174" w:rsidRDefault="00000000">
      <w:pPr>
        <w:spacing w:after="120" w:line="240" w:lineRule="auto"/>
        <w:jc w:val="center"/>
        <w:rPr>
          <w:rFonts w:ascii="Times New Roman" w:eastAsia="Times New Roman" w:hAnsi="Times New Roman" w:cs="Times New Roman"/>
        </w:rPr>
      </w:pPr>
      <w:r>
        <w:rPr>
          <w:rFonts w:ascii="Times New Roman" w:eastAsia="Times New Roman" w:hAnsi="Times New Roman" w:cs="Times New Roman"/>
        </w:rPr>
        <w:t>Figure 3. Morphology of B. gymnorhiza leaf extract nanoparticles</w:t>
      </w:r>
    </w:p>
    <w:p w:rsidR="004A5174"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Table 1. Nutritional composition of experimental diet (100% DM)</w:t>
      </w:r>
    </w:p>
    <w:tbl>
      <w:tblPr>
        <w:tblStyle w:val="a4"/>
        <w:tblW w:w="9026" w:type="dxa"/>
        <w:tblBorders>
          <w:top w:val="single" w:sz="4" w:space="0" w:color="7F7F7F"/>
          <w:left w:val="nil"/>
          <w:bottom w:val="nil"/>
          <w:right w:val="nil"/>
          <w:insideH w:val="nil"/>
          <w:insideV w:val="nil"/>
        </w:tblBorders>
        <w:tblLayout w:type="fixed"/>
        <w:tblLook w:val="0400" w:firstRow="0" w:lastRow="0" w:firstColumn="0" w:lastColumn="0" w:noHBand="0" w:noVBand="1"/>
      </w:tblPr>
      <w:tblGrid>
        <w:gridCol w:w="1701"/>
        <w:gridCol w:w="1328"/>
        <w:gridCol w:w="672"/>
        <w:gridCol w:w="571"/>
        <w:gridCol w:w="686"/>
        <w:gridCol w:w="571"/>
        <w:gridCol w:w="747"/>
        <w:gridCol w:w="672"/>
        <w:gridCol w:w="692"/>
        <w:gridCol w:w="672"/>
        <w:gridCol w:w="714"/>
      </w:tblGrid>
      <w:tr w:rsidR="004A5174">
        <w:trPr>
          <w:trHeight w:val="20"/>
        </w:trPr>
        <w:tc>
          <w:tcPr>
            <w:tcW w:w="1701" w:type="dxa"/>
            <w:vMerge w:val="restart"/>
            <w:tcBorders>
              <w:top w:val="single" w:sz="4" w:space="0" w:color="000000"/>
            </w:tcBorders>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Feed Ingredients </w:t>
            </w:r>
          </w:p>
        </w:tc>
        <w:tc>
          <w:tcPr>
            <w:tcW w:w="1328" w:type="dxa"/>
            <w:tcBorders>
              <w:top w:val="single" w:sz="4" w:space="0" w:color="000000"/>
              <w:bottom w:val="single" w:sz="4" w:space="0" w:color="000000"/>
            </w:tcBorders>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Composition</w:t>
            </w:r>
          </w:p>
        </w:tc>
        <w:tc>
          <w:tcPr>
            <w:tcW w:w="672" w:type="dxa"/>
            <w:tcBorders>
              <w:top w:val="single" w:sz="4" w:space="0" w:color="000000"/>
              <w:bottom w:val="single" w:sz="4" w:space="0" w:color="000000"/>
            </w:tcBorders>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CP</w:t>
            </w:r>
          </w:p>
        </w:tc>
        <w:tc>
          <w:tcPr>
            <w:tcW w:w="571" w:type="dxa"/>
            <w:tcBorders>
              <w:top w:val="single" w:sz="4" w:space="0" w:color="000000"/>
              <w:bottom w:val="single" w:sz="4" w:space="0" w:color="000000"/>
            </w:tcBorders>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Ash</w:t>
            </w:r>
          </w:p>
        </w:tc>
        <w:tc>
          <w:tcPr>
            <w:tcW w:w="686" w:type="dxa"/>
            <w:tcBorders>
              <w:top w:val="single" w:sz="4" w:space="0" w:color="000000"/>
              <w:bottom w:val="single" w:sz="4" w:space="0" w:color="000000"/>
            </w:tcBorders>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CF</w:t>
            </w:r>
          </w:p>
        </w:tc>
        <w:tc>
          <w:tcPr>
            <w:tcW w:w="571" w:type="dxa"/>
            <w:tcBorders>
              <w:top w:val="single" w:sz="4" w:space="0" w:color="000000"/>
              <w:bottom w:val="single" w:sz="4" w:space="0" w:color="000000"/>
            </w:tcBorders>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EE</w:t>
            </w:r>
          </w:p>
        </w:tc>
        <w:tc>
          <w:tcPr>
            <w:tcW w:w="747" w:type="dxa"/>
            <w:tcBorders>
              <w:top w:val="single" w:sz="4" w:space="0" w:color="000000"/>
              <w:bottom w:val="single" w:sz="4" w:space="0" w:color="000000"/>
            </w:tcBorders>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NFE</w:t>
            </w:r>
          </w:p>
        </w:tc>
        <w:tc>
          <w:tcPr>
            <w:tcW w:w="672" w:type="dxa"/>
            <w:tcBorders>
              <w:top w:val="single" w:sz="4" w:space="0" w:color="000000"/>
              <w:bottom w:val="single" w:sz="4" w:space="0" w:color="000000"/>
            </w:tcBorders>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TDN</w:t>
            </w:r>
          </w:p>
        </w:tc>
        <w:tc>
          <w:tcPr>
            <w:tcW w:w="692" w:type="dxa"/>
            <w:tcBorders>
              <w:top w:val="single" w:sz="4" w:space="0" w:color="000000"/>
              <w:bottom w:val="single" w:sz="4" w:space="0" w:color="000000"/>
            </w:tcBorders>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NDF</w:t>
            </w:r>
          </w:p>
        </w:tc>
        <w:tc>
          <w:tcPr>
            <w:tcW w:w="672" w:type="dxa"/>
            <w:tcBorders>
              <w:top w:val="single" w:sz="4" w:space="0" w:color="000000"/>
              <w:bottom w:val="single" w:sz="4" w:space="0" w:color="000000"/>
            </w:tcBorders>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ADF</w:t>
            </w:r>
          </w:p>
        </w:tc>
        <w:tc>
          <w:tcPr>
            <w:tcW w:w="714" w:type="dxa"/>
            <w:tcBorders>
              <w:top w:val="single" w:sz="4" w:space="0" w:color="000000"/>
              <w:bottom w:val="single" w:sz="4" w:space="0" w:color="000000"/>
            </w:tcBorders>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Zn</w:t>
            </w:r>
          </w:p>
        </w:tc>
      </w:tr>
      <w:tr w:rsidR="004A5174">
        <w:trPr>
          <w:trHeight w:val="20"/>
        </w:trPr>
        <w:tc>
          <w:tcPr>
            <w:tcW w:w="1701" w:type="dxa"/>
            <w:vMerge/>
            <w:tcBorders>
              <w:top w:val="single" w:sz="4" w:space="0" w:color="000000"/>
            </w:tcBorders>
            <w:vAlign w:val="center"/>
          </w:tcPr>
          <w:p w:rsidR="004A5174" w:rsidRDefault="004A5174">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c>
        <w:tc>
          <w:tcPr>
            <w:tcW w:w="6611" w:type="dxa"/>
            <w:gridSpan w:val="9"/>
            <w:tcBorders>
              <w:top w:val="single" w:sz="4" w:space="0" w:color="000000"/>
              <w:bottom w:val="single" w:sz="4" w:space="0" w:color="000000"/>
            </w:tcBorders>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714" w:type="dxa"/>
            <w:tcBorders>
              <w:top w:val="single" w:sz="4" w:space="0" w:color="000000"/>
              <w:bottom w:val="single" w:sz="4" w:space="0" w:color="000000"/>
            </w:tcBorders>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Ppm</w:t>
            </w:r>
          </w:p>
        </w:tc>
      </w:tr>
      <w:tr w:rsidR="004A5174">
        <w:trPr>
          <w:trHeight w:val="20"/>
        </w:trPr>
        <w:tc>
          <w:tcPr>
            <w:tcW w:w="1701" w:type="dxa"/>
            <w:vAlign w:val="center"/>
          </w:tcPr>
          <w:p w:rsidR="004A5174" w:rsidRDefault="00000000">
            <w:pPr>
              <w:spacing w:after="0"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P. </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purpureum</w:t>
            </w:r>
          </w:p>
        </w:tc>
        <w:tc>
          <w:tcPr>
            <w:tcW w:w="1328"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7.61</w:t>
            </w:r>
          </w:p>
        </w:tc>
        <w:tc>
          <w:tcPr>
            <w:tcW w:w="67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1.27</w:t>
            </w:r>
          </w:p>
        </w:tc>
        <w:tc>
          <w:tcPr>
            <w:tcW w:w="571"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1.11</w:t>
            </w:r>
          </w:p>
        </w:tc>
        <w:tc>
          <w:tcPr>
            <w:tcW w:w="686"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2.89</w:t>
            </w:r>
          </w:p>
        </w:tc>
        <w:tc>
          <w:tcPr>
            <w:tcW w:w="571"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0.31</w:t>
            </w:r>
          </w:p>
        </w:tc>
        <w:tc>
          <w:tcPr>
            <w:tcW w:w="747"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2.03</w:t>
            </w:r>
          </w:p>
        </w:tc>
        <w:tc>
          <w:tcPr>
            <w:tcW w:w="67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3.93</w:t>
            </w:r>
          </w:p>
        </w:tc>
        <w:tc>
          <w:tcPr>
            <w:tcW w:w="69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4.55</w:t>
            </w:r>
          </w:p>
        </w:tc>
        <w:tc>
          <w:tcPr>
            <w:tcW w:w="67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2.92</w:t>
            </w:r>
          </w:p>
        </w:tc>
        <w:tc>
          <w:tcPr>
            <w:tcW w:w="714"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1.12</w:t>
            </w:r>
          </w:p>
        </w:tc>
      </w:tr>
      <w:tr w:rsidR="004A5174">
        <w:trPr>
          <w:trHeight w:val="20"/>
        </w:trPr>
        <w:tc>
          <w:tcPr>
            <w:tcW w:w="1701" w:type="dxa"/>
            <w:vAlign w:val="center"/>
          </w:tcPr>
          <w:p w:rsidR="004A5174" w:rsidRDefault="00000000">
            <w:pPr>
              <w:spacing w:after="0"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Indigofera tinctoria</w:t>
            </w:r>
          </w:p>
        </w:tc>
        <w:tc>
          <w:tcPr>
            <w:tcW w:w="1328"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1.56</w:t>
            </w:r>
          </w:p>
        </w:tc>
        <w:tc>
          <w:tcPr>
            <w:tcW w:w="67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0.39</w:t>
            </w:r>
          </w:p>
        </w:tc>
        <w:tc>
          <w:tcPr>
            <w:tcW w:w="571"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0.17</w:t>
            </w:r>
          </w:p>
        </w:tc>
        <w:tc>
          <w:tcPr>
            <w:tcW w:w="686"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0.15</w:t>
            </w:r>
          </w:p>
        </w:tc>
        <w:tc>
          <w:tcPr>
            <w:tcW w:w="571"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w:t>
            </w:r>
          </w:p>
        </w:tc>
        <w:tc>
          <w:tcPr>
            <w:tcW w:w="747"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0.81</w:t>
            </w:r>
          </w:p>
        </w:tc>
        <w:tc>
          <w:tcPr>
            <w:tcW w:w="67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1.19</w:t>
            </w:r>
          </w:p>
        </w:tc>
        <w:tc>
          <w:tcPr>
            <w:tcW w:w="69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0.29</w:t>
            </w:r>
          </w:p>
        </w:tc>
        <w:tc>
          <w:tcPr>
            <w:tcW w:w="67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0.24</w:t>
            </w:r>
          </w:p>
        </w:tc>
        <w:tc>
          <w:tcPr>
            <w:tcW w:w="714"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ND</w:t>
            </w:r>
          </w:p>
        </w:tc>
      </w:tr>
      <w:tr w:rsidR="004A5174">
        <w:trPr>
          <w:trHeight w:val="20"/>
        </w:trPr>
        <w:tc>
          <w:tcPr>
            <w:tcW w:w="1701" w:type="dxa"/>
            <w:vAlign w:val="center"/>
          </w:tcPr>
          <w:p w:rsidR="004A5174" w:rsidRDefault="00000000">
            <w:pPr>
              <w:spacing w:after="0"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Calliandra</w:t>
            </w:r>
          </w:p>
        </w:tc>
        <w:tc>
          <w:tcPr>
            <w:tcW w:w="1328"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2.52</w:t>
            </w:r>
          </w:p>
        </w:tc>
        <w:tc>
          <w:tcPr>
            <w:tcW w:w="67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0.49</w:t>
            </w:r>
          </w:p>
        </w:tc>
        <w:tc>
          <w:tcPr>
            <w:tcW w:w="571"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0.14</w:t>
            </w:r>
          </w:p>
        </w:tc>
        <w:tc>
          <w:tcPr>
            <w:tcW w:w="686"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w:t>
            </w:r>
          </w:p>
        </w:tc>
        <w:tc>
          <w:tcPr>
            <w:tcW w:w="571"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0.01</w:t>
            </w:r>
          </w:p>
        </w:tc>
        <w:tc>
          <w:tcPr>
            <w:tcW w:w="747"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1.61</w:t>
            </w:r>
          </w:p>
        </w:tc>
        <w:tc>
          <w:tcPr>
            <w:tcW w:w="67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1.89</w:t>
            </w:r>
          </w:p>
        </w:tc>
        <w:tc>
          <w:tcPr>
            <w:tcW w:w="69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0.59</w:t>
            </w:r>
          </w:p>
        </w:tc>
        <w:tc>
          <w:tcPr>
            <w:tcW w:w="67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c>
          <w:tcPr>
            <w:tcW w:w="714"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0.18</w:t>
            </w:r>
          </w:p>
        </w:tc>
      </w:tr>
      <w:tr w:rsidR="004A5174">
        <w:trPr>
          <w:trHeight w:val="20"/>
        </w:trPr>
        <w:tc>
          <w:tcPr>
            <w:tcW w:w="1701" w:type="dxa"/>
            <w:vAlign w:val="center"/>
          </w:tcPr>
          <w:p w:rsidR="004A5174"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Soybean husk</w:t>
            </w:r>
          </w:p>
        </w:tc>
        <w:tc>
          <w:tcPr>
            <w:tcW w:w="1328"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31.20</w:t>
            </w:r>
          </w:p>
        </w:tc>
        <w:tc>
          <w:tcPr>
            <w:tcW w:w="67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5.07</w:t>
            </w:r>
          </w:p>
        </w:tc>
        <w:tc>
          <w:tcPr>
            <w:tcW w:w="571"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2.02</w:t>
            </w:r>
          </w:p>
        </w:tc>
        <w:tc>
          <w:tcPr>
            <w:tcW w:w="686"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13.46</w:t>
            </w:r>
          </w:p>
        </w:tc>
        <w:tc>
          <w:tcPr>
            <w:tcW w:w="571"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1.90</w:t>
            </w:r>
          </w:p>
        </w:tc>
        <w:tc>
          <w:tcPr>
            <w:tcW w:w="747"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8.76</w:t>
            </w:r>
          </w:p>
        </w:tc>
        <w:tc>
          <w:tcPr>
            <w:tcW w:w="67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15.49</w:t>
            </w:r>
          </w:p>
        </w:tc>
        <w:tc>
          <w:tcPr>
            <w:tcW w:w="69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18.96</w:t>
            </w:r>
          </w:p>
        </w:tc>
        <w:tc>
          <w:tcPr>
            <w:tcW w:w="67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13.12</w:t>
            </w:r>
          </w:p>
        </w:tc>
        <w:tc>
          <w:tcPr>
            <w:tcW w:w="714"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1.58</w:t>
            </w:r>
          </w:p>
        </w:tc>
      </w:tr>
      <w:tr w:rsidR="004A5174">
        <w:trPr>
          <w:trHeight w:val="20"/>
        </w:trPr>
        <w:tc>
          <w:tcPr>
            <w:tcW w:w="1701" w:type="dxa"/>
            <w:vAlign w:val="center"/>
          </w:tcPr>
          <w:p w:rsidR="004A5174"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Dried Kale</w:t>
            </w:r>
          </w:p>
        </w:tc>
        <w:tc>
          <w:tcPr>
            <w:tcW w:w="1328"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29.64</w:t>
            </w:r>
          </w:p>
        </w:tc>
        <w:tc>
          <w:tcPr>
            <w:tcW w:w="67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2.46</w:t>
            </w:r>
          </w:p>
        </w:tc>
        <w:tc>
          <w:tcPr>
            <w:tcW w:w="571"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3.47</w:t>
            </w:r>
          </w:p>
        </w:tc>
        <w:tc>
          <w:tcPr>
            <w:tcW w:w="686"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6,44</w:t>
            </w:r>
          </w:p>
        </w:tc>
        <w:tc>
          <w:tcPr>
            <w:tcW w:w="571"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0.57</w:t>
            </w:r>
          </w:p>
        </w:tc>
        <w:tc>
          <w:tcPr>
            <w:tcW w:w="747"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16.70</w:t>
            </w:r>
          </w:p>
        </w:tc>
        <w:tc>
          <w:tcPr>
            <w:tcW w:w="67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18.70</w:t>
            </w:r>
          </w:p>
        </w:tc>
        <w:tc>
          <w:tcPr>
            <w:tcW w:w="69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12.45</w:t>
            </w:r>
          </w:p>
        </w:tc>
        <w:tc>
          <w:tcPr>
            <w:tcW w:w="67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11.17</w:t>
            </w:r>
          </w:p>
        </w:tc>
        <w:tc>
          <w:tcPr>
            <w:tcW w:w="714"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ND</w:t>
            </w:r>
          </w:p>
        </w:tc>
      </w:tr>
      <w:tr w:rsidR="004A5174">
        <w:trPr>
          <w:trHeight w:val="20"/>
        </w:trPr>
        <w:tc>
          <w:tcPr>
            <w:tcW w:w="1701" w:type="dxa"/>
            <w:vAlign w:val="center"/>
          </w:tcPr>
          <w:p w:rsidR="004A5174"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Concentrate</w:t>
            </w:r>
          </w:p>
        </w:tc>
        <w:tc>
          <w:tcPr>
            <w:tcW w:w="1328"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27.47</w:t>
            </w:r>
          </w:p>
        </w:tc>
        <w:tc>
          <w:tcPr>
            <w:tcW w:w="67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6.01</w:t>
            </w:r>
          </w:p>
        </w:tc>
        <w:tc>
          <w:tcPr>
            <w:tcW w:w="571"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2.58</w:t>
            </w:r>
          </w:p>
        </w:tc>
        <w:tc>
          <w:tcPr>
            <w:tcW w:w="686"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5.41</w:t>
            </w:r>
          </w:p>
        </w:tc>
        <w:tc>
          <w:tcPr>
            <w:tcW w:w="571"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1.70</w:t>
            </w:r>
          </w:p>
        </w:tc>
        <w:tc>
          <w:tcPr>
            <w:tcW w:w="747"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11.78</w:t>
            </w:r>
          </w:p>
        </w:tc>
        <w:tc>
          <w:tcPr>
            <w:tcW w:w="67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19.41</w:t>
            </w:r>
          </w:p>
        </w:tc>
        <w:tc>
          <w:tcPr>
            <w:tcW w:w="69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10.78</w:t>
            </w:r>
          </w:p>
        </w:tc>
        <w:tc>
          <w:tcPr>
            <w:tcW w:w="672"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5.06</w:t>
            </w:r>
          </w:p>
        </w:tc>
        <w:tc>
          <w:tcPr>
            <w:tcW w:w="714" w:type="dxa"/>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9.44</w:t>
            </w:r>
          </w:p>
        </w:tc>
      </w:tr>
      <w:tr w:rsidR="004A5174">
        <w:trPr>
          <w:trHeight w:val="20"/>
        </w:trPr>
        <w:tc>
          <w:tcPr>
            <w:tcW w:w="1701" w:type="dxa"/>
            <w:tcBorders>
              <w:top w:val="single" w:sz="4" w:space="0" w:color="000000"/>
              <w:bottom w:val="single" w:sz="4" w:space="0" w:color="000000"/>
            </w:tcBorders>
            <w:vAlign w:val="center"/>
          </w:tcPr>
          <w:p w:rsidR="004A5174"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Total</w:t>
            </w:r>
          </w:p>
        </w:tc>
        <w:tc>
          <w:tcPr>
            <w:tcW w:w="1328" w:type="dxa"/>
            <w:tcBorders>
              <w:top w:val="single" w:sz="4" w:space="0" w:color="000000"/>
              <w:bottom w:val="single" w:sz="4" w:space="0" w:color="000000"/>
            </w:tcBorders>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672" w:type="dxa"/>
            <w:tcBorders>
              <w:top w:val="single" w:sz="4" w:space="0" w:color="000000"/>
              <w:bottom w:val="single" w:sz="4" w:space="0" w:color="000000"/>
            </w:tcBorders>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15.69</w:t>
            </w:r>
          </w:p>
        </w:tc>
        <w:tc>
          <w:tcPr>
            <w:tcW w:w="571" w:type="dxa"/>
            <w:tcBorders>
              <w:top w:val="single" w:sz="4" w:space="0" w:color="000000"/>
              <w:bottom w:val="single" w:sz="4" w:space="0" w:color="000000"/>
            </w:tcBorders>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9.49</w:t>
            </w:r>
          </w:p>
        </w:tc>
        <w:tc>
          <w:tcPr>
            <w:tcW w:w="686" w:type="dxa"/>
            <w:tcBorders>
              <w:top w:val="single" w:sz="4" w:space="0" w:color="000000"/>
              <w:bottom w:val="single" w:sz="4" w:space="0" w:color="000000"/>
            </w:tcBorders>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28.62</w:t>
            </w:r>
          </w:p>
        </w:tc>
        <w:tc>
          <w:tcPr>
            <w:tcW w:w="571" w:type="dxa"/>
            <w:tcBorders>
              <w:top w:val="single" w:sz="4" w:space="0" w:color="000000"/>
              <w:bottom w:val="single" w:sz="4" w:space="0" w:color="000000"/>
            </w:tcBorders>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4.52</w:t>
            </w:r>
          </w:p>
        </w:tc>
        <w:tc>
          <w:tcPr>
            <w:tcW w:w="747" w:type="dxa"/>
            <w:tcBorders>
              <w:top w:val="single" w:sz="4" w:space="0" w:color="000000"/>
              <w:bottom w:val="single" w:sz="4" w:space="0" w:color="000000"/>
            </w:tcBorders>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41.69</w:t>
            </w:r>
          </w:p>
        </w:tc>
        <w:tc>
          <w:tcPr>
            <w:tcW w:w="672" w:type="dxa"/>
            <w:tcBorders>
              <w:top w:val="single" w:sz="4" w:space="0" w:color="000000"/>
              <w:bottom w:val="single" w:sz="4" w:space="0" w:color="000000"/>
            </w:tcBorders>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60.61</w:t>
            </w:r>
          </w:p>
        </w:tc>
        <w:tc>
          <w:tcPr>
            <w:tcW w:w="692" w:type="dxa"/>
            <w:tcBorders>
              <w:top w:val="single" w:sz="4" w:space="0" w:color="000000"/>
              <w:bottom w:val="single" w:sz="4" w:space="0" w:color="000000"/>
            </w:tcBorders>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46.23</w:t>
            </w:r>
          </w:p>
        </w:tc>
        <w:tc>
          <w:tcPr>
            <w:tcW w:w="672" w:type="dxa"/>
            <w:tcBorders>
              <w:top w:val="single" w:sz="4" w:space="0" w:color="000000"/>
              <w:bottom w:val="single" w:sz="4" w:space="0" w:color="000000"/>
            </w:tcBorders>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33.01</w:t>
            </w:r>
          </w:p>
        </w:tc>
        <w:tc>
          <w:tcPr>
            <w:tcW w:w="714" w:type="dxa"/>
            <w:tcBorders>
              <w:top w:val="single" w:sz="4" w:space="0" w:color="000000"/>
              <w:bottom w:val="single" w:sz="4" w:space="0" w:color="000000"/>
            </w:tcBorders>
            <w:vAlign w:val="center"/>
          </w:tcPr>
          <w:p w:rsidR="004A5174"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12.32</w:t>
            </w:r>
          </w:p>
        </w:tc>
      </w:tr>
    </w:tbl>
    <w:p w:rsidR="004A5174"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Notes: </w:t>
      </w:r>
      <w:r>
        <w:rPr>
          <w:rFonts w:ascii="Times New Roman" w:eastAsia="Times New Roman" w:hAnsi="Times New Roman" w:cs="Times New Roman"/>
          <w:i/>
          <w:color w:val="000000"/>
          <w:sz w:val="20"/>
          <w:szCs w:val="20"/>
        </w:rPr>
        <w:t>P. purpureum:  Pennisetum purpureum cv. Mott</w:t>
      </w:r>
      <w:r>
        <w:rPr>
          <w:rFonts w:ascii="Times New Roman" w:eastAsia="Times New Roman" w:hAnsi="Times New Roman" w:cs="Times New Roman"/>
          <w:color w:val="000000"/>
          <w:sz w:val="20"/>
          <w:szCs w:val="20"/>
        </w:rPr>
        <w:t xml:space="preserve">; Calliandra: Calliandra calothyrsus CP = crude protein, CF = crude fiber, EE = ether extract, NFE = nitrogen free extract dan TDN = </w:t>
      </w:r>
      <w:r>
        <w:rPr>
          <w:rFonts w:ascii="Times New Roman" w:eastAsia="Times New Roman" w:hAnsi="Times New Roman" w:cs="Times New Roman"/>
          <w:i/>
          <w:color w:val="000000"/>
          <w:sz w:val="20"/>
          <w:szCs w:val="20"/>
        </w:rPr>
        <w:t>total digestible nutrient</w:t>
      </w:r>
      <w:r>
        <w:rPr>
          <w:rFonts w:ascii="Times New Roman" w:eastAsia="Times New Roman" w:hAnsi="Times New Roman" w:cs="Times New Roman"/>
          <w:color w:val="000000"/>
          <w:sz w:val="20"/>
          <w:szCs w:val="20"/>
        </w:rPr>
        <w:t>, DDGS = distiller’s dried grain with soluble, ND = not detected.</w:t>
      </w:r>
    </w:p>
    <w:p w:rsidR="004A5174" w:rsidRDefault="00000000">
      <w:pPr>
        <w:pBdr>
          <w:top w:val="nil"/>
          <w:left w:val="nil"/>
          <w:bottom w:val="nil"/>
          <w:right w:val="nil"/>
          <w:between w:val="nil"/>
        </w:pBdr>
        <w:spacing w:after="12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template provides writing styles that can be accessed from the styles gallery in the Toolbar. Authors can apply those styles to their paper by clicking on the style names.</w:t>
      </w:r>
    </w:p>
    <w:p w:rsidR="004A5174" w:rsidRDefault="00000000">
      <w:pPr>
        <w:numPr>
          <w:ilvl w:val="0"/>
          <w:numId w:val="2"/>
        </w:numPr>
        <w:pBdr>
          <w:top w:val="nil"/>
          <w:left w:val="nil"/>
          <w:bottom w:val="nil"/>
          <w:right w:val="nil"/>
          <w:between w:val="nil"/>
        </w:pBdr>
        <w:spacing w:after="0" w:line="276" w:lineRule="auto"/>
        <w:jc w:val="both"/>
      </w:pPr>
      <w:r>
        <w:rPr>
          <w:rFonts w:ascii="Times New Roman" w:eastAsia="Times New Roman" w:hAnsi="Times New Roman" w:cs="Times New Roman"/>
          <w:b/>
          <w:color w:val="000000"/>
          <w:sz w:val="24"/>
          <w:szCs w:val="24"/>
        </w:rPr>
        <w:t>Conclusion</w:t>
      </w:r>
    </w:p>
    <w:p w:rsidR="004A5174" w:rsidRDefault="00000000">
      <w:pPr>
        <w:pBdr>
          <w:top w:val="nil"/>
          <w:left w:val="nil"/>
          <w:bottom w:val="nil"/>
          <w:right w:val="nil"/>
          <w:between w:val="nil"/>
        </w:pBdr>
        <w:spacing w:after="12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should represent a concise conclusion of the research and must answer the objective of the study.</w:t>
      </w:r>
    </w:p>
    <w:p w:rsidR="004A5174" w:rsidRDefault="00000000">
      <w:pPr>
        <w:numPr>
          <w:ilvl w:val="0"/>
          <w:numId w:val="2"/>
        </w:numPr>
        <w:pBdr>
          <w:top w:val="nil"/>
          <w:left w:val="nil"/>
          <w:bottom w:val="nil"/>
          <w:right w:val="nil"/>
          <w:between w:val="nil"/>
        </w:pBdr>
        <w:spacing w:after="0" w:line="276" w:lineRule="auto"/>
        <w:jc w:val="both"/>
      </w:pPr>
      <w:r>
        <w:rPr>
          <w:rFonts w:ascii="Times New Roman" w:eastAsia="Times New Roman" w:hAnsi="Times New Roman" w:cs="Times New Roman"/>
          <w:b/>
          <w:color w:val="000000"/>
          <w:sz w:val="24"/>
          <w:szCs w:val="24"/>
        </w:rPr>
        <w:t>Acknowledgement</w:t>
      </w:r>
    </w:p>
    <w:p w:rsidR="004A5174" w:rsidRDefault="00000000">
      <w:pPr>
        <w:pBdr>
          <w:top w:val="nil"/>
          <w:left w:val="nil"/>
          <w:bottom w:val="nil"/>
          <w:right w:val="nil"/>
          <w:between w:val="nil"/>
        </w:pBdr>
        <w:spacing w:after="0" w:line="276" w:lineRule="auto"/>
        <w:ind w:left="284" w:hanging="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rsidR="004A5174" w:rsidRDefault="00000000">
      <w:pPr>
        <w:pBdr>
          <w:top w:val="nil"/>
          <w:left w:val="nil"/>
          <w:bottom w:val="nil"/>
          <w:right w:val="nil"/>
          <w:between w:val="nil"/>
        </w:pBdr>
        <w:spacing w:after="12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contains only a list of related literature cited by the authors in the paper. The reference list should be written in Vancouver styles. </w:t>
      </w:r>
    </w:p>
    <w:p w:rsidR="004A5174" w:rsidRDefault="00000000">
      <w:pPr>
        <w:widowControl w:val="0"/>
        <w:numPr>
          <w:ilvl w:val="0"/>
          <w:numId w:val="1"/>
        </w:numPr>
        <w:pBdr>
          <w:top w:val="nil"/>
          <w:left w:val="nil"/>
          <w:bottom w:val="nil"/>
          <w:right w:val="nil"/>
          <w:between w:val="nil"/>
        </w:pBdr>
        <w:spacing w:after="120" w:line="24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Chali, B.U., Hasho, A. &amp; Koricha, N.B. (2021) ‘Preference and Practice of Traditional Medicine and Associated Factors in Jimma Town, Southwest Ethiopia’, </w:t>
      </w:r>
      <w:r>
        <w:rPr>
          <w:rFonts w:ascii="Times New Roman" w:eastAsia="Times New Roman" w:hAnsi="Times New Roman" w:cs="Times New Roman"/>
          <w:i/>
          <w:color w:val="000000"/>
          <w:sz w:val="24"/>
          <w:szCs w:val="24"/>
        </w:rPr>
        <w:t>Evidence-based Complementary and Alternative Medicine</w:t>
      </w:r>
      <w:r>
        <w:rPr>
          <w:rFonts w:ascii="Times New Roman" w:eastAsia="Times New Roman" w:hAnsi="Times New Roman" w:cs="Times New Roman"/>
          <w:color w:val="000000"/>
          <w:sz w:val="24"/>
          <w:szCs w:val="24"/>
        </w:rPr>
        <w:t>, vol. 2021.</w:t>
      </w:r>
    </w:p>
    <w:p w:rsidR="004A5174" w:rsidRDefault="00000000">
      <w:pPr>
        <w:widowControl w:val="0"/>
        <w:numPr>
          <w:ilvl w:val="0"/>
          <w:numId w:val="1"/>
        </w:numPr>
        <w:pBdr>
          <w:top w:val="nil"/>
          <w:left w:val="nil"/>
          <w:bottom w:val="nil"/>
          <w:right w:val="nil"/>
          <w:between w:val="nil"/>
        </w:pBdr>
        <w:spacing w:after="120" w:line="24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Dia, S.P.S., Nurjanah &amp; Jacoeb, A.M. (2015) ‘Chemical Composition, Bioactive Components and Antioxidant Activities from Root, Bark and Leaf Lindur’, </w:t>
      </w:r>
      <w:r>
        <w:rPr>
          <w:rFonts w:ascii="Times New Roman" w:eastAsia="Times New Roman" w:hAnsi="Times New Roman" w:cs="Times New Roman"/>
          <w:i/>
          <w:color w:val="000000"/>
          <w:sz w:val="24"/>
          <w:szCs w:val="24"/>
        </w:rPr>
        <w:t>Jurnal Pengolahan Hasil Perikanan Indonesia</w:t>
      </w:r>
      <w:r>
        <w:rPr>
          <w:rFonts w:ascii="Times New Roman" w:eastAsia="Times New Roman" w:hAnsi="Times New Roman" w:cs="Times New Roman"/>
          <w:color w:val="000000"/>
          <w:sz w:val="24"/>
          <w:szCs w:val="24"/>
        </w:rPr>
        <w:t>, vol. 18, no. 2, pp. 205–19.</w:t>
      </w:r>
    </w:p>
    <w:p w:rsidR="004A5174" w:rsidRDefault="00000000">
      <w:pPr>
        <w:widowControl w:val="0"/>
        <w:numPr>
          <w:ilvl w:val="0"/>
          <w:numId w:val="1"/>
        </w:numPr>
        <w:pBdr>
          <w:top w:val="nil"/>
          <w:left w:val="nil"/>
          <w:bottom w:val="nil"/>
          <w:right w:val="nil"/>
          <w:between w:val="nil"/>
        </w:pBdr>
        <w:spacing w:after="120" w:line="24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Hasnaeni, Wisdawati &amp; Usman, S. (2019) ‘The Effect of Extraction Method on Yield Value and Phenolic Content of Beta-Beta (Lunasia amara Blanco) Bark Extract’, </w:t>
      </w:r>
      <w:r>
        <w:rPr>
          <w:rFonts w:ascii="Times New Roman" w:eastAsia="Times New Roman" w:hAnsi="Times New Roman" w:cs="Times New Roman"/>
          <w:i/>
          <w:color w:val="000000"/>
          <w:sz w:val="24"/>
          <w:szCs w:val="24"/>
        </w:rPr>
        <w:t xml:space="preserve">Jurnal Farmasi Galenika </w:t>
      </w:r>
      <w:r>
        <w:rPr>
          <w:rFonts w:ascii="Times New Roman" w:eastAsia="Times New Roman" w:hAnsi="Times New Roman" w:cs="Times New Roman"/>
          <w:color w:val="000000"/>
          <w:sz w:val="24"/>
          <w:szCs w:val="24"/>
        </w:rPr>
        <w:t>, vol. 5, no. 2, pp. 175–82.</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Haq, M., Sani, W., Hossain, A.B.M.S., Taha, R.M. &amp; Monneruzzaman K.M. (2011) ‘Total phenolic contents, antioxidant and antimicrobial activities of Bruguiera gymnorrhiza’, </w:t>
      </w:r>
      <w:r>
        <w:rPr>
          <w:rFonts w:ascii="Times New Roman" w:eastAsia="Times New Roman" w:hAnsi="Times New Roman" w:cs="Times New Roman"/>
          <w:i/>
          <w:color w:val="000000"/>
          <w:sz w:val="24"/>
          <w:szCs w:val="24"/>
        </w:rPr>
        <w:t>Journal of Medicinal Plants Research</w:t>
      </w:r>
      <w:r>
        <w:rPr>
          <w:rFonts w:ascii="Times New Roman" w:eastAsia="Times New Roman" w:hAnsi="Times New Roman" w:cs="Times New Roman"/>
          <w:color w:val="000000"/>
          <w:sz w:val="24"/>
          <w:szCs w:val="24"/>
        </w:rPr>
        <w:t>, vol. 5, no. 17, pp. 4112–8.</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Saad, A.H.,dan Kadhim, R.D. 2011. Formulation and Evaluation of Herbal Mangroveo from Zizhipus spina Leaves Extract. International Journal of Reseach in Ayurveda &amp; Pharmacy. 2(6): 1802-1806.</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sidRPr="00A45701">
        <w:rPr>
          <w:rFonts w:ascii="Times New Roman" w:eastAsia="Times New Roman" w:hAnsi="Times New Roman" w:cs="Times New Roman"/>
          <w:color w:val="000000"/>
          <w:sz w:val="24"/>
          <w:szCs w:val="24"/>
          <w:lang w:val="fi-FI"/>
        </w:rPr>
        <w:t xml:space="preserve">Mahataranti, N., Astuti, I.Y., dan Asriningdhiani, B. 2012.  Formulasi Mangrove Antiketombe Ekstrak Etanol Seledri (Apium graveolens L) dan Aktivitasnya terhadap Jamur Pytirosporum ovale. </w:t>
      </w:r>
      <w:r>
        <w:rPr>
          <w:rFonts w:ascii="Times New Roman" w:eastAsia="Times New Roman" w:hAnsi="Times New Roman" w:cs="Times New Roman"/>
          <w:color w:val="000000"/>
          <w:sz w:val="24"/>
          <w:szCs w:val="24"/>
        </w:rPr>
        <w:t>Pharmacy. 2 (09):128-139</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Handayani, S. (2021) ‘Aktivitas Antioksidan Ekstrak Hipokotil Bruguiera gymnorhiza Pada Pelarut Dan Fase Kematangan Yang Berbeda’, </w:t>
      </w:r>
      <w:r>
        <w:rPr>
          <w:rFonts w:ascii="Times New Roman" w:eastAsia="Times New Roman" w:hAnsi="Times New Roman" w:cs="Times New Roman"/>
          <w:i/>
          <w:color w:val="000000"/>
          <w:sz w:val="24"/>
          <w:szCs w:val="24"/>
        </w:rPr>
        <w:t>Agrointek : Jurnal</w:t>
      </w:r>
      <w:r>
        <w:rPr>
          <w:i/>
          <w:color w:val="000000"/>
          <w:sz w:val="24"/>
          <w:szCs w:val="24"/>
        </w:rPr>
        <w:t xml:space="preserve"> </w:t>
      </w:r>
      <w:r>
        <w:rPr>
          <w:rFonts w:ascii="Times New Roman" w:eastAsia="Times New Roman" w:hAnsi="Times New Roman" w:cs="Times New Roman"/>
          <w:i/>
          <w:color w:val="000000"/>
          <w:sz w:val="24"/>
          <w:szCs w:val="24"/>
        </w:rPr>
        <w:t>Teknologi Industri Pertanian</w:t>
      </w:r>
      <w:r>
        <w:rPr>
          <w:rFonts w:ascii="Times New Roman" w:eastAsia="Times New Roman" w:hAnsi="Times New Roman" w:cs="Times New Roman"/>
          <w:color w:val="000000"/>
          <w:sz w:val="24"/>
          <w:szCs w:val="24"/>
        </w:rPr>
        <w:t xml:space="preserve">, 15(3), pp. 685–694. Available at: </w:t>
      </w:r>
      <w:hyperlink r:id="rId9">
        <w:r w:rsidR="004A5174">
          <w:rPr>
            <w:rFonts w:ascii="Times New Roman" w:eastAsia="Times New Roman" w:hAnsi="Times New Roman" w:cs="Times New Roman"/>
            <w:color w:val="0563C1"/>
            <w:sz w:val="24"/>
            <w:szCs w:val="24"/>
            <w:u w:val="single"/>
          </w:rPr>
          <w:t>https://doi.org/10.21107/agrointek</w:t>
        </w:r>
      </w:hyperlink>
      <w:r>
        <w:rPr>
          <w:rFonts w:ascii="Times New Roman" w:eastAsia="Times New Roman" w:hAnsi="Times New Roman" w:cs="Times New Roman"/>
          <w:color w:val="000000"/>
          <w:sz w:val="24"/>
          <w:szCs w:val="24"/>
        </w:rPr>
        <w:t>. v15i3.8477.</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Seepana, R., Perumal, K., Kada, N.M., Chatragadda, R., Raju, M. &amp; Annamalai, V. (2016) ‘Evaluation of antimicrobial properties from the mangrove Rhizophora apiculata and Bruguiera gymnorrhiza of Burmanallah coast, South Andaman, India’, </w:t>
      </w:r>
      <w:r>
        <w:rPr>
          <w:rFonts w:ascii="Times New Roman" w:eastAsia="Times New Roman" w:hAnsi="Times New Roman" w:cs="Times New Roman"/>
          <w:i/>
          <w:color w:val="000000"/>
          <w:sz w:val="24"/>
          <w:szCs w:val="24"/>
        </w:rPr>
        <w:t xml:space="preserve">Journal of Coastal Life </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Verma, A., Gautam, S., Bansal, K., Prabhakar, N. &amp; Rosenholm, J. (2019) ‘Green Nanotechnology: Advancement in Phytoformulation Research’, </w:t>
      </w:r>
      <w:r>
        <w:rPr>
          <w:rFonts w:ascii="Times New Roman" w:eastAsia="Times New Roman" w:hAnsi="Times New Roman" w:cs="Times New Roman"/>
          <w:i/>
          <w:color w:val="000000"/>
          <w:sz w:val="24"/>
          <w:szCs w:val="24"/>
        </w:rPr>
        <w:t>Medicines</w:t>
      </w:r>
      <w:r>
        <w:rPr>
          <w:rFonts w:ascii="Times New Roman" w:eastAsia="Times New Roman" w:hAnsi="Times New Roman" w:cs="Times New Roman"/>
          <w:color w:val="000000"/>
          <w:sz w:val="24"/>
          <w:szCs w:val="24"/>
        </w:rPr>
        <w:t>, vol. 6, no. 1, p. 39.</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Suhesti, T.S., Fudholi, A., Martien, R. and Martono, S., 2017, Pharmaceutical nanoparticle technologies: An approach to improve drug solubility and dissolution rate of Piroxicam, </w:t>
      </w:r>
      <w:r>
        <w:rPr>
          <w:rFonts w:ascii="Times New Roman" w:eastAsia="Times New Roman" w:hAnsi="Times New Roman" w:cs="Times New Roman"/>
          <w:i/>
          <w:color w:val="000000"/>
          <w:sz w:val="24"/>
          <w:szCs w:val="24"/>
        </w:rPr>
        <w:t xml:space="preserve">Research J. Pharm. and Tech., </w:t>
      </w:r>
      <w:r>
        <w:rPr>
          <w:rFonts w:ascii="Times New Roman" w:eastAsia="Times New Roman" w:hAnsi="Times New Roman" w:cs="Times New Roman"/>
          <w:b/>
          <w:color w:val="000000"/>
          <w:sz w:val="24"/>
          <w:szCs w:val="24"/>
        </w:rPr>
        <w:t>10</w:t>
      </w:r>
      <w:r>
        <w:rPr>
          <w:rFonts w:ascii="Times New Roman" w:eastAsia="Times New Roman" w:hAnsi="Times New Roman" w:cs="Times New Roman"/>
          <w:color w:val="000000"/>
          <w:sz w:val="24"/>
          <w:szCs w:val="24"/>
        </w:rPr>
        <w:t>(4), 7 p. https://doi.org/ 10.5958/0974-360X.2017.00176.7</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Suhesti, T.S., Fudholi, A., Martien, R., 2016, Application of Simplex Lattice Design for the Optimization of the Piroxicam Nanosupensions Formulation using Evaporative Antisolvent Technique, </w:t>
      </w:r>
      <w:r>
        <w:rPr>
          <w:rFonts w:ascii="Times New Roman" w:eastAsia="Times New Roman" w:hAnsi="Times New Roman" w:cs="Times New Roman"/>
          <w:i/>
          <w:color w:val="000000"/>
          <w:sz w:val="24"/>
          <w:szCs w:val="24"/>
        </w:rPr>
        <w:t>IJPCR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8</w:t>
      </w:r>
      <w:r>
        <w:rPr>
          <w:rFonts w:ascii="Times New Roman" w:eastAsia="Times New Roman" w:hAnsi="Times New Roman" w:cs="Times New Roman"/>
          <w:color w:val="000000"/>
          <w:sz w:val="24"/>
          <w:szCs w:val="24"/>
        </w:rPr>
        <w:t xml:space="preserve">(5)Suppl: p.433-439. </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Rizvi, S.A.A. and Saleh, A.M. (2018)‘Applications of nanoparticle systems in drug delivery technology’, </w:t>
      </w:r>
      <w:r>
        <w:rPr>
          <w:rFonts w:ascii="Times New Roman" w:eastAsia="Times New Roman" w:hAnsi="Times New Roman" w:cs="Times New Roman"/>
          <w:i/>
          <w:color w:val="000000"/>
          <w:sz w:val="24"/>
          <w:szCs w:val="24"/>
        </w:rPr>
        <w:t>Saudi Pharmaceutical Journal</w:t>
      </w:r>
      <w:r>
        <w:rPr>
          <w:rFonts w:ascii="Times New Roman" w:eastAsia="Times New Roman" w:hAnsi="Times New Roman" w:cs="Times New Roman"/>
          <w:color w:val="000000"/>
          <w:sz w:val="24"/>
          <w:szCs w:val="24"/>
        </w:rPr>
        <w:t>, 26(1), pp. 64–70. Available at:</w:t>
      </w:r>
      <w:hyperlink r:id="rId10">
        <w:r w:rsidR="004A5174">
          <w:rPr>
            <w:rFonts w:ascii="Times New Roman" w:eastAsia="Times New Roman" w:hAnsi="Times New Roman" w:cs="Times New Roman"/>
            <w:color w:val="0563C1"/>
            <w:sz w:val="24"/>
            <w:szCs w:val="24"/>
            <w:u w:val="single"/>
          </w:rPr>
          <w:t>https://doi.org/10.1016/j.jsps.2017.10.012</w:t>
        </w:r>
      </w:hyperlink>
      <w:r>
        <w:rPr>
          <w:rFonts w:ascii="Times New Roman" w:eastAsia="Times New Roman" w:hAnsi="Times New Roman" w:cs="Times New Roman"/>
          <w:color w:val="000000"/>
          <w:sz w:val="24"/>
          <w:szCs w:val="24"/>
        </w:rPr>
        <w:t>.</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Laili, H.N. and Winarti, L. (2014) ‘Preparasi dan Karakterisasi Nanopartikel Kitosan-Naringenin dengan Variasi Rasio Massa Kitosan-Natrium Tripolifosfat’, </w:t>
      </w:r>
      <w:r>
        <w:rPr>
          <w:rFonts w:ascii="Times New Roman" w:eastAsia="Times New Roman" w:hAnsi="Times New Roman" w:cs="Times New Roman"/>
          <w:i/>
          <w:color w:val="000000"/>
          <w:sz w:val="24"/>
          <w:szCs w:val="24"/>
        </w:rPr>
        <w:t>e-Jurnal Pustaka Kesehatan</w:t>
      </w:r>
      <w:r>
        <w:rPr>
          <w:rFonts w:ascii="Times New Roman" w:eastAsia="Times New Roman" w:hAnsi="Times New Roman" w:cs="Times New Roman"/>
          <w:color w:val="000000"/>
          <w:sz w:val="24"/>
          <w:szCs w:val="24"/>
        </w:rPr>
        <w:t xml:space="preserve">, 2(2), pp. 308–313. </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Sardoiwala, M.N., Kaundal, B. and Roy Choudhury, S. (2018) ‘Development of Engineered Nanoparticles Expediting Diagnostic and Therapeutic Applications Across Blood–Brain Barrier’, in </w:t>
      </w:r>
      <w:r>
        <w:rPr>
          <w:rFonts w:ascii="Times New Roman" w:eastAsia="Times New Roman" w:hAnsi="Times New Roman" w:cs="Times New Roman"/>
          <w:i/>
          <w:color w:val="000000"/>
          <w:sz w:val="24"/>
          <w:szCs w:val="24"/>
        </w:rPr>
        <w:t>Handbook of Nanomaterials for Industrial Applications</w:t>
      </w:r>
      <w:r>
        <w:rPr>
          <w:rFonts w:ascii="Times New Roman" w:eastAsia="Times New Roman" w:hAnsi="Times New Roman" w:cs="Times New Roman"/>
          <w:color w:val="000000"/>
          <w:sz w:val="24"/>
          <w:szCs w:val="24"/>
        </w:rPr>
        <w:t xml:space="preserve">. Elsevier, pp. 696– 709. Available at: </w:t>
      </w:r>
      <w:hyperlink r:id="rId11">
        <w:r w:rsidR="004A5174">
          <w:rPr>
            <w:rFonts w:ascii="Times New Roman" w:eastAsia="Times New Roman" w:hAnsi="Times New Roman" w:cs="Times New Roman"/>
            <w:color w:val="0563C1"/>
            <w:sz w:val="24"/>
            <w:szCs w:val="24"/>
            <w:u w:val="single"/>
          </w:rPr>
          <w:t>https://doi.org/10.1016/B978-0-12-813351-4.00038-9</w:t>
        </w:r>
      </w:hyperlink>
      <w:r>
        <w:rPr>
          <w:rFonts w:ascii="Times New Roman" w:eastAsia="Times New Roman" w:hAnsi="Times New Roman" w:cs="Times New Roman"/>
          <w:color w:val="000000"/>
          <w:sz w:val="24"/>
          <w:szCs w:val="24"/>
        </w:rPr>
        <w:t>.</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Hoang, N.H., Thanh, T. Le, Sangpueak, R., Treekoon, J., Saengchan, C., Thepbandit, W., Papathoti, N.K., Kamkaew, A. &amp; Buensanteai, N. 2022, ‘Chitosan Nanoparticles-Based Ionic Gelation Method: A Promising Candidate for Plant Disease Management’, </w:t>
      </w:r>
      <w:r>
        <w:rPr>
          <w:rFonts w:ascii="Times New Roman" w:eastAsia="Times New Roman" w:hAnsi="Times New Roman" w:cs="Times New Roman"/>
          <w:i/>
          <w:color w:val="000000"/>
          <w:sz w:val="24"/>
          <w:szCs w:val="24"/>
        </w:rPr>
        <w:t>Polymers</w:t>
      </w:r>
      <w:r>
        <w:rPr>
          <w:rFonts w:ascii="Times New Roman" w:eastAsia="Times New Roman" w:hAnsi="Times New Roman" w:cs="Times New Roman"/>
          <w:color w:val="000000"/>
          <w:sz w:val="24"/>
          <w:szCs w:val="24"/>
        </w:rPr>
        <w:t>, vol. 14, no. 4.</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Sari, R., Paramanandana, A., Isadiartuti, D. &amp; Rahayyu, A.M. (2020) ‘Pengaruh Jumlah Polimer terhadap Karakteristik Fisik dan Pelepasan Nanopartikel Fraksi Diterpen Lakton Sambiloto-Kitosan, </w:t>
      </w:r>
      <w:r>
        <w:rPr>
          <w:rFonts w:ascii="Times New Roman" w:eastAsia="Times New Roman" w:hAnsi="Times New Roman" w:cs="Times New Roman"/>
          <w:i/>
          <w:color w:val="000000"/>
          <w:sz w:val="24"/>
          <w:szCs w:val="24"/>
        </w:rPr>
        <w:t>Jurnal Sains Farmasi &amp; Klinis</w:t>
      </w:r>
      <w:r>
        <w:rPr>
          <w:rFonts w:ascii="Times New Roman" w:eastAsia="Times New Roman" w:hAnsi="Times New Roman" w:cs="Times New Roman"/>
          <w:color w:val="000000"/>
          <w:sz w:val="24"/>
          <w:szCs w:val="24"/>
        </w:rPr>
        <w:t>, vol.7, no.2, p. 99.</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Jain, A.K. and Thareja, S. (2019) ‘</w:t>
      </w:r>
      <w:r>
        <w:rPr>
          <w:rFonts w:ascii="Times New Roman" w:eastAsia="Times New Roman" w:hAnsi="Times New Roman" w:cs="Times New Roman"/>
          <w:i/>
          <w:color w:val="000000"/>
          <w:sz w:val="24"/>
          <w:szCs w:val="24"/>
        </w:rPr>
        <w:t xml:space="preserve">In vitro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 xml:space="preserve">in vivo </w:t>
      </w:r>
      <w:r>
        <w:rPr>
          <w:rFonts w:ascii="Times New Roman" w:eastAsia="Times New Roman" w:hAnsi="Times New Roman" w:cs="Times New Roman"/>
          <w:color w:val="000000"/>
          <w:sz w:val="24"/>
          <w:szCs w:val="24"/>
        </w:rPr>
        <w:t xml:space="preserve">characterization of pharmaceutical nanocarriers used for drug delivery’, </w:t>
      </w:r>
      <w:r>
        <w:rPr>
          <w:rFonts w:ascii="Times New Roman" w:eastAsia="Times New Roman" w:hAnsi="Times New Roman" w:cs="Times New Roman"/>
          <w:i/>
          <w:color w:val="000000"/>
          <w:sz w:val="24"/>
          <w:szCs w:val="24"/>
        </w:rPr>
        <w:t>Artificial Cells, Nanomedicine, and Biotechnology</w:t>
      </w:r>
      <w:r>
        <w:rPr>
          <w:rFonts w:ascii="Times New Roman" w:eastAsia="Times New Roman" w:hAnsi="Times New Roman" w:cs="Times New Roman"/>
          <w:color w:val="000000"/>
          <w:sz w:val="24"/>
          <w:szCs w:val="24"/>
        </w:rPr>
        <w:t xml:space="preserve">, 47(1), pp. 524–539. Available at: </w:t>
      </w:r>
      <w:hyperlink r:id="rId12">
        <w:r w:rsidR="004A5174">
          <w:rPr>
            <w:rFonts w:ascii="Times New Roman" w:eastAsia="Times New Roman" w:hAnsi="Times New Roman" w:cs="Times New Roman"/>
            <w:color w:val="0563C1"/>
            <w:sz w:val="24"/>
            <w:szCs w:val="24"/>
            <w:u w:val="single"/>
          </w:rPr>
          <w:t>https://doi.org/10.1080/21691401.2018.1561457</w:t>
        </w:r>
      </w:hyperlink>
      <w:r>
        <w:rPr>
          <w:rFonts w:ascii="Times New Roman" w:eastAsia="Times New Roman" w:hAnsi="Times New Roman" w:cs="Times New Roman"/>
          <w:color w:val="000000"/>
          <w:sz w:val="24"/>
          <w:szCs w:val="24"/>
        </w:rPr>
        <w:t>.</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Danaei, M., Dehghankhold, M., Ataei, S., Hasanzadeh Davarani, F., Javanmard, R., Dokhani, A., Khorasani, S. &amp; Mozafari, M.R. (2018) ‘Impact of particle size and polydispersity index on the clinical applications of lipidic nanocarrier systems’, </w:t>
      </w:r>
      <w:r>
        <w:rPr>
          <w:rFonts w:ascii="Times New Roman" w:eastAsia="Times New Roman" w:hAnsi="Times New Roman" w:cs="Times New Roman"/>
          <w:i/>
          <w:color w:val="000000"/>
          <w:sz w:val="24"/>
          <w:szCs w:val="24"/>
        </w:rPr>
        <w:t>Pharmaceutics</w:t>
      </w:r>
      <w:r>
        <w:rPr>
          <w:rFonts w:ascii="Times New Roman" w:eastAsia="Times New Roman" w:hAnsi="Times New Roman" w:cs="Times New Roman"/>
          <w:color w:val="000000"/>
          <w:sz w:val="24"/>
          <w:szCs w:val="24"/>
        </w:rPr>
        <w:t>, MDPI AG.</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color w:val="000000"/>
          <w:sz w:val="24"/>
          <w:szCs w:val="24"/>
        </w:rPr>
      </w:pPr>
      <w:r>
        <w:rPr>
          <w:rFonts w:ascii="Times New Roman" w:eastAsia="Times New Roman" w:hAnsi="Times New Roman" w:cs="Times New Roman"/>
          <w:color w:val="000000"/>
          <w:sz w:val="24"/>
          <w:szCs w:val="24"/>
        </w:rPr>
        <w:t>Rahat, I., Imam, S.S., Rizwanullah, Md., Alshehri, S., Asif, M., Kala, C.</w:t>
      </w:r>
      <w:r>
        <w:rPr>
          <w:color w:val="000000"/>
          <w:sz w:val="24"/>
          <w:szCs w:val="24"/>
        </w:rPr>
        <w:t xml:space="preserve"> </w:t>
      </w:r>
      <w:r>
        <w:rPr>
          <w:rFonts w:ascii="Times New Roman" w:eastAsia="Times New Roman" w:hAnsi="Times New Roman" w:cs="Times New Roman"/>
          <w:color w:val="000000"/>
          <w:sz w:val="24"/>
          <w:szCs w:val="24"/>
        </w:rPr>
        <w:t xml:space="preserve">and Taleuzzaman, M. (2021) ‘Thymoquinone-entrapped chitosan-modified nanoparticles: formulation optimization to preclinical bioavailability assessments’, </w:t>
      </w:r>
      <w:r>
        <w:rPr>
          <w:rFonts w:ascii="Times New Roman" w:eastAsia="Times New Roman" w:hAnsi="Times New Roman" w:cs="Times New Roman"/>
          <w:i/>
          <w:color w:val="000000"/>
          <w:sz w:val="24"/>
          <w:szCs w:val="24"/>
        </w:rPr>
        <w:t>Drug Delivery</w:t>
      </w:r>
      <w:r>
        <w:rPr>
          <w:rFonts w:ascii="Times New Roman" w:eastAsia="Times New Roman" w:hAnsi="Times New Roman" w:cs="Times New Roman"/>
          <w:color w:val="000000"/>
          <w:sz w:val="24"/>
          <w:szCs w:val="24"/>
        </w:rPr>
        <w:t xml:space="preserve">, 28(1), pp. 973–984. Available at: </w:t>
      </w:r>
      <w:hyperlink r:id="rId13">
        <w:r w:rsidR="004A5174">
          <w:rPr>
            <w:rFonts w:ascii="Times New Roman" w:eastAsia="Times New Roman" w:hAnsi="Times New Roman" w:cs="Times New Roman"/>
            <w:color w:val="0563C1"/>
            <w:sz w:val="24"/>
            <w:szCs w:val="24"/>
            <w:u w:val="single"/>
          </w:rPr>
          <w:t>https://doi.org/10.1080/10717544.2021.1927245</w:t>
        </w:r>
      </w:hyperlink>
      <w:r>
        <w:rPr>
          <w:rFonts w:ascii="Times New Roman" w:eastAsia="Times New Roman" w:hAnsi="Times New Roman" w:cs="Times New Roman"/>
          <w:color w:val="000000"/>
          <w:sz w:val="24"/>
          <w:szCs w:val="24"/>
        </w:rPr>
        <w:t>.</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Dewi, M.K., Chaerunisaa, A.Y., Muhaimin, M. &amp; Joni, I.M. (2022) ‘Improved Activity of Herbal Medicines through Nanotechnology’, </w:t>
      </w:r>
      <w:r>
        <w:rPr>
          <w:rFonts w:ascii="Times New Roman" w:eastAsia="Times New Roman" w:hAnsi="Times New Roman" w:cs="Times New Roman"/>
          <w:i/>
          <w:color w:val="000000"/>
          <w:sz w:val="24"/>
          <w:szCs w:val="24"/>
        </w:rPr>
        <w:t>Nanomaterials</w:t>
      </w:r>
      <w:r>
        <w:rPr>
          <w:rFonts w:ascii="Times New Roman" w:eastAsia="Times New Roman" w:hAnsi="Times New Roman" w:cs="Times New Roman"/>
          <w:color w:val="000000"/>
          <w:sz w:val="24"/>
          <w:szCs w:val="24"/>
        </w:rPr>
        <w:t>, MDPI,</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 xml:space="preserve">(22), 4073;  </w:t>
      </w:r>
      <w:hyperlink r:id="rId14">
        <w:r w:rsidR="004A5174">
          <w:rPr>
            <w:rFonts w:ascii="Times New Roman" w:eastAsia="Times New Roman" w:hAnsi="Times New Roman" w:cs="Times New Roman"/>
            <w:color w:val="0563C1"/>
            <w:sz w:val="24"/>
            <w:szCs w:val="24"/>
            <w:highlight w:val="white"/>
            <w:u w:val="single"/>
          </w:rPr>
          <w:t>https://doi.org/10.3390/nano12224073</w:t>
        </w:r>
      </w:hyperlink>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Mourdikoudis, S., Pallares, R.M. &amp; Thanh, N.T.K. (2018) ‘Characterization techniques for nanoparticles: Comparison and complementarity upon studying nanoparticle properties’, </w:t>
      </w:r>
      <w:r>
        <w:rPr>
          <w:rFonts w:ascii="Times New Roman" w:eastAsia="Times New Roman" w:hAnsi="Times New Roman" w:cs="Times New Roman"/>
          <w:i/>
          <w:color w:val="000000"/>
          <w:sz w:val="24"/>
          <w:szCs w:val="24"/>
        </w:rPr>
        <w:t>Nanoscale</w:t>
      </w:r>
      <w:r>
        <w:rPr>
          <w:rFonts w:ascii="Times New Roman" w:eastAsia="Times New Roman" w:hAnsi="Times New Roman" w:cs="Times New Roman"/>
          <w:color w:val="000000"/>
          <w:sz w:val="24"/>
          <w:szCs w:val="24"/>
        </w:rPr>
        <w:t>, vol. 10, no. 27, pp. 12871–934.</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Mahbubul, I.M. (2019) ‘Stability and Dispersion Characterization of Nanofluid’, </w:t>
      </w:r>
      <w:r>
        <w:rPr>
          <w:rFonts w:ascii="Times New Roman" w:eastAsia="Times New Roman" w:hAnsi="Times New Roman" w:cs="Times New Roman"/>
          <w:i/>
          <w:color w:val="000000"/>
          <w:sz w:val="24"/>
          <w:szCs w:val="24"/>
        </w:rPr>
        <w:t>Preparation, Characterization, Properties and Application of Nanofluid</w:t>
      </w:r>
      <w:r>
        <w:rPr>
          <w:rFonts w:ascii="Times New Roman" w:eastAsia="Times New Roman" w:hAnsi="Times New Roman" w:cs="Times New Roman"/>
          <w:color w:val="000000"/>
          <w:sz w:val="24"/>
          <w:szCs w:val="24"/>
        </w:rPr>
        <w:t>, Elsevier, pp. 47–112.</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Modena, M.M., Rühle, B., Burg, T.P. &amp; Wuttke, S. (2019) ‘Nanoparticle Characterization: What to Measure?’, </w:t>
      </w:r>
      <w:r>
        <w:rPr>
          <w:rFonts w:ascii="Times New Roman" w:eastAsia="Times New Roman" w:hAnsi="Times New Roman" w:cs="Times New Roman"/>
          <w:i/>
          <w:color w:val="000000"/>
          <w:sz w:val="24"/>
          <w:szCs w:val="24"/>
        </w:rPr>
        <w:t>Advanced Materials</w:t>
      </w:r>
      <w:r>
        <w:rPr>
          <w:rFonts w:ascii="Times New Roman" w:eastAsia="Times New Roman" w:hAnsi="Times New Roman" w:cs="Times New Roman"/>
          <w:color w:val="000000"/>
          <w:sz w:val="24"/>
          <w:szCs w:val="24"/>
        </w:rPr>
        <w:t>, Wiley-VCH Verlag.</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Vogel, R., Pal, A.K., Jambhrunkar, S., Patel, P., Thakur, S.S., Reátegui, E., Parekh, H.S., Saá, P., Stassinopoulos, A. &amp; Broom, M.F. (2017) ‘High-Resolution Single Particle Zeta Potential Characterisation of Biological Nanoparticles using Tunable Resistive Pulse Sensing’, </w:t>
      </w:r>
      <w:r>
        <w:rPr>
          <w:rFonts w:ascii="Times New Roman" w:eastAsia="Times New Roman" w:hAnsi="Times New Roman" w:cs="Times New Roman"/>
          <w:i/>
          <w:color w:val="000000"/>
          <w:sz w:val="24"/>
          <w:szCs w:val="24"/>
        </w:rPr>
        <w:t>Scientific Reports</w:t>
      </w:r>
      <w:r>
        <w:rPr>
          <w:rFonts w:ascii="Times New Roman" w:eastAsia="Times New Roman" w:hAnsi="Times New Roman" w:cs="Times New Roman"/>
          <w:color w:val="000000"/>
          <w:sz w:val="24"/>
          <w:szCs w:val="24"/>
        </w:rPr>
        <w:t>, vol. 7, no. 1.</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Dian, L., Yang, Z., Li, F., Wang, Z., Pan, X., Peng, X., Huang, X., Guo, Z., Quan, G., Shi, X., Chen, B., Li, G. &amp; Wu, C. (2013) ‘Cubic phase nanoparticles for sustained release of ibuprofen: Formulation, characterization, and enhanced bioavailability study’, </w:t>
      </w:r>
      <w:r>
        <w:rPr>
          <w:rFonts w:ascii="Times New Roman" w:eastAsia="Times New Roman" w:hAnsi="Times New Roman" w:cs="Times New Roman"/>
          <w:i/>
          <w:color w:val="000000"/>
          <w:sz w:val="24"/>
          <w:szCs w:val="24"/>
        </w:rPr>
        <w:t>International Journal of Nanomedicine</w:t>
      </w:r>
      <w:r>
        <w:rPr>
          <w:rFonts w:ascii="Times New Roman" w:eastAsia="Times New Roman" w:hAnsi="Times New Roman" w:cs="Times New Roman"/>
          <w:color w:val="000000"/>
          <w:sz w:val="24"/>
          <w:szCs w:val="24"/>
        </w:rPr>
        <w:t>, vol. 8, pp. 845–54.</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Takechi-Haraya, Y., Ohgita, T., Demizu, Y., Saito, H., Izutsu, K. and Sakai-Kato, K. (2022) ‘Current Status and Challenges of Analytical Methods for Evaluation of Size and Surface Modification of Nanoparticle-Based Drug Formulations’, </w:t>
      </w:r>
      <w:r>
        <w:rPr>
          <w:rFonts w:ascii="Times New Roman" w:eastAsia="Times New Roman" w:hAnsi="Times New Roman" w:cs="Times New Roman"/>
          <w:i/>
          <w:color w:val="000000"/>
          <w:sz w:val="24"/>
          <w:szCs w:val="24"/>
        </w:rPr>
        <w:t>AAPS PharmSciTech</w:t>
      </w:r>
      <w:r>
        <w:rPr>
          <w:rFonts w:ascii="Times New Roman" w:eastAsia="Times New Roman" w:hAnsi="Times New Roman" w:cs="Times New Roman"/>
          <w:color w:val="000000"/>
          <w:sz w:val="24"/>
          <w:szCs w:val="24"/>
        </w:rPr>
        <w:t xml:space="preserve">,23(5), p.150. Available at: </w:t>
      </w:r>
      <w:hyperlink r:id="rId15">
        <w:r w:rsidR="004A5174">
          <w:rPr>
            <w:rFonts w:ascii="Times New Roman" w:eastAsia="Times New Roman" w:hAnsi="Times New Roman" w:cs="Times New Roman"/>
            <w:color w:val="0563C1"/>
            <w:sz w:val="24"/>
            <w:szCs w:val="24"/>
            <w:u w:val="single"/>
          </w:rPr>
          <w:t>https://doi.org/10.1208/s12249-022-02303-y</w:t>
        </w:r>
      </w:hyperlink>
      <w:r>
        <w:rPr>
          <w:rFonts w:ascii="Times New Roman" w:eastAsia="Times New Roman" w:hAnsi="Times New Roman" w:cs="Times New Roman"/>
          <w:color w:val="000000"/>
          <w:sz w:val="24"/>
          <w:szCs w:val="24"/>
        </w:rPr>
        <w:t>.</w:t>
      </w:r>
    </w:p>
    <w:p w:rsidR="004A5174" w:rsidRDefault="00000000">
      <w:pPr>
        <w:widowControl w:val="0"/>
        <w:numPr>
          <w:ilvl w:val="0"/>
          <w:numId w:val="1"/>
        </w:numPr>
        <w:pBdr>
          <w:top w:val="nil"/>
          <w:left w:val="nil"/>
          <w:bottom w:val="nil"/>
          <w:right w:val="nil"/>
          <w:between w:val="nil"/>
        </w:pBdr>
        <w:spacing w:after="120" w:line="240" w:lineRule="auto"/>
        <w:ind w:left="567" w:right="193" w:hanging="567"/>
        <w:jc w:val="both"/>
        <w:rPr>
          <w:rFonts w:ascii="Times New Roman" w:eastAsia="Times New Roman" w:hAnsi="Times New Roman" w:cs="Times New Roman"/>
          <w:color w:val="000000"/>
          <w:sz w:val="24"/>
          <w:szCs w:val="24"/>
        </w:rPr>
      </w:pPr>
      <w:r w:rsidRPr="00A45701">
        <w:rPr>
          <w:rFonts w:ascii="Times New Roman" w:eastAsia="Times New Roman" w:hAnsi="Times New Roman" w:cs="Times New Roman"/>
          <w:color w:val="000000"/>
          <w:sz w:val="24"/>
          <w:szCs w:val="24"/>
          <w:lang w:val="fi-FI"/>
        </w:rPr>
        <w:t xml:space="preserve">Martien, R., Adhyatmika, A., Irianto, I. D., Farida, V., &amp; Sari, D. P. 2012. </w:t>
      </w:r>
      <w:r>
        <w:rPr>
          <w:rFonts w:ascii="Times New Roman" w:eastAsia="Times New Roman" w:hAnsi="Times New Roman" w:cs="Times New Roman"/>
          <w:color w:val="000000"/>
          <w:sz w:val="24"/>
          <w:szCs w:val="24"/>
        </w:rPr>
        <w:t>‘Perkembangan Teknologi Nanopartikel Sebagai Sistem Penghantaran Obat’. Majalah Farmaseutik, 8(1), 133-144.</w:t>
      </w:r>
    </w:p>
    <w:p w:rsidR="004A5174" w:rsidRDefault="004A5174">
      <w:pPr>
        <w:jc w:val="both"/>
        <w:rPr>
          <w:rFonts w:ascii="Times New Roman" w:eastAsia="Times New Roman" w:hAnsi="Times New Roman" w:cs="Times New Roman"/>
          <w:b/>
          <w:sz w:val="24"/>
          <w:szCs w:val="24"/>
        </w:rPr>
      </w:pPr>
    </w:p>
    <w:p w:rsidR="004A5174" w:rsidRDefault="004A5174">
      <w:pPr>
        <w:spacing w:after="80" w:line="240" w:lineRule="auto"/>
        <w:ind w:left="567" w:hanging="567"/>
        <w:jc w:val="both"/>
        <w:rPr>
          <w:rFonts w:ascii="Times New Roman" w:eastAsia="Times New Roman" w:hAnsi="Times New Roman" w:cs="Times New Roman"/>
          <w:sz w:val="24"/>
          <w:szCs w:val="24"/>
        </w:rPr>
      </w:pPr>
      <w:bookmarkStart w:id="0" w:name="_heading=h.30j0zll" w:colFirst="0" w:colLast="0"/>
      <w:bookmarkEnd w:id="0"/>
    </w:p>
    <w:sectPr w:rsidR="004A5174">
      <w:headerReference w:type="even" r:id="rId16"/>
      <w:headerReference w:type="default" r:id="rId17"/>
      <w:footerReference w:type="even" r:id="rId18"/>
      <w:footerReference w:type="default" r:id="rId19"/>
      <w:headerReference w:type="first" r:id="rId20"/>
      <w:footerReference w:type="first" r:id="rId21"/>
      <w:pgSz w:w="11906" w:h="16838"/>
      <w:pgMar w:top="1701" w:right="1247" w:bottom="1247" w:left="1588" w:header="567" w:footer="39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31AD3" w:rsidRDefault="00B31AD3">
      <w:pPr>
        <w:spacing w:after="0" w:line="240" w:lineRule="auto"/>
      </w:pPr>
      <w:r>
        <w:separator/>
      </w:r>
    </w:p>
  </w:endnote>
  <w:endnote w:type="continuationSeparator" w:id="0">
    <w:p w:rsidR="00B31AD3" w:rsidRDefault="00B31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A5174"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4A5174" w:rsidRDefault="004A5174">
    <w:pPr>
      <w:pBdr>
        <w:top w:val="nil"/>
        <w:left w:val="nil"/>
        <w:bottom w:val="nil"/>
        <w:right w:val="nil"/>
        <w:between w:val="nil"/>
      </w:pBdr>
      <w:tabs>
        <w:tab w:val="center" w:pos="4513"/>
        <w:tab w:val="right" w:pos="9026"/>
      </w:tabs>
      <w:spacing w:after="0" w:line="240" w:lineRule="auto"/>
      <w:jc w:val="right"/>
      <w:rPr>
        <w:color w:val="000000"/>
      </w:rPr>
    </w:pPr>
  </w:p>
  <w:p w:rsidR="004A5174" w:rsidRDefault="004A5174">
    <w:pPr>
      <w:pBdr>
        <w:top w:val="nil"/>
        <w:left w:val="nil"/>
        <w:bottom w:val="nil"/>
        <w:right w:val="nil"/>
        <w:between w:val="nil"/>
      </w:pBdr>
      <w:tabs>
        <w:tab w:val="center" w:pos="4513"/>
        <w:tab w:val="right" w:pos="9026"/>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A5174" w:rsidRDefault="0000000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A45701">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rsidR="004A5174" w:rsidRDefault="004A5174">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45701" w:rsidRDefault="00A45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31AD3" w:rsidRDefault="00B31AD3">
      <w:pPr>
        <w:spacing w:after="0" w:line="240" w:lineRule="auto"/>
      </w:pPr>
      <w:r>
        <w:separator/>
      </w:r>
    </w:p>
  </w:footnote>
  <w:footnote w:type="continuationSeparator" w:id="0">
    <w:p w:rsidR="00B31AD3" w:rsidRDefault="00B31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45701" w:rsidRDefault="00A457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A5174" w:rsidRPr="00A45701" w:rsidRDefault="00A45701" w:rsidP="00A45701">
    <w:pPr>
      <w:pStyle w:val="Header"/>
    </w:pPr>
    <w:r>
      <w:rPr>
        <w:noProof/>
      </w:rPr>
      <w:drawing>
        <wp:anchor distT="0" distB="0" distL="114300" distR="114300" simplePos="0" relativeHeight="251658239" behindDoc="0" locked="0" layoutInCell="1" allowOverlap="1" wp14:anchorId="6C9CED72" wp14:editId="5B4E0E19">
          <wp:simplePos x="0" y="0"/>
          <wp:positionH relativeFrom="page">
            <wp:align>left</wp:align>
          </wp:positionH>
          <wp:positionV relativeFrom="paragraph">
            <wp:posOffset>88900</wp:posOffset>
          </wp:positionV>
          <wp:extent cx="7782560" cy="558800"/>
          <wp:effectExtent l="0" t="0" r="8890" b="0"/>
          <wp:wrapNone/>
          <wp:docPr id="2156721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72192" name="Picture 215672192"/>
                  <pic:cNvPicPr/>
                </pic:nvPicPr>
                <pic:blipFill>
                  <a:blip r:embed="rId1">
                    <a:extLst>
                      <a:ext uri="{28A0092B-C50C-407E-A947-70E740481C1C}">
                        <a14:useLocalDpi xmlns:a14="http://schemas.microsoft.com/office/drawing/2010/main" val="0"/>
                      </a:ext>
                    </a:extLst>
                  </a:blip>
                  <a:stretch>
                    <a:fillRect/>
                  </a:stretch>
                </pic:blipFill>
                <pic:spPr>
                  <a:xfrm>
                    <a:off x="0" y="0"/>
                    <a:ext cx="7782560" cy="558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09B7F49" wp14:editId="586EF05B">
          <wp:simplePos x="0" y="0"/>
          <wp:positionH relativeFrom="margin">
            <wp:align>center</wp:align>
          </wp:positionH>
          <wp:positionV relativeFrom="paragraph">
            <wp:posOffset>-184150</wp:posOffset>
          </wp:positionV>
          <wp:extent cx="5943600" cy="723900"/>
          <wp:effectExtent l="0" t="0" r="0" b="0"/>
          <wp:wrapNone/>
          <wp:docPr id="2500832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83263" name="Picture 250083263"/>
                  <pic:cNvPicPr/>
                </pic:nvPicPr>
                <pic:blipFill rotWithShape="1">
                  <a:blip r:embed="rId2">
                    <a:extLst>
                      <a:ext uri="{28A0092B-C50C-407E-A947-70E740481C1C}">
                        <a14:useLocalDpi xmlns:a14="http://schemas.microsoft.com/office/drawing/2010/main" val="0"/>
                      </a:ext>
                    </a:extLst>
                  </a:blip>
                  <a:srcRect b="33059"/>
                  <a:stretch>
                    <a:fillRect/>
                  </a:stretch>
                </pic:blipFill>
                <pic:spPr bwMode="auto">
                  <a:xfrm>
                    <a:off x="0" y="0"/>
                    <a:ext cx="5943600" cy="7239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45701" w:rsidRDefault="00A45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11FA"/>
    <w:multiLevelType w:val="multilevel"/>
    <w:tmpl w:val="BDF4AB46"/>
    <w:lvl w:ilvl="0">
      <w:start w:val="1"/>
      <w:numFmt w:val="decimal"/>
      <w:lvlText w:val="[%1]. "/>
      <w:lvlJc w:val="left"/>
      <w:pPr>
        <w:ind w:left="-120" w:hanging="360"/>
      </w:pPr>
      <w:rPr>
        <w:rFonts w:ascii="Times New Roman" w:eastAsia="Times New Roman" w:hAnsi="Times New Roman" w:cs="Times New Roman"/>
      </w:rPr>
    </w:lvl>
    <w:lvl w:ilvl="1">
      <w:start w:val="1"/>
      <w:numFmt w:val="lowerLetter"/>
      <w:lvlText w:val="%2."/>
      <w:lvlJc w:val="left"/>
      <w:pPr>
        <w:ind w:left="600" w:hanging="360"/>
      </w:pPr>
    </w:lvl>
    <w:lvl w:ilvl="2">
      <w:start w:val="1"/>
      <w:numFmt w:val="lowerRoman"/>
      <w:lvlText w:val="%3."/>
      <w:lvlJc w:val="right"/>
      <w:pPr>
        <w:ind w:left="1320" w:hanging="180"/>
      </w:pPr>
    </w:lvl>
    <w:lvl w:ilvl="3">
      <w:start w:val="1"/>
      <w:numFmt w:val="decimal"/>
      <w:lvlText w:val="%4."/>
      <w:lvlJc w:val="left"/>
      <w:pPr>
        <w:ind w:left="2040" w:hanging="360"/>
      </w:pPr>
    </w:lvl>
    <w:lvl w:ilvl="4">
      <w:start w:val="1"/>
      <w:numFmt w:val="lowerLetter"/>
      <w:lvlText w:val="%5."/>
      <w:lvlJc w:val="left"/>
      <w:pPr>
        <w:ind w:left="2760" w:hanging="360"/>
      </w:pPr>
    </w:lvl>
    <w:lvl w:ilvl="5">
      <w:start w:val="1"/>
      <w:numFmt w:val="lowerRoman"/>
      <w:lvlText w:val="%6."/>
      <w:lvlJc w:val="right"/>
      <w:pPr>
        <w:ind w:left="3480" w:hanging="180"/>
      </w:pPr>
    </w:lvl>
    <w:lvl w:ilvl="6">
      <w:start w:val="1"/>
      <w:numFmt w:val="decimal"/>
      <w:lvlText w:val="%7."/>
      <w:lvlJc w:val="left"/>
      <w:pPr>
        <w:ind w:left="4200" w:hanging="360"/>
      </w:pPr>
    </w:lvl>
    <w:lvl w:ilvl="7">
      <w:start w:val="1"/>
      <w:numFmt w:val="lowerLetter"/>
      <w:lvlText w:val="%8."/>
      <w:lvlJc w:val="left"/>
      <w:pPr>
        <w:ind w:left="4920" w:hanging="360"/>
      </w:pPr>
    </w:lvl>
    <w:lvl w:ilvl="8">
      <w:start w:val="1"/>
      <w:numFmt w:val="lowerRoman"/>
      <w:lvlText w:val="%9."/>
      <w:lvlJc w:val="right"/>
      <w:pPr>
        <w:ind w:left="5640" w:hanging="180"/>
      </w:pPr>
    </w:lvl>
  </w:abstractNum>
  <w:abstractNum w:abstractNumId="1" w15:restartNumberingAfterBreak="0">
    <w:nsid w:val="39A52F74"/>
    <w:multiLevelType w:val="multilevel"/>
    <w:tmpl w:val="86003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C513962"/>
    <w:multiLevelType w:val="multilevel"/>
    <w:tmpl w:val="22265B02"/>
    <w:lvl w:ilvl="0">
      <w:start w:val="1"/>
      <w:numFmt w:val="decimal"/>
      <w:pStyle w:val="ICMATitleSub"/>
      <w:lvlText w:val="%1."/>
      <w:lvlJc w:val="left"/>
      <w:pPr>
        <w:ind w:left="360" w:hanging="360"/>
      </w:pPr>
    </w:lvl>
    <w:lvl w:ilvl="1">
      <w:start w:val="1"/>
      <w:numFmt w:val="decimal"/>
      <w:pStyle w:val="ICMATitleSubSu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71799632">
    <w:abstractNumId w:val="0"/>
  </w:num>
  <w:num w:numId="2" w16cid:durableId="872034326">
    <w:abstractNumId w:val="2"/>
  </w:num>
  <w:num w:numId="3" w16cid:durableId="1631856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174"/>
    <w:rsid w:val="00470C81"/>
    <w:rsid w:val="004A5174"/>
    <w:rsid w:val="00A4175E"/>
    <w:rsid w:val="00A45701"/>
    <w:rsid w:val="00B31AD3"/>
    <w:rsid w:val="00C60ADA"/>
    <w:rsid w:val="00DC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65FD"/>
  <w15:docId w15:val="{5E1BC144-79D5-4CB3-9E1F-313FFA44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A22B45"/>
    <w:rPr>
      <w:color w:val="0563C1" w:themeColor="hyperlink"/>
      <w:u w:val="single"/>
    </w:rPr>
  </w:style>
  <w:style w:type="paragraph" w:customStyle="1" w:styleId="Default">
    <w:name w:val="Default"/>
    <w:rsid w:val="00C83B72"/>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BodyText">
    <w:name w:val="Body Text"/>
    <w:basedOn w:val="Normal"/>
    <w:link w:val="BodyTextChar"/>
    <w:uiPriority w:val="1"/>
    <w:qFormat/>
    <w:rsid w:val="00C83B72"/>
    <w:pPr>
      <w:widowControl w:val="0"/>
      <w:spacing w:after="0" w:line="240" w:lineRule="auto"/>
      <w:ind w:left="595"/>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83B72"/>
    <w:rPr>
      <w:rFonts w:ascii="Times New Roman" w:eastAsia="Times New Roman" w:hAnsi="Times New Roman" w:cs="Times New Roman"/>
      <w:kern w:val="0"/>
      <w:sz w:val="24"/>
      <w:szCs w:val="24"/>
      <w:lang w:val="en-US" w:eastAsia="en-US"/>
    </w:rPr>
  </w:style>
  <w:style w:type="table" w:styleId="TableGrid">
    <w:name w:val="Table Grid"/>
    <w:basedOn w:val="TableNormal"/>
    <w:uiPriority w:val="39"/>
    <w:rsid w:val="00C83B7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8B0C56"/>
    <w:pPr>
      <w:ind w:left="720"/>
      <w:contextualSpacing/>
    </w:pPr>
  </w:style>
  <w:style w:type="paragraph" w:styleId="Header">
    <w:name w:val="header"/>
    <w:basedOn w:val="Normal"/>
    <w:link w:val="HeaderChar"/>
    <w:uiPriority w:val="99"/>
    <w:unhideWhenUsed/>
    <w:rsid w:val="00373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7E1"/>
  </w:style>
  <w:style w:type="paragraph" w:styleId="Footer">
    <w:name w:val="footer"/>
    <w:basedOn w:val="Normal"/>
    <w:link w:val="FooterChar"/>
    <w:uiPriority w:val="99"/>
    <w:unhideWhenUsed/>
    <w:rsid w:val="00373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7E1"/>
  </w:style>
  <w:style w:type="character" w:styleId="Emphasis">
    <w:name w:val="Emphasis"/>
    <w:basedOn w:val="DefaultParagraphFont"/>
    <w:uiPriority w:val="20"/>
    <w:qFormat/>
    <w:rsid w:val="00B166F5"/>
    <w:rPr>
      <w:i/>
      <w:iCs/>
    </w:rPr>
  </w:style>
  <w:style w:type="character" w:styleId="UnresolvedMention">
    <w:name w:val="Unresolved Mention"/>
    <w:basedOn w:val="DefaultParagraphFont"/>
    <w:uiPriority w:val="99"/>
    <w:semiHidden/>
    <w:unhideWhenUsed/>
    <w:rsid w:val="003339BB"/>
    <w:rPr>
      <w:color w:val="605E5C"/>
      <w:shd w:val="clear" w:color="auto" w:fill="E1DFDD"/>
    </w:rPr>
  </w:style>
  <w:style w:type="character" w:styleId="PageNumber">
    <w:name w:val="page number"/>
    <w:basedOn w:val="DefaultParagraphFont"/>
    <w:uiPriority w:val="99"/>
    <w:semiHidden/>
    <w:unhideWhenUsed/>
    <w:rsid w:val="009E523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paragraph" w:customStyle="1" w:styleId="ICMATitle">
    <w:name w:val="ICMA Title"/>
    <w:basedOn w:val="Normal"/>
    <w:qFormat/>
    <w:rsid w:val="00E57429"/>
    <w:pPr>
      <w:spacing w:after="360"/>
    </w:pPr>
    <w:rPr>
      <w:rFonts w:ascii="Times New Roman" w:eastAsia="Times New Roman" w:hAnsi="Times New Roman" w:cs="Times New Roman"/>
      <w:b/>
      <w:sz w:val="24"/>
      <w:szCs w:val="24"/>
    </w:rPr>
  </w:style>
  <w:style w:type="paragraph" w:customStyle="1" w:styleId="ICMAAuthors">
    <w:name w:val="ICMA Authors"/>
    <w:basedOn w:val="Normal"/>
    <w:qFormat/>
    <w:rsid w:val="00584567"/>
    <w:pPr>
      <w:spacing w:before="120" w:after="0" w:line="240" w:lineRule="auto"/>
      <w:ind w:firstLine="1418"/>
    </w:pPr>
    <w:rPr>
      <w:rFonts w:ascii="Times New Roman" w:eastAsia="Times New Roman" w:hAnsi="Times New Roman" w:cs="Times New Roman"/>
      <w:b/>
      <w:sz w:val="24"/>
      <w:szCs w:val="24"/>
    </w:rPr>
  </w:style>
  <w:style w:type="paragraph" w:customStyle="1" w:styleId="ICMAAffiliation">
    <w:name w:val="ICMA Affiliation"/>
    <w:basedOn w:val="Normal"/>
    <w:qFormat/>
    <w:rsid w:val="00584567"/>
    <w:pPr>
      <w:pBdr>
        <w:top w:val="nil"/>
        <w:left w:val="nil"/>
        <w:bottom w:val="nil"/>
        <w:right w:val="nil"/>
        <w:between w:val="nil"/>
      </w:pBdr>
      <w:spacing w:after="0" w:line="240" w:lineRule="auto"/>
      <w:ind w:firstLine="1418"/>
    </w:pPr>
    <w:rPr>
      <w:rFonts w:ascii="Times New Roman" w:eastAsia="Times New Roman" w:hAnsi="Times New Roman" w:cs="Times New Roman"/>
      <w:color w:val="000000"/>
      <w:sz w:val="24"/>
      <w:szCs w:val="24"/>
      <w:vertAlign w:val="superscript"/>
    </w:rPr>
  </w:style>
  <w:style w:type="paragraph" w:customStyle="1" w:styleId="ICMAEmail">
    <w:name w:val="ICMA Email"/>
    <w:basedOn w:val="Normal"/>
    <w:qFormat/>
    <w:rsid w:val="00584567"/>
    <w:pPr>
      <w:spacing w:before="240" w:after="240"/>
      <w:ind w:firstLine="1418"/>
    </w:pPr>
    <w:rPr>
      <w:rFonts w:ascii="Times New Roman" w:eastAsia="Times New Roman" w:hAnsi="Times New Roman" w:cs="Times New Roman"/>
      <w:sz w:val="24"/>
      <w:szCs w:val="24"/>
    </w:rPr>
  </w:style>
  <w:style w:type="paragraph" w:customStyle="1" w:styleId="ICMAAbstract">
    <w:name w:val="ICMA Abstract"/>
    <w:basedOn w:val="Normal"/>
    <w:qFormat/>
    <w:rsid w:val="00584567"/>
    <w:pPr>
      <w:spacing w:line="240" w:lineRule="auto"/>
      <w:ind w:left="1418"/>
      <w:jc w:val="both"/>
    </w:pPr>
    <w:rPr>
      <w:rFonts w:ascii="Times New Roman" w:eastAsia="Times New Roman" w:hAnsi="Times New Roman" w:cs="Times New Roman"/>
      <w:sz w:val="24"/>
    </w:rPr>
  </w:style>
  <w:style w:type="paragraph" w:customStyle="1" w:styleId="ICMAKeywords">
    <w:name w:val="ICMA Keywords"/>
    <w:basedOn w:val="Normal"/>
    <w:qFormat/>
    <w:rsid w:val="00584567"/>
    <w:pPr>
      <w:spacing w:after="240"/>
      <w:ind w:left="1418"/>
      <w:jc w:val="both"/>
    </w:pPr>
    <w:rPr>
      <w:rFonts w:ascii="Times New Roman" w:eastAsia="Times New Roman" w:hAnsi="Times New Roman" w:cs="Times New Roman"/>
    </w:rPr>
  </w:style>
  <w:style w:type="paragraph" w:customStyle="1" w:styleId="ICMATitleSub">
    <w:name w:val="ICMA Title Sub"/>
    <w:basedOn w:val="Normal"/>
    <w:qFormat/>
    <w:rsid w:val="00584567"/>
    <w:pPr>
      <w:numPr>
        <w:numId w:val="2"/>
      </w:numPr>
      <w:pBdr>
        <w:top w:val="nil"/>
        <w:left w:val="nil"/>
        <w:bottom w:val="nil"/>
        <w:right w:val="nil"/>
        <w:between w:val="nil"/>
      </w:pBdr>
      <w:spacing w:after="0" w:line="276" w:lineRule="auto"/>
      <w:ind w:left="284" w:hanging="284"/>
      <w:jc w:val="both"/>
    </w:pPr>
    <w:rPr>
      <w:rFonts w:ascii="Times New Roman" w:eastAsia="Times New Roman" w:hAnsi="Times New Roman" w:cs="Times New Roman"/>
      <w:b/>
      <w:color w:val="000000"/>
      <w:sz w:val="24"/>
      <w:szCs w:val="24"/>
    </w:rPr>
  </w:style>
  <w:style w:type="paragraph" w:customStyle="1" w:styleId="ICMAParagraph">
    <w:name w:val="ICMA Paragraph"/>
    <w:basedOn w:val="Normal"/>
    <w:qFormat/>
    <w:rsid w:val="00584567"/>
    <w:pPr>
      <w:spacing w:after="0" w:line="240" w:lineRule="auto"/>
      <w:ind w:firstLine="284"/>
      <w:jc w:val="both"/>
    </w:pPr>
    <w:rPr>
      <w:rFonts w:ascii="Times New Roman" w:eastAsia="Times New Roman" w:hAnsi="Times New Roman" w:cs="Times New Roman"/>
      <w:sz w:val="24"/>
      <w:szCs w:val="24"/>
    </w:rPr>
  </w:style>
  <w:style w:type="paragraph" w:customStyle="1" w:styleId="ICMAParagraphEnd">
    <w:name w:val="ICMA Paragraph End"/>
    <w:basedOn w:val="Normal"/>
    <w:qFormat/>
    <w:rsid w:val="00584567"/>
    <w:pPr>
      <w:spacing w:after="120" w:line="240" w:lineRule="auto"/>
      <w:ind w:firstLine="284"/>
      <w:jc w:val="both"/>
    </w:pPr>
    <w:rPr>
      <w:rFonts w:ascii="Times New Roman" w:eastAsia="Times New Roman" w:hAnsi="Times New Roman" w:cs="Times New Roman"/>
      <w:sz w:val="24"/>
      <w:szCs w:val="24"/>
    </w:rPr>
  </w:style>
  <w:style w:type="paragraph" w:customStyle="1" w:styleId="ICMATitleSubSub">
    <w:name w:val="ICMA Title Sub Sub"/>
    <w:basedOn w:val="ListParagraph"/>
    <w:qFormat/>
    <w:rsid w:val="00584567"/>
    <w:pPr>
      <w:numPr>
        <w:ilvl w:val="1"/>
        <w:numId w:val="2"/>
      </w:numPr>
      <w:spacing w:after="0" w:line="276" w:lineRule="auto"/>
      <w:jc w:val="both"/>
    </w:pPr>
    <w:rPr>
      <w:rFonts w:ascii="Times New Roman" w:eastAsia="Times New Roman" w:hAnsi="Times New Roman" w:cs="Times New Roman"/>
      <w:sz w:val="24"/>
      <w:szCs w:val="24"/>
    </w:rPr>
  </w:style>
  <w:style w:type="paragraph" w:customStyle="1" w:styleId="ICMAFigureTitle">
    <w:name w:val="ICMA Figure Title"/>
    <w:basedOn w:val="Normal"/>
    <w:qFormat/>
    <w:rsid w:val="000604F3"/>
    <w:pPr>
      <w:spacing w:after="120" w:line="240" w:lineRule="auto"/>
      <w:jc w:val="center"/>
    </w:pPr>
    <w:rPr>
      <w:rFonts w:ascii="Times New Roman" w:eastAsia="Times New Roman" w:hAnsi="Times New Roman" w:cs="Times New Roman"/>
      <w:bCs/>
    </w:rPr>
  </w:style>
  <w:style w:type="paragraph" w:customStyle="1" w:styleId="ICMATableTitle">
    <w:name w:val="ICMA Table Title"/>
    <w:basedOn w:val="Normal"/>
    <w:qFormat/>
    <w:rsid w:val="000604F3"/>
    <w:pPr>
      <w:pBdr>
        <w:top w:val="nil"/>
        <w:left w:val="nil"/>
        <w:bottom w:val="nil"/>
        <w:right w:val="nil"/>
        <w:between w:val="nil"/>
      </w:pBdr>
      <w:spacing w:after="0" w:line="240" w:lineRule="auto"/>
      <w:jc w:val="both"/>
    </w:pPr>
    <w:rPr>
      <w:rFonts w:ascii="Times New Roman" w:hAnsi="Times New Roman" w:cs="Times New Roman"/>
      <w:color w:val="000000"/>
    </w:rPr>
  </w:style>
  <w:style w:type="paragraph" w:customStyle="1" w:styleId="ICMATableNotes">
    <w:name w:val="ICMA Table Notes"/>
    <w:basedOn w:val="Normal"/>
    <w:qFormat/>
    <w:rsid w:val="000604F3"/>
    <w:pPr>
      <w:pBdr>
        <w:top w:val="nil"/>
        <w:left w:val="nil"/>
        <w:bottom w:val="nil"/>
        <w:right w:val="nil"/>
        <w:between w:val="nil"/>
      </w:pBdr>
      <w:spacing w:line="240" w:lineRule="auto"/>
      <w:jc w:val="both"/>
    </w:pPr>
    <w:rPr>
      <w:rFonts w:ascii="Times New Roman" w:hAnsi="Times New Roman" w:cs="Times New Roman"/>
      <w:color w:val="000000"/>
      <w:sz w:val="20"/>
      <w:szCs w:val="20"/>
    </w:rPr>
  </w:style>
  <w:style w:type="numbering" w:customStyle="1" w:styleId="CurrentList1">
    <w:name w:val="Current List1"/>
    <w:uiPriority w:val="99"/>
    <w:rsid w:val="000604F3"/>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80/10717544.2021.1927245"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i.org/10.1080/21691401.2018.1561457"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B978-0-12-813351-4.00038-9" TargetMode="External"/><Relationship Id="rId5" Type="http://schemas.openxmlformats.org/officeDocument/2006/relationships/webSettings" Target="webSettings.xml"/><Relationship Id="rId15" Type="http://schemas.openxmlformats.org/officeDocument/2006/relationships/hyperlink" Target="https://doi.org/10.1208/s12249-022-02303-y" TargetMode="External"/><Relationship Id="rId23" Type="http://schemas.openxmlformats.org/officeDocument/2006/relationships/theme" Target="theme/theme1.xml"/><Relationship Id="rId10" Type="http://schemas.openxmlformats.org/officeDocument/2006/relationships/hyperlink" Target="https://doi.org/10.1016/j.jsps.2017.10.012"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21107/agrointek" TargetMode="External"/><Relationship Id="rId14" Type="http://schemas.openxmlformats.org/officeDocument/2006/relationships/hyperlink" Target="https://doi.org/10.3390/nano12224073"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4RdY0T4od1UcMl8zbGLpYeCGMQ==">CgMxLjAyCWguMzBqMHpsbDgAciExWHNGMjNKT0xxRlk4RVlRMkI2T214TUdKQUlod1pRVkU=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1713</Words>
  <Characters>9769</Characters>
  <Application>Microsoft Office Word</Application>
  <DocSecurity>0</DocSecurity>
  <Lines>81</Lines>
  <Paragraphs>22</Paragraphs>
  <ScaleCrop>false</ScaleCrop>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Tuti Sri Suhesti</dc:creator>
  <cp:lastModifiedBy>lenovo</cp:lastModifiedBy>
  <cp:revision>4</cp:revision>
  <dcterms:created xsi:type="dcterms:W3CDTF">2024-04-26T07:15:00Z</dcterms:created>
  <dcterms:modified xsi:type="dcterms:W3CDTF">2025-08-27T09:44:00Z</dcterms:modified>
</cp:coreProperties>
</file>