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54D7" w14:textId="77777777" w:rsidR="006B587F" w:rsidRDefault="006B587F"/>
    <w:p w14:paraId="51173867" w14:textId="2B60E433" w:rsidR="006B587F" w:rsidRDefault="003F04FB" w:rsidP="006B587F">
      <w:pPr>
        <w:bidi w:val="0"/>
        <w:rPr>
          <w:rFonts w:ascii="Roboto Mono" w:eastAsia="Times New Roman" w:hAnsi="Roboto Mono" w:cs="Times New Roman"/>
          <w:color w:val="202124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Roboto Mono" w:eastAsia="Times New Roman" w:hAnsi="Roboto Mono" w:cs="Times New Roman"/>
          <w:color w:val="202124"/>
          <w:kern w:val="0"/>
          <w:sz w:val="21"/>
          <w:szCs w:val="21"/>
          <w:shd w:val="clear" w:color="auto" w:fill="FFFFFF"/>
          <w14:ligatures w14:val="none"/>
        </w:rPr>
        <w:t>Package Manager Console</w:t>
      </w:r>
    </w:p>
    <w:p w14:paraId="2F45F638" w14:textId="621098C0" w:rsidR="003F04FB" w:rsidRDefault="003F04FB" w:rsidP="003F04FB">
      <w:pPr>
        <w:pStyle w:val="ListParagraph"/>
        <w:numPr>
          <w:ilvl w:val="0"/>
          <w:numId w:val="1"/>
        </w:numPr>
        <w:bidi w:val="0"/>
        <w:rPr>
          <w:rFonts w:ascii="Roboto Mono" w:eastAsia="Times New Roman" w:hAnsi="Roboto Mono" w:cs="Times New Roman"/>
          <w:color w:val="202124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Roboto Mono" w:eastAsia="Times New Roman" w:hAnsi="Roboto Mono" w:cs="Times New Roman"/>
          <w:color w:val="202124"/>
          <w:kern w:val="0"/>
          <w:sz w:val="21"/>
          <w:szCs w:val="21"/>
          <w:shd w:val="clear" w:color="auto" w:fill="FFFFFF"/>
          <w14:ligatures w14:val="none"/>
        </w:rPr>
        <w:t>Add-Migration “init”</w:t>
      </w:r>
    </w:p>
    <w:p w14:paraId="4E916839" w14:textId="0404517B" w:rsidR="003F04FB" w:rsidRPr="003F04FB" w:rsidRDefault="003F04FB" w:rsidP="003F04FB">
      <w:pPr>
        <w:pStyle w:val="ListParagraph"/>
        <w:numPr>
          <w:ilvl w:val="0"/>
          <w:numId w:val="1"/>
        </w:numPr>
        <w:bidi w:val="0"/>
        <w:rPr>
          <w:rFonts w:ascii="Roboto Mono" w:eastAsia="Times New Roman" w:hAnsi="Roboto Mono" w:cs="Times New Roman"/>
          <w:color w:val="202124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Roboto Mono" w:eastAsia="Times New Roman" w:hAnsi="Roboto Mono" w:cs="Times New Roman"/>
          <w:color w:val="202124"/>
          <w:kern w:val="0"/>
          <w:sz w:val="21"/>
          <w:szCs w:val="21"/>
          <w:shd w:val="clear" w:color="auto" w:fill="FFFFFF"/>
          <w14:ligatures w14:val="none"/>
        </w:rPr>
        <w:t>Update-Database</w:t>
      </w:r>
    </w:p>
    <w:p w14:paraId="400DE3E8" w14:textId="77777777" w:rsidR="006B587F" w:rsidRDefault="006B587F" w:rsidP="006B587F">
      <w:pPr>
        <w:bidi w:val="0"/>
        <w:rPr>
          <w:rFonts w:ascii="Roboto Mono" w:eastAsia="Times New Roman" w:hAnsi="Roboto Mono" w:cs="Times New Roman"/>
          <w:color w:val="202124"/>
          <w:kern w:val="0"/>
          <w:sz w:val="21"/>
          <w:szCs w:val="21"/>
          <w:shd w:val="clear" w:color="auto" w:fill="FFFFFF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623"/>
        <w:gridCol w:w="652"/>
        <w:gridCol w:w="566"/>
        <w:gridCol w:w="600"/>
        <w:gridCol w:w="648"/>
        <w:gridCol w:w="613"/>
        <w:gridCol w:w="883"/>
        <w:gridCol w:w="816"/>
        <w:gridCol w:w="566"/>
        <w:gridCol w:w="566"/>
        <w:gridCol w:w="855"/>
      </w:tblGrid>
      <w:tr w:rsidR="006B587F" w:rsidRPr="006B587F" w14:paraId="019B8140" w14:textId="77777777" w:rsidTr="006B587F">
        <w:trPr>
          <w:trHeight w:val="301"/>
        </w:trPr>
        <w:tc>
          <w:tcPr>
            <w:tcW w:w="1000" w:type="dxa"/>
            <w:noWrap/>
            <w:hideMark/>
          </w:tcPr>
          <w:p w14:paraId="71843E6D" w14:textId="77777777" w:rsidR="006B587F" w:rsidRPr="006B587F" w:rsidRDefault="006B587F" w:rsidP="006B587F">
            <w:pPr>
              <w:bidi w:val="0"/>
            </w:pPr>
            <w:r w:rsidRPr="006B587F">
              <w:t>price</w:t>
            </w:r>
          </w:p>
        </w:tc>
        <w:tc>
          <w:tcPr>
            <w:tcW w:w="1000" w:type="dxa"/>
            <w:noWrap/>
            <w:hideMark/>
          </w:tcPr>
          <w:p w14:paraId="795BD1D5" w14:textId="77777777" w:rsidR="006B587F" w:rsidRPr="006B587F" w:rsidRDefault="006B587F" w:rsidP="006B587F">
            <w:pPr>
              <w:bidi w:val="0"/>
            </w:pPr>
            <w:r w:rsidRPr="006B587F">
              <w:t>area</w:t>
            </w:r>
          </w:p>
        </w:tc>
        <w:tc>
          <w:tcPr>
            <w:tcW w:w="1000" w:type="dxa"/>
            <w:noWrap/>
            <w:hideMark/>
          </w:tcPr>
          <w:p w14:paraId="528DCA7E" w14:textId="77777777" w:rsidR="006B587F" w:rsidRPr="006B587F" w:rsidRDefault="006B587F" w:rsidP="006B587F">
            <w:pPr>
              <w:bidi w:val="0"/>
            </w:pPr>
            <w:r w:rsidRPr="006B587F">
              <w:t>bedrooms</w:t>
            </w:r>
          </w:p>
        </w:tc>
        <w:tc>
          <w:tcPr>
            <w:tcW w:w="1011" w:type="dxa"/>
            <w:noWrap/>
            <w:hideMark/>
          </w:tcPr>
          <w:p w14:paraId="249E3631" w14:textId="77777777" w:rsidR="006B587F" w:rsidRPr="006B587F" w:rsidRDefault="006B587F" w:rsidP="006B587F">
            <w:pPr>
              <w:bidi w:val="0"/>
            </w:pPr>
            <w:r w:rsidRPr="006B587F">
              <w:t>bathrooms</w:t>
            </w:r>
          </w:p>
        </w:tc>
        <w:tc>
          <w:tcPr>
            <w:tcW w:w="1000" w:type="dxa"/>
            <w:noWrap/>
            <w:hideMark/>
          </w:tcPr>
          <w:p w14:paraId="6491B749" w14:textId="77777777" w:rsidR="006B587F" w:rsidRPr="006B587F" w:rsidRDefault="006B587F" w:rsidP="006B587F">
            <w:pPr>
              <w:bidi w:val="0"/>
            </w:pPr>
            <w:r w:rsidRPr="006B587F">
              <w:t>stories</w:t>
            </w:r>
          </w:p>
        </w:tc>
        <w:tc>
          <w:tcPr>
            <w:tcW w:w="1000" w:type="dxa"/>
            <w:noWrap/>
            <w:hideMark/>
          </w:tcPr>
          <w:p w14:paraId="45316248" w14:textId="77777777" w:rsidR="006B587F" w:rsidRPr="006B587F" w:rsidRDefault="006B587F" w:rsidP="006B587F">
            <w:pPr>
              <w:bidi w:val="0"/>
            </w:pPr>
            <w:r w:rsidRPr="006B587F">
              <w:t>mainroad</w:t>
            </w:r>
          </w:p>
        </w:tc>
        <w:tc>
          <w:tcPr>
            <w:tcW w:w="1003" w:type="dxa"/>
            <w:noWrap/>
            <w:hideMark/>
          </w:tcPr>
          <w:p w14:paraId="12943A2D" w14:textId="77777777" w:rsidR="006B587F" w:rsidRPr="006B587F" w:rsidRDefault="006B587F" w:rsidP="006B587F">
            <w:pPr>
              <w:bidi w:val="0"/>
            </w:pPr>
            <w:r w:rsidRPr="006B587F">
              <w:t>guestroom</w:t>
            </w:r>
          </w:p>
        </w:tc>
        <w:tc>
          <w:tcPr>
            <w:tcW w:w="1000" w:type="dxa"/>
            <w:noWrap/>
            <w:hideMark/>
          </w:tcPr>
          <w:p w14:paraId="5B8897E7" w14:textId="77777777" w:rsidR="006B587F" w:rsidRPr="006B587F" w:rsidRDefault="006B587F" w:rsidP="006B587F">
            <w:pPr>
              <w:bidi w:val="0"/>
            </w:pPr>
            <w:r w:rsidRPr="006B587F">
              <w:t>basement</w:t>
            </w:r>
          </w:p>
        </w:tc>
        <w:tc>
          <w:tcPr>
            <w:tcW w:w="1532" w:type="dxa"/>
            <w:noWrap/>
            <w:hideMark/>
          </w:tcPr>
          <w:p w14:paraId="223864AB" w14:textId="77777777" w:rsidR="006B587F" w:rsidRPr="006B587F" w:rsidRDefault="006B587F" w:rsidP="006B587F">
            <w:pPr>
              <w:bidi w:val="0"/>
            </w:pPr>
            <w:r w:rsidRPr="006B587F">
              <w:t>hotwaterheating</w:t>
            </w:r>
          </w:p>
        </w:tc>
        <w:tc>
          <w:tcPr>
            <w:tcW w:w="1379" w:type="dxa"/>
            <w:noWrap/>
            <w:hideMark/>
          </w:tcPr>
          <w:p w14:paraId="687AAF3D" w14:textId="77777777" w:rsidR="006B587F" w:rsidRPr="006B587F" w:rsidRDefault="006B587F" w:rsidP="006B587F">
            <w:pPr>
              <w:bidi w:val="0"/>
            </w:pPr>
            <w:r w:rsidRPr="006B587F">
              <w:t>airconditioning</w:t>
            </w:r>
          </w:p>
        </w:tc>
        <w:tc>
          <w:tcPr>
            <w:tcW w:w="1000" w:type="dxa"/>
            <w:noWrap/>
            <w:hideMark/>
          </w:tcPr>
          <w:p w14:paraId="45A19D10" w14:textId="77777777" w:rsidR="006B587F" w:rsidRPr="006B587F" w:rsidRDefault="006B587F" w:rsidP="006B587F">
            <w:pPr>
              <w:bidi w:val="0"/>
            </w:pPr>
            <w:r w:rsidRPr="006B587F">
              <w:t>parking</w:t>
            </w:r>
          </w:p>
        </w:tc>
        <w:tc>
          <w:tcPr>
            <w:tcW w:w="1000" w:type="dxa"/>
            <w:noWrap/>
            <w:hideMark/>
          </w:tcPr>
          <w:p w14:paraId="641349D9" w14:textId="77777777" w:rsidR="006B587F" w:rsidRPr="006B587F" w:rsidRDefault="006B587F" w:rsidP="006B587F">
            <w:pPr>
              <w:bidi w:val="0"/>
            </w:pPr>
            <w:r w:rsidRPr="006B587F">
              <w:t>prefarea</w:t>
            </w:r>
          </w:p>
        </w:tc>
        <w:tc>
          <w:tcPr>
            <w:tcW w:w="1468" w:type="dxa"/>
            <w:noWrap/>
            <w:hideMark/>
          </w:tcPr>
          <w:p w14:paraId="5304FE45" w14:textId="77777777" w:rsidR="006B587F" w:rsidRPr="006B587F" w:rsidRDefault="006B587F" w:rsidP="006B587F">
            <w:pPr>
              <w:bidi w:val="0"/>
            </w:pPr>
            <w:r w:rsidRPr="006B587F">
              <w:t>furnishingstatus</w:t>
            </w:r>
          </w:p>
        </w:tc>
      </w:tr>
    </w:tbl>
    <w:p w14:paraId="5D837277" w14:textId="77777777" w:rsidR="006B587F" w:rsidRDefault="006B587F" w:rsidP="006B587F">
      <w:pPr>
        <w:bidi w:val="0"/>
      </w:pPr>
    </w:p>
    <w:p w14:paraId="202191E3" w14:textId="46B39F69" w:rsidR="006B587F" w:rsidRDefault="006B374E" w:rsidP="006B587F">
      <w:pPr>
        <w:bidi w:val="0"/>
      </w:pPr>
      <w:r>
        <w:rPr>
          <w:noProof/>
        </w:rPr>
        <w:pict w14:anchorId="0385FA6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66.05pt;margin-top:117.4pt;width:109pt;height:75.1pt;flip:x;z-index:251666432" o:connectortype="straight">
            <v:stroke endarrow="block"/>
          </v:shape>
        </w:pict>
      </w:r>
      <w:r>
        <w:rPr>
          <w:noProof/>
        </w:rPr>
        <w:pict w14:anchorId="42ED2004">
          <v:shape id="_x0000_s1034" type="#_x0000_t32" style="position:absolute;margin-left:35.75pt;margin-top:122.6pt;width:62.1pt;height:69.4pt;flip:x;z-index:251665408" o:connectortype="straight">
            <v:stroke endarrow="block"/>
          </v:shape>
        </w:pict>
      </w:r>
      <w:r>
        <w:rPr>
          <w:noProof/>
        </w:rPr>
        <w:pict w14:anchorId="3A2E1FC8">
          <v:shape id="_x0000_s1033" type="#_x0000_t32" style="position:absolute;margin-left:65.5pt;margin-top:228.5pt;width:40.15pt;height:0;flip:x;z-index:251664384" o:connectortype="straight">
            <v:stroke endarrow="block"/>
          </v:shape>
        </w:pict>
      </w:r>
      <w:r>
        <w:rPr>
          <w:noProof/>
        </w:rPr>
        <w:pict w14:anchorId="328A805F">
          <v:shape id="_x0000_s1032" type="#_x0000_t32" style="position:absolute;margin-left:95.75pt;margin-top:119.5pt;width:89.2pt;height:65.7pt;z-index:251663360" o:connectortype="straight">
            <v:stroke endarrow="block"/>
          </v:shape>
        </w:pict>
      </w:r>
      <w:r>
        <w:rPr>
          <w:noProof/>
        </w:rPr>
        <w:pict w14:anchorId="1E668880">
          <v:shape id="_x0000_s1031" type="#_x0000_t32" style="position:absolute;margin-left:187.55pt;margin-top:118.45pt;width:42.8pt;height:66.75pt;flip:x;z-index:251662336" o:connectortype="straight">
            <v:stroke endarrow="block"/>
          </v:shape>
        </w:pict>
      </w:r>
      <w:r>
        <w:rPr>
          <w:noProof/>
        </w:rPr>
        <w:pict w14:anchorId="68C80C1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74pt;margin-top:46.95pt;width:112.15pt;height:1in;z-index:251661312">
            <v:textbox style="mso-next-textbox:#_x0000_s1030">
              <w:txbxContent>
                <w:p w14:paraId="31D1172F" w14:textId="31FCB941" w:rsidR="006B374E" w:rsidRDefault="006B374E" w:rsidP="006B374E">
                  <w:pPr>
                    <w:bidi w:val="0"/>
                  </w:pPr>
                  <w:r>
                    <w:t>MAUI</w:t>
                  </w:r>
                </w:p>
                <w:p w14:paraId="27355606" w14:textId="1D60F133" w:rsidR="006B374E" w:rsidRDefault="006B374E" w:rsidP="006B374E">
                  <w:pPr>
                    <w:bidi w:val="0"/>
                  </w:pPr>
                  <w:r>
                    <w:t>Blazor MAUI</w:t>
                  </w:r>
                </w:p>
              </w:txbxContent>
            </v:textbox>
          </v:shape>
        </w:pict>
      </w:r>
      <w:r>
        <w:rPr>
          <w:noProof/>
        </w:rPr>
        <w:pict w14:anchorId="0E4F910C">
          <v:shape id="_x0000_s1029" type="#_x0000_t202" style="position:absolute;margin-left:46.7pt;margin-top:45.9pt;width:106.95pt;height:74.65pt;z-index:251660288">
            <v:textbox style="mso-next-textbox:#_x0000_s1029">
              <w:txbxContent>
                <w:p w14:paraId="41D36844" w14:textId="5952A1FC" w:rsidR="006B374E" w:rsidRDefault="006B374E" w:rsidP="006B374E">
                  <w:pPr>
                    <w:bidi w:val="0"/>
                  </w:pPr>
                  <w:r>
                    <w:t>Blazor Server – Server + Front End</w:t>
                  </w:r>
                </w:p>
              </w:txbxContent>
            </v:textbox>
          </v:shape>
        </w:pict>
      </w:r>
      <w:r>
        <w:rPr>
          <w:noProof/>
        </w:rPr>
        <w:pict w14:anchorId="1FF30504">
          <v:shape id="_x0000_s1028" type="#_x0000_t202" style="position:absolute;margin-left:-21.6pt;margin-top:193.55pt;width:87.65pt;height:69.9pt;z-index:251659264">
            <v:textbox style="mso-next-textbox:#_x0000_s1028">
              <w:txbxContent>
                <w:p w14:paraId="247F3D1E" w14:textId="509F00AA" w:rsidR="006B374E" w:rsidRDefault="006B374E" w:rsidP="006B374E">
                  <w:pPr>
                    <w:bidi w:val="0"/>
                  </w:pPr>
                  <w:r>
                    <w:t>Models</w:t>
                  </w:r>
                </w:p>
              </w:txbxContent>
            </v:textbox>
          </v:shape>
        </w:pict>
      </w:r>
      <w:r>
        <w:rPr>
          <w:noProof/>
        </w:rPr>
        <w:pict w14:anchorId="08C50762">
          <v:shape id="_x0000_s1027" type="#_x0000_t202" style="position:absolute;margin-left:106.15pt;margin-top:186.25pt;width:188.9pt;height:93.9pt;z-index:251658240">
            <v:textbox style="mso-next-textbox:#_x0000_s1027">
              <w:txbxContent>
                <w:p w14:paraId="09B8E131" w14:textId="09F5B664" w:rsidR="006B374E" w:rsidRDefault="006B374E" w:rsidP="006B374E">
                  <w:pPr>
                    <w:bidi w:val="0"/>
                  </w:pPr>
                  <w:r>
                    <w:t>DB (MSFT SQL)</w:t>
                  </w:r>
                  <w:r>
                    <w:br/>
                    <w:t xml:space="preserve">   embedding DB</w:t>
                  </w:r>
                </w:p>
                <w:p w14:paraId="153E9556" w14:textId="6828CDA0" w:rsidR="006B374E" w:rsidRDefault="006B374E" w:rsidP="006B374E">
                  <w:pPr>
                    <w:bidi w:val="0"/>
                  </w:pPr>
                  <w:r>
                    <w:t>C# - MVC.NET Core (Controller – API)</w:t>
                  </w:r>
                </w:p>
              </w:txbxContent>
            </v:textbox>
          </v:shape>
        </w:pict>
      </w:r>
      <w:r w:rsidR="006B587F">
        <w:t>Images: Thumbnail, other images</w:t>
      </w:r>
    </w:p>
    <w:p w14:paraId="0B899B29" w14:textId="1F742B73" w:rsidR="006B587F" w:rsidRDefault="006B587F" w:rsidP="006B587F">
      <w:pPr>
        <w:bidi w:val="0"/>
      </w:pPr>
      <w:r>
        <w:t>Video</w:t>
      </w:r>
    </w:p>
    <w:sectPr w:rsidR="006B587F" w:rsidSect="00414BF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76D7"/>
    <w:multiLevelType w:val="hybridMultilevel"/>
    <w:tmpl w:val="61546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CC"/>
    <w:rsid w:val="003F04FB"/>
    <w:rsid w:val="00414BFE"/>
    <w:rsid w:val="00443924"/>
    <w:rsid w:val="006B374E"/>
    <w:rsid w:val="006B587F"/>
    <w:rsid w:val="00742AF6"/>
    <w:rsid w:val="008C6714"/>
    <w:rsid w:val="00D36CCC"/>
    <w:rsid w:val="00E4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  <o:r id="V:Rule4" type="connector" idref="#_x0000_s1034"/>
        <o:r id="V:Rule5" type="connector" idref="#_x0000_s1035"/>
      </o:rules>
    </o:shapelayout>
  </w:shapeDefaults>
  <w:decimalSymbol w:val="."/>
  <w:listSeparator w:val=","/>
  <w14:docId w14:val="5E214BA3"/>
  <w15:chartTrackingRefBased/>
  <w15:docId w15:val="{11F972D6-AC36-4A64-9718-5EA624DE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Digital Industries Software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Agbaryah, Ahmed (DI SW PLM DM I&amp;R)</dc:creator>
  <cp:keywords/>
  <dc:description/>
  <cp:lastModifiedBy>Agbaryah, Ahmed (DI SW PLM DM I&amp;R)</cp:lastModifiedBy>
  <cp:revision>2</cp:revision>
  <dcterms:created xsi:type="dcterms:W3CDTF">2024-02-13T06:46:00Z</dcterms:created>
  <dcterms:modified xsi:type="dcterms:W3CDTF">2024-02-13T07:45:00Z</dcterms:modified>
</cp:coreProperties>
</file>