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77777777" w:rsidR="005D4500" w:rsidRPr="00FA75AB" w:rsidRDefault="005D4500" w:rsidP="00CC186E">
      <w:pPr>
        <w:pStyle w:val="Title"/>
      </w:pPr>
      <w:r w:rsidRPr="00FA75AB">
        <w:t xml:space="preserve">Comparison of Student Evaluations of </w:t>
      </w:r>
      <w:r w:rsidRPr="00CC186E">
        <w:t>Teaching</w:t>
      </w:r>
      <w:r w:rsidRPr="00FA75AB">
        <w:t xml:space="preserve"> With Online and Paper-Based Administration</w:t>
      </w:r>
    </w:p>
    <w:p w14:paraId="0AFE45A7" w14:textId="77777777" w:rsidR="0017154C" w:rsidRPr="00FA75AB" w:rsidRDefault="0017154C" w:rsidP="0017154C">
      <w:pPr>
        <w:tabs>
          <w:tab w:val="clear" w:pos="3068"/>
        </w:tabs>
        <w:rPr>
          <w:rFonts w:asciiTheme="minorHAnsi" w:hAnsiTheme="minorHAnsi" w:cstheme="minorHAnsi"/>
          <w:szCs w:val="22"/>
        </w:rPr>
      </w:pPr>
    </w:p>
    <w:p w14:paraId="57C2CFDD" w14:textId="77777777" w:rsidR="0017154C" w:rsidRPr="00FA75AB" w:rsidRDefault="0017154C" w:rsidP="0017154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rPr>
        <w:t>Claudia J. Stanny</w:t>
      </w:r>
      <w:r w:rsidRPr="00FA75AB">
        <w:rPr>
          <w:rFonts w:asciiTheme="minorHAnsi" w:hAnsiTheme="minorHAnsi" w:cstheme="minorHAnsi"/>
          <w:szCs w:val="22"/>
          <w:vertAlign w:val="superscript"/>
        </w:rPr>
        <w:t>1</w:t>
      </w:r>
      <w:r w:rsidRPr="00FA75AB">
        <w:rPr>
          <w:rFonts w:asciiTheme="minorHAnsi" w:hAnsiTheme="minorHAnsi" w:cstheme="minorHAnsi"/>
          <w:szCs w:val="22"/>
        </w:rPr>
        <w:t xml:space="preserve"> and James E. Arruda</w:t>
      </w:r>
      <w:r w:rsidRPr="00FA75AB">
        <w:rPr>
          <w:rFonts w:asciiTheme="minorHAnsi" w:hAnsiTheme="minorHAnsi" w:cstheme="minorHAnsi"/>
          <w:szCs w:val="22"/>
          <w:vertAlign w:val="superscript"/>
        </w:rPr>
        <w:t>2</w:t>
      </w:r>
    </w:p>
    <w:p w14:paraId="67AD33F7" w14:textId="77777777" w:rsidR="0017154C" w:rsidRPr="00FA75AB" w:rsidRDefault="0017154C" w:rsidP="0017154C">
      <w:pPr>
        <w:tabs>
          <w:tab w:val="clear" w:pos="3068"/>
        </w:tabs>
        <w:jc w:val="center"/>
        <w:rPr>
          <w:rFonts w:asciiTheme="minorHAnsi" w:hAnsiTheme="minorHAnsi" w:cstheme="minorHAnsi"/>
          <w:szCs w:val="22"/>
        </w:rPr>
      </w:pPr>
      <w:r w:rsidRPr="00FA75AB">
        <w:rPr>
          <w:rFonts w:asciiTheme="minorHAnsi" w:hAnsiTheme="minorHAnsi" w:cstheme="minorHAnsi"/>
          <w:szCs w:val="22"/>
          <w:vertAlign w:val="superscript"/>
        </w:rPr>
        <w:t xml:space="preserve">1 </w:t>
      </w:r>
      <w:r w:rsidRPr="00FA75AB">
        <w:rPr>
          <w:rFonts w:asciiTheme="minorHAnsi" w:hAnsiTheme="minorHAnsi" w:cstheme="minorHAnsi"/>
          <w:szCs w:val="22"/>
        </w:rPr>
        <w:t>Center for University Teaching, Learning, and Assessment, University of West Florida</w:t>
      </w:r>
    </w:p>
    <w:p w14:paraId="7AAF6D08" w14:textId="77777777" w:rsidR="0017154C" w:rsidRPr="00FA75AB" w:rsidRDefault="0017154C" w:rsidP="0017154C">
      <w:pPr>
        <w:tabs>
          <w:tab w:val="clear" w:pos="3068"/>
        </w:tabs>
        <w:jc w:val="center"/>
        <w:rPr>
          <w:rFonts w:asciiTheme="minorHAnsi" w:hAnsiTheme="minorHAnsi" w:cstheme="minorHAnsi"/>
          <w:szCs w:val="22"/>
        </w:rPr>
      </w:pPr>
      <w:r w:rsidRPr="00FA75AB">
        <w:rPr>
          <w:rFonts w:asciiTheme="minorHAnsi" w:hAnsiTheme="minorHAnsi" w:cstheme="minorHAnsi"/>
          <w:szCs w:val="22"/>
          <w:vertAlign w:val="superscript"/>
        </w:rPr>
        <w:t xml:space="preserve">2 </w:t>
      </w:r>
      <w:r w:rsidRPr="00FA75AB">
        <w:rPr>
          <w:rFonts w:asciiTheme="minorHAnsi" w:hAnsiTheme="minorHAnsi" w:cstheme="minorHAnsi"/>
          <w:szCs w:val="22"/>
        </w:rPr>
        <w:t>Department of Psychology, University of West Florida</w:t>
      </w:r>
    </w:p>
    <w:p w14:paraId="36F6D819" w14:textId="77777777" w:rsidR="0017154C" w:rsidRPr="00FA75AB" w:rsidRDefault="0017154C" w:rsidP="0017154C">
      <w:pPr>
        <w:tabs>
          <w:tab w:val="clear" w:pos="3068"/>
        </w:tabs>
        <w:rPr>
          <w:rFonts w:asciiTheme="minorHAnsi" w:hAnsiTheme="minorHAnsi" w:cstheme="minorHAnsi"/>
          <w:szCs w:val="22"/>
        </w:rPr>
      </w:pP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0DF47C7E" w14:textId="77777777" w:rsidR="0017154C" w:rsidRPr="00FA75AB" w:rsidRDefault="0017154C" w:rsidP="0017154C">
      <w:pPr>
        <w:tabs>
          <w:tab w:val="clear" w:pos="3068"/>
        </w:tabs>
        <w:rPr>
          <w:rFonts w:asciiTheme="minorHAnsi" w:hAnsiTheme="minorHAnsi" w:cstheme="minorHAnsi"/>
          <w:szCs w:val="22"/>
        </w:rPr>
      </w:pPr>
    </w:p>
    <w:p w14:paraId="6E279331" w14:textId="66D7187E" w:rsidR="0017154C" w:rsidRPr="00FA75AB" w:rsidRDefault="006632EC" w:rsidP="0017154C">
      <w:pPr>
        <w:tabs>
          <w:tab w:val="clear" w:pos="3068"/>
        </w:tabs>
        <w:rPr>
          <w:rFonts w:asciiTheme="minorHAnsi" w:hAnsiTheme="minorHAnsi" w:cstheme="minorHAnsi"/>
          <w:szCs w:val="22"/>
        </w:rPr>
      </w:pPr>
      <w:r>
        <w:rPr>
          <w:rFonts w:asciiTheme="minorHAnsi" w:hAnsiTheme="minorHAnsi" w:cstheme="minorHAnsi"/>
          <w:szCs w:val="22"/>
        </w:rPr>
        <w:t xml:space="preserve"> </w:t>
      </w: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77777777" w:rsidR="0017154C" w:rsidRPr="00FA75AB" w:rsidRDefault="0017154C" w:rsidP="0017154C">
      <w:pPr>
        <w:tabs>
          <w:tab w:val="clear" w:pos="3068"/>
        </w:tabs>
        <w:ind w:firstLine="0"/>
        <w:rPr>
          <w:rFonts w:asciiTheme="minorHAnsi" w:hAnsiTheme="minorHAnsi" w:cstheme="minorHAnsi"/>
          <w:szCs w:val="22"/>
        </w:rPr>
      </w:pPr>
      <w:r w:rsidRPr="00FA75AB">
        <w:rPr>
          <w:rFonts w:asciiTheme="minorHAnsi" w:hAnsiTheme="minorHAnsi" w:cstheme="minorHAnsi"/>
          <w:szCs w:val="22"/>
        </w:rPr>
        <w:t xml:space="preserve">When institutions administer student evaluations of teaching </w:t>
      </w:r>
      <w:r>
        <w:rPr>
          <w:rFonts w:asciiTheme="minorHAnsi" w:hAnsiTheme="minorHAnsi" w:cstheme="minorHAnsi"/>
          <w:szCs w:val="22"/>
        </w:rPr>
        <w:t>(</w:t>
      </w:r>
      <w:r w:rsidRPr="00FA75AB">
        <w:rPr>
          <w:rFonts w:asciiTheme="minorHAnsi" w:hAnsiTheme="minorHAnsi" w:cstheme="minorHAnsi"/>
          <w:szCs w:val="22"/>
        </w:rPr>
        <w:t>SET</w:t>
      </w:r>
      <w:r>
        <w:rPr>
          <w:rFonts w:asciiTheme="minorHAnsi" w:hAnsiTheme="minorHAnsi" w:cstheme="minorHAnsi"/>
          <w:szCs w:val="22"/>
        </w:rPr>
        <w:t>s)</w:t>
      </w:r>
      <w:r w:rsidRPr="00FA75AB">
        <w:rPr>
          <w:rFonts w:asciiTheme="minorHAnsi" w:hAnsiTheme="minorHAnsi" w:cstheme="minorHAnsi"/>
          <w:szCs w:val="22"/>
        </w:rPr>
        <w:t xml:space="preserve"> online, response rates are lower relative to paper-based administration. We analyzed average SET scores from 364 courses taught during the fall term in 3 consecutive years to determine whether administering SET forms online for all courses in the 3rd year changed the response rate or the average SET score. To control for instructor characteristics, </w:t>
      </w:r>
      <w:r>
        <w:rPr>
          <w:rFonts w:asciiTheme="minorHAnsi" w:hAnsiTheme="minorHAnsi" w:cstheme="minorHAnsi"/>
          <w:szCs w:val="22"/>
        </w:rPr>
        <w:t>we based the</w:t>
      </w:r>
      <w:r w:rsidRPr="00FA75AB">
        <w:rPr>
          <w:rFonts w:asciiTheme="minorHAnsi" w:hAnsiTheme="minorHAnsi" w:cstheme="minorHAnsi"/>
          <w:szCs w:val="22"/>
        </w:rPr>
        <w:t xml:space="preserve"> data analysis on courses for which the same instructor taught the course in each of three successive fall terms. Response rates for face-to-face classes declined when SET administration occurred only online. Although average SET scores were reliably lower in Year 3 than in the previous 2 years, the magnitude of this change was minimal (0.11 on a </w:t>
      </w:r>
      <w:r>
        <w:rPr>
          <w:rFonts w:asciiTheme="minorHAnsi" w:hAnsiTheme="minorHAnsi" w:cstheme="minorHAnsi"/>
          <w:szCs w:val="22"/>
        </w:rPr>
        <w:t>five</w:t>
      </w:r>
      <w:r w:rsidRPr="00FA75AB">
        <w:rPr>
          <w:rFonts w:asciiTheme="minorHAnsi" w:hAnsiTheme="minorHAnsi" w:cstheme="minorHAnsi"/>
          <w:szCs w:val="22"/>
        </w:rPr>
        <w:t>-item Likert-like scale). We discuss practical implications of these findings for interpretation of SETs and the role of SETs in the evaluation of teaching quality.</w:t>
      </w:r>
    </w:p>
    <w:p w14:paraId="462DCD2A" w14:textId="77777777" w:rsidR="0017154C" w:rsidRPr="00FA75AB" w:rsidRDefault="0017154C" w:rsidP="0017154C">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college teaching, student evaluations of teaching, online administration, response rate, assessment</w:t>
      </w:r>
    </w:p>
    <w:p w14:paraId="2FED3746"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br w:type="page"/>
      </w:r>
    </w:p>
    <w:p w14:paraId="3A6E430F" w14:textId="456EE913" w:rsidR="00E102C3" w:rsidRPr="00FA75AB" w:rsidRDefault="00E102C3" w:rsidP="00CC186E">
      <w:pPr>
        <w:pStyle w:val="Heading1"/>
      </w:pPr>
      <w:r w:rsidRPr="00FA75AB">
        <w:lastRenderedPageBreak/>
        <w:t>Comparison of Student Evaluations of Teaching With Online and Paper-Based Administration</w:t>
      </w:r>
    </w:p>
    <w:p w14:paraId="330F6CFE"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Student ratings and evaluations of instruction have a long history as source</w:t>
      </w:r>
      <w:r w:rsidR="00BB76BE" w:rsidRPr="00FA75AB">
        <w:rPr>
          <w:rFonts w:asciiTheme="minorHAnsi" w:hAnsiTheme="minorHAnsi" w:cstheme="minorHAnsi"/>
          <w:szCs w:val="22"/>
        </w:rPr>
        <w:t>s</w:t>
      </w:r>
      <w:r w:rsidRPr="00FA75AB">
        <w:rPr>
          <w:rFonts w:asciiTheme="minorHAnsi" w:hAnsiTheme="minorHAnsi" w:cstheme="minorHAnsi"/>
          <w:szCs w:val="22"/>
        </w:rPr>
        <w:t xml:space="preserve"> of information about teaching quality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Student evaluations of teaching (SET</w:t>
      </w:r>
      <w:r w:rsidR="00342C89" w:rsidRPr="00FA75AB">
        <w:rPr>
          <w:rFonts w:asciiTheme="minorHAnsi" w:hAnsiTheme="minorHAnsi" w:cstheme="minorHAnsi"/>
          <w:szCs w:val="22"/>
        </w:rPr>
        <w:t>s</w:t>
      </w:r>
      <w:r w:rsidRPr="00FA75AB">
        <w:rPr>
          <w:rFonts w:asciiTheme="minorHAnsi" w:hAnsiTheme="minorHAnsi" w:cstheme="minorHAnsi"/>
          <w:szCs w:val="22"/>
        </w:rPr>
        <w:t>) often play a significant role in high-stakes decisions about hiring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teaching awards. As a result</w:t>
      </w:r>
      <w:r w:rsidR="00CC7D0E" w:rsidRPr="00FA75AB">
        <w:rPr>
          <w:rFonts w:asciiTheme="minorHAnsi" w:hAnsiTheme="minorHAnsi" w:cstheme="minorHAnsi"/>
          <w:szCs w:val="22"/>
        </w:rPr>
        <w:t xml:space="preserve">, </w:t>
      </w:r>
      <w:r w:rsidRPr="00FA75AB">
        <w:rPr>
          <w:rFonts w:asciiTheme="minorHAnsi" w:hAnsiTheme="minorHAnsi" w:cstheme="minorHAnsi"/>
          <w:szCs w:val="22"/>
        </w:rPr>
        <w:t>researchers have examined the psychometric properties of SETs and the possible impact of variables such as race</w:t>
      </w:r>
      <w:r w:rsidR="00CC7D0E" w:rsidRPr="00FA75AB">
        <w:rPr>
          <w:rFonts w:asciiTheme="minorHAnsi" w:hAnsiTheme="minorHAnsi" w:cstheme="minorHAnsi"/>
          <w:szCs w:val="22"/>
        </w:rPr>
        <w:t xml:space="preserve">, </w:t>
      </w:r>
      <w:r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course difficulty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grading practices on average student ratings (Griffin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2014</w:t>
      </w:r>
      <w:r w:rsidRPr="00FA75AB">
        <w:rPr>
          <w:rFonts w:asciiTheme="minorHAnsi" w:hAnsiTheme="minorHAnsi" w:cstheme="minorHAnsi"/>
          <w:szCs w:val="22"/>
        </w:rPr>
        <w:t>;</w:t>
      </w:r>
      <w:r w:rsidR="00E64A41" w:rsidRPr="00FA75AB" w:rsidDel="00E64A41">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Spooren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They have also examined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evaluate SET scores (Boysen</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2015b; Boysen et al.</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00AA5283"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2011</w:t>
      </w:r>
      <w:r w:rsidRPr="00FA75AB">
        <w:rPr>
          <w:rFonts w:asciiTheme="minorHAnsi" w:hAnsiTheme="minorHAnsi" w:cstheme="minorHAnsi"/>
          <w:szCs w:val="22"/>
        </w:rPr>
        <w:t>). In the last 20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considerable attention has been directed toward the consequences of administering SETs online (Morrison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2012</w:t>
      </w:r>
      <w:r w:rsidRPr="00FA75AB">
        <w:rPr>
          <w:rFonts w:asciiTheme="minorHAnsi" w:hAnsiTheme="minorHAnsi" w:cstheme="minorHAnsi"/>
          <w:szCs w:val="22"/>
        </w:rPr>
        <w:t>) because low response rates may have implications for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interpret SETs.</w:t>
      </w:r>
    </w:p>
    <w:p w14:paraId="71D51E3E" w14:textId="77777777" w:rsidR="00874378" w:rsidRPr="00FA75AB" w:rsidRDefault="00874378" w:rsidP="00CC186E">
      <w:pPr>
        <w:pStyle w:val="Heading2"/>
      </w:pPr>
      <w:r w:rsidRPr="00FA75AB">
        <w:t xml:space="preserve">Online Administration of </w:t>
      </w:r>
      <w:r w:rsidRPr="00CC186E">
        <w:t>Student</w:t>
      </w:r>
      <w:r w:rsidRPr="00FA75AB">
        <w:t xml:space="preserve"> Evaluations </w:t>
      </w:r>
    </w:p>
    <w:p w14:paraId="17F625CA" w14:textId="77777777" w:rsidR="00E102C3" w:rsidRPr="00FA75AB" w:rsidRDefault="00E102C3" w:rsidP="00CC186E">
      <w:r w:rsidRPr="00FA75AB">
        <w:t xml:space="preserve">Administering SETs online creates multiple benefits. Online administration enables instructors to devote more class time to instruction (vs. administering paper-based forms) and can improve the integrity of the process. Students who are not pressed for time </w:t>
      </w:r>
      <w:r w:rsidR="001C2344" w:rsidRPr="00FA75AB">
        <w:t xml:space="preserve">in class </w:t>
      </w:r>
      <w:r w:rsidRPr="00FA75AB">
        <w:t>are more likely to reflect on their answers</w:t>
      </w:r>
      <w:r w:rsidR="004F63CE" w:rsidRPr="00FA75AB">
        <w:t xml:space="preserve"> and </w:t>
      </w:r>
      <w:r w:rsidRPr="00FA75AB">
        <w:t xml:space="preserve">write </w:t>
      </w:r>
      <w:r w:rsidR="00FA3A11" w:rsidRPr="00FA75AB">
        <w:t xml:space="preserve">more </w:t>
      </w:r>
      <w:r w:rsidRPr="00FA75AB">
        <w:t>detailed comments (Morrison</w:t>
      </w:r>
      <w:r w:rsidR="00CC7D0E" w:rsidRPr="00FA75AB">
        <w:t xml:space="preserve">, </w:t>
      </w:r>
      <w:r w:rsidRPr="00FA75AB">
        <w:t>2011;</w:t>
      </w:r>
      <w:r w:rsidR="006274E0" w:rsidRPr="00FA75AB">
        <w:t xml:space="preserve"> </w:t>
      </w:r>
      <w:r w:rsidRPr="00FA75AB">
        <w:t>Stowell et al.</w:t>
      </w:r>
      <w:r w:rsidR="00CC7D0E" w:rsidRPr="00FA75AB">
        <w:t xml:space="preserve">, </w:t>
      </w:r>
      <w:r w:rsidRPr="00FA75AB">
        <w:t>2012;</w:t>
      </w:r>
      <w:r w:rsidR="006274E0" w:rsidRPr="00FA75AB">
        <w:t xml:space="preserve"> </w:t>
      </w:r>
      <w:r w:rsidRPr="00FA75AB">
        <w:t>Venette et al.</w:t>
      </w:r>
      <w:r w:rsidR="00CC7D0E" w:rsidRPr="00FA75AB">
        <w:t xml:space="preserve">, </w:t>
      </w:r>
      <w:r w:rsidRPr="00FA75AB">
        <w:t>2010). Because electronic aggregation of responses bypasses the time-consuming task of transcribing comments (sometimes written in challenging handwriting)</w:t>
      </w:r>
      <w:r w:rsidR="00CC7D0E" w:rsidRPr="00FA75AB">
        <w:t xml:space="preserve">, </w:t>
      </w:r>
      <w:r w:rsidRPr="00FA75AB">
        <w:t>instructors can receive summary data and verbatim comments shortly after the close of the term instead of weeks or months into the following term.</w:t>
      </w:r>
    </w:p>
    <w:p w14:paraId="59147433" w14:textId="77777777" w:rsidR="00E102C3" w:rsidRPr="00FA75AB" w:rsidRDefault="00342C89" w:rsidP="004E6B89">
      <w:pPr>
        <w:tabs>
          <w:tab w:val="clear" w:pos="3068"/>
        </w:tabs>
        <w:rPr>
          <w:rFonts w:asciiTheme="minorHAnsi" w:hAnsiTheme="minorHAnsi" w:cstheme="minorHAnsi"/>
          <w:szCs w:val="22"/>
        </w:rPr>
      </w:pPr>
      <w:r w:rsidRPr="00FA75AB">
        <w:rPr>
          <w:rFonts w:asciiTheme="minorHAnsi" w:hAnsiTheme="minorHAnsi" w:cstheme="minorHAnsi"/>
          <w:szCs w:val="22"/>
        </w:rPr>
        <w:t>Despite</w:t>
      </w:r>
      <w:r w:rsidR="00E102C3" w:rsidRPr="00FA75AB">
        <w:rPr>
          <w:rFonts w:asciiTheme="minorHAnsi" w:hAnsiTheme="minorHAnsi" w:cstheme="minorHAnsi"/>
          <w:szCs w:val="22"/>
        </w:rPr>
        <w:t xml:space="preserve"> the many benefits of online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instructors and students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concerns about online administration of SETs. </w:t>
      </w:r>
      <w:r w:rsidR="00120A65" w:rsidRPr="00FA75AB">
        <w:rPr>
          <w:rFonts w:asciiTheme="minorHAnsi" w:hAnsiTheme="minorHAnsi" w:cstheme="minorHAnsi"/>
          <w:szCs w:val="22"/>
        </w:rPr>
        <w:t>S</w:t>
      </w:r>
      <w:r w:rsidR="00E102C3" w:rsidRPr="00FA75AB">
        <w:rPr>
          <w:rFonts w:asciiTheme="minorHAnsi" w:hAnsiTheme="minorHAnsi" w:cstheme="minorHAnsi"/>
          <w:szCs w:val="22"/>
        </w:rPr>
        <w:t xml:space="preserve">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 that their responses are not confidential when they must use their student identification </w:t>
      </w:r>
      <w:r w:rsidR="00BB41EE" w:rsidRPr="00FA75AB">
        <w:rPr>
          <w:rFonts w:asciiTheme="minorHAnsi" w:hAnsiTheme="minorHAnsi" w:cstheme="minorHAnsi"/>
          <w:szCs w:val="22"/>
        </w:rPr>
        <w:t xml:space="preserve">number </w:t>
      </w:r>
      <w:r w:rsidR="00E102C3" w:rsidRPr="00FA75AB">
        <w:rPr>
          <w:rFonts w:asciiTheme="minorHAnsi" w:hAnsiTheme="minorHAnsi" w:cstheme="minorHAnsi"/>
          <w:szCs w:val="22"/>
        </w:rPr>
        <w:t>to log into the system (Dommeyer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2002</w:t>
      </w:r>
      <w:r w:rsidR="00E102C3" w:rsidRPr="00FA75AB">
        <w:rPr>
          <w:rFonts w:asciiTheme="minorHAnsi" w:hAnsiTheme="minorHAnsi" w:cstheme="minorHAnsi"/>
          <w:szCs w:val="22"/>
        </w:rPr>
        <w:t xml:space="preserve">). </w:t>
      </w:r>
      <w:r w:rsidR="00120A65"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breaches of confidentiality can occur </w:t>
      </w:r>
      <w:r w:rsidR="00120A65" w:rsidRPr="00FA75AB">
        <w:rPr>
          <w:rFonts w:asciiTheme="minorHAnsi" w:hAnsiTheme="minorHAnsi" w:cstheme="minorHAnsi"/>
          <w:szCs w:val="22"/>
        </w:rPr>
        <w:t xml:space="preserve">even </w:t>
      </w:r>
      <w:r w:rsidR="00E102C3" w:rsidRPr="00FA75AB">
        <w:rPr>
          <w:rFonts w:asciiTheme="minorHAnsi" w:hAnsiTheme="minorHAnsi" w:cstheme="minorHAnsi"/>
          <w:szCs w:val="22"/>
        </w:rPr>
        <w:t>with paper-based administration. For example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an instructor might recognize student handwriting (one reason some </w:t>
      </w:r>
      <w:r w:rsidR="00E102C3" w:rsidRPr="00FA75AB">
        <w:rPr>
          <w:rFonts w:asciiTheme="minorHAnsi" w:hAnsiTheme="minorHAnsi" w:cstheme="minorHAnsi"/>
          <w:szCs w:val="22"/>
        </w:rPr>
        <w:lastRenderedPageBreak/>
        <w:t>students do not write comments on paper-based forms)</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or an instructor might remain present during SET administration (Avery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2006).</w:t>
      </w:r>
    </w:p>
    <w:p w14:paraId="00BA9CC0"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In-class</w:t>
      </w:r>
      <w:r w:rsidR="00CC7D0E" w:rsidRPr="00FA75AB">
        <w:rPr>
          <w:rFonts w:asciiTheme="minorHAnsi" w:hAnsiTheme="minorHAnsi" w:cstheme="minorHAnsi"/>
          <w:szCs w:val="22"/>
        </w:rPr>
        <w:t xml:space="preserve">, </w:t>
      </w:r>
      <w:r w:rsidRPr="00FA75AB">
        <w:rPr>
          <w:rFonts w:asciiTheme="minorHAnsi" w:hAnsiTheme="minorHAnsi" w:cstheme="minorHAnsi"/>
          <w:szCs w:val="22"/>
        </w:rPr>
        <w:t>paper-based administration creates social expectations that might motivate students to complete SETs. In contrast</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are concerned about</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6274E0" w:rsidRPr="00FA75AB">
        <w:rPr>
          <w:rFonts w:asciiTheme="minorHAnsi" w:hAnsiTheme="minorHAnsi" w:cstheme="minorHAnsi"/>
          <w:szCs w:val="22"/>
        </w:rPr>
        <w:t xml:space="preserve"> </w:t>
      </w:r>
      <w:r w:rsidRPr="00FA75AB">
        <w:rPr>
          <w:rFonts w:asciiTheme="minorHAnsi" w:hAnsiTheme="minorHAnsi" w:cstheme="minorHAnsi"/>
          <w:szCs w:val="22"/>
        </w:rPr>
        <w:t>or do not understand how instructors and institutions use SET findings to improve teaching might ignore requests to complete an online SET (Dommeyer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2002). Instructors </w:t>
      </w:r>
      <w:r w:rsidR="00BB76BE" w:rsidRPr="00FA75AB">
        <w:rPr>
          <w:rFonts w:asciiTheme="minorHAnsi" w:hAnsiTheme="minorHAnsi" w:cstheme="minorHAnsi"/>
          <w:szCs w:val="22"/>
        </w:rPr>
        <w:t xml:space="preserve">in turn </w:t>
      </w:r>
      <w:r w:rsidRPr="00FA75AB">
        <w:rPr>
          <w:rFonts w:asciiTheme="minorHAnsi" w:hAnsiTheme="minorHAnsi" w:cstheme="minorHAnsi"/>
          <w:szCs w:val="22"/>
        </w:rPr>
        <w:t>worry that low response rates will reduce the validity of the findings if students who do not complete an SET differ in significant ways from students who do (Stowell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For example</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do not attend class regularly often miss class the day that SETs are administered.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all students (including nonattending students) can complete the forms when they are </w:t>
      </w:r>
      <w:r w:rsidR="001D7F11" w:rsidRPr="00FA75AB">
        <w:rPr>
          <w:rFonts w:asciiTheme="minorHAnsi" w:hAnsiTheme="minorHAnsi" w:cstheme="minorHAnsi"/>
          <w:szCs w:val="22"/>
        </w:rPr>
        <w:t xml:space="preserve">administered </w:t>
      </w:r>
      <w:r w:rsidRPr="00FA75AB">
        <w:rPr>
          <w:rFonts w:asciiTheme="minorHAnsi" w:hAnsiTheme="minorHAnsi" w:cstheme="minorHAnsi"/>
          <w:szCs w:val="22"/>
        </w:rPr>
        <w:t xml:space="preserve">online. Faculty </w:t>
      </w:r>
      <w:r w:rsidR="00BB76BE" w:rsidRPr="00FA75AB">
        <w:rPr>
          <w:rFonts w:asciiTheme="minorHAnsi" w:hAnsiTheme="minorHAnsi" w:cstheme="minorHAnsi"/>
          <w:szCs w:val="22"/>
        </w:rPr>
        <w:t xml:space="preserve">also </w:t>
      </w:r>
      <w:r w:rsidRPr="00FA75AB">
        <w:rPr>
          <w:rFonts w:asciiTheme="minorHAnsi" w:hAnsiTheme="minorHAnsi" w:cstheme="minorHAnsi"/>
          <w:szCs w:val="22"/>
        </w:rPr>
        <w:t>fear that SET findings based on a low-response sample will be dominated by students in extreme categories</w:t>
      </w:r>
      <w:r w:rsidR="001D7F11" w:rsidRPr="00FA75AB">
        <w:rPr>
          <w:rFonts w:asciiTheme="minorHAnsi" w:hAnsiTheme="minorHAnsi" w:cstheme="minorHAnsi"/>
          <w:szCs w:val="22"/>
        </w:rPr>
        <w:t xml:space="preserve"> (e.g., students with grudges, students with extremely favorable attitudes)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who may be particularly motivated to complete online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and </w:t>
      </w:r>
      <w:r w:rsidR="00856ABA" w:rsidRPr="00FA75AB">
        <w:rPr>
          <w:rFonts w:asciiTheme="minorHAnsi" w:hAnsiTheme="minorHAnsi" w:cstheme="minorHAnsi"/>
          <w:szCs w:val="22"/>
        </w:rPr>
        <w:t>therefore</w:t>
      </w:r>
      <w:r w:rsidR="00BB41EE" w:rsidRPr="00FA75AB">
        <w:rPr>
          <w:rFonts w:asciiTheme="minorHAnsi" w:hAnsiTheme="minorHAnsi" w:cstheme="minorHAnsi"/>
          <w:szCs w:val="22"/>
        </w:rPr>
        <w:t xml:space="preserve"> that</w:t>
      </w:r>
      <w:r w:rsidRPr="00FA75AB">
        <w:rPr>
          <w:rFonts w:asciiTheme="minorHAnsi" w:hAnsiTheme="minorHAnsi" w:cstheme="minorHAnsi"/>
          <w:szCs w:val="22"/>
        </w:rPr>
        <w:t xml:space="preserve"> SET findings will inadequately represent the voice of average students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p>
    <w:p w14:paraId="121C2B86" w14:textId="77777777" w:rsidR="00AA4A24" w:rsidRPr="00FA75AB" w:rsidRDefault="00AA4A24" w:rsidP="00CC186E">
      <w:pPr>
        <w:pStyle w:val="Heading2"/>
      </w:pPr>
      <w:r w:rsidRPr="00FA75AB">
        <w:t xml:space="preserve">Effects of </w:t>
      </w:r>
      <w:r w:rsidR="001D7F11" w:rsidRPr="00FA75AB">
        <w:t xml:space="preserve">Format on </w:t>
      </w:r>
      <w:r w:rsidRPr="00FA75AB">
        <w:t>Response Rat</w:t>
      </w:r>
      <w:r w:rsidR="001D7F11" w:rsidRPr="00FA75AB">
        <w:t>e</w:t>
      </w:r>
      <w:r w:rsidRPr="00FA75AB">
        <w:t xml:space="preserve">s </w:t>
      </w:r>
      <w:r w:rsidR="001D7F11" w:rsidRPr="00FA75AB">
        <w:t xml:space="preserve">and </w:t>
      </w:r>
      <w:r w:rsidRPr="00FA75AB">
        <w:t>Student Evaluation</w:t>
      </w:r>
      <w:r w:rsidR="001D7F11" w:rsidRPr="00FA75AB">
        <w:t xml:space="preserve"> Score</w:t>
      </w:r>
      <w:r w:rsidRPr="00FA75AB">
        <w:t>s</w:t>
      </w:r>
    </w:p>
    <w:p w14:paraId="5DBE68E1" w14:textId="3C3BF115"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potential for biased SET findings associated with low response rates has been examined in the published literature. </w:t>
      </w:r>
      <w:r w:rsidR="00342C89" w:rsidRPr="00FA75AB">
        <w:rPr>
          <w:rFonts w:asciiTheme="minorHAnsi" w:hAnsiTheme="minorHAnsi" w:cstheme="minorHAnsi"/>
          <w:szCs w:val="22"/>
        </w:rPr>
        <w:t>In findings that run c</w:t>
      </w:r>
      <w:r w:rsidRPr="00FA75AB">
        <w:rPr>
          <w:rFonts w:asciiTheme="minorHAnsi" w:hAnsiTheme="minorHAnsi" w:cstheme="minorHAnsi"/>
          <w:szCs w:val="22"/>
        </w:rPr>
        <w:t>ontrary to faculty fears that online SETs might be dominated by low-performing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Avery</w:t>
      </w:r>
      <w:r w:rsidR="00DE1469" w:rsidRPr="00FA75AB">
        <w:rPr>
          <w:rFonts w:asciiTheme="minorHAnsi" w:hAnsiTheme="minorHAnsi" w:cstheme="minorHAnsi"/>
          <w:szCs w:val="22"/>
        </w:rPr>
        <w:t xml:space="preserve"> et al.</w:t>
      </w:r>
      <w:r w:rsidR="00486B99"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found that students </w:t>
      </w:r>
      <w:r w:rsidR="00966505" w:rsidRPr="00FA75AB">
        <w:rPr>
          <w:rFonts w:asciiTheme="minorHAnsi" w:hAnsiTheme="minorHAnsi" w:cstheme="minorHAnsi"/>
          <w:szCs w:val="22"/>
        </w:rPr>
        <w:t xml:space="preserve">with higher </w:t>
      </w:r>
      <w:r w:rsidR="00BB41EE" w:rsidRPr="00FA75AB">
        <w:rPr>
          <w:rFonts w:asciiTheme="minorHAnsi" w:hAnsiTheme="minorHAnsi" w:cstheme="minorHAnsi"/>
          <w:szCs w:val="22"/>
        </w:rPr>
        <w:t>grade-point averages (</w:t>
      </w:r>
      <w:r w:rsidRPr="00FA75AB">
        <w:rPr>
          <w:rFonts w:asciiTheme="minorHAnsi" w:hAnsiTheme="minorHAnsi" w:cstheme="minorHAnsi"/>
          <w:szCs w:val="22"/>
        </w:rPr>
        <w:t>GPAs</w:t>
      </w:r>
      <w:r w:rsidR="00BB41EE" w:rsidRPr="00FA75AB">
        <w:rPr>
          <w:rFonts w:asciiTheme="minorHAnsi" w:hAnsiTheme="minorHAnsi" w:cstheme="minorHAnsi"/>
          <w:szCs w:val="22"/>
        </w:rPr>
        <w:t>)</w:t>
      </w:r>
      <w:r w:rsidRPr="00FA75AB">
        <w:rPr>
          <w:rFonts w:asciiTheme="minorHAnsi" w:hAnsiTheme="minorHAnsi" w:cstheme="minorHAnsi"/>
          <w:szCs w:val="22"/>
        </w:rPr>
        <w:t xml:space="preserve"> were more likely to complete online evaluations. </w:t>
      </w:r>
      <w:r w:rsidR="00120A65" w:rsidRPr="00FA75AB">
        <w:rPr>
          <w:rFonts w:asciiTheme="minorHAnsi" w:hAnsiTheme="minorHAnsi" w:cstheme="minorHAnsi"/>
          <w:szCs w:val="22"/>
        </w:rPr>
        <w:t>Lik</w:t>
      </w:r>
      <w:r w:rsidR="002272D2">
        <w:rPr>
          <w:rFonts w:asciiTheme="minorHAnsi" w:hAnsiTheme="minorHAnsi" w:cstheme="minorHAnsi"/>
          <w:szCs w:val="22"/>
        </w:rPr>
        <w:t>e</w:t>
      </w:r>
      <w:r w:rsidR="00120A65" w:rsidRPr="00FA75AB">
        <w:rPr>
          <w:rFonts w:asciiTheme="minorHAnsi" w:hAnsiTheme="minorHAnsi" w:cstheme="minorHAnsi"/>
          <w:szCs w:val="22"/>
        </w:rPr>
        <w:t xml:space="preserve">wise, </w:t>
      </w:r>
      <w:r w:rsidRPr="00FA75AB">
        <w:rPr>
          <w:rFonts w:asciiTheme="minorHAnsi" w:hAnsiTheme="minorHAnsi" w:cstheme="minorHAnsi"/>
          <w:szCs w:val="22"/>
        </w:rPr>
        <w:t>Jaquett</w:t>
      </w:r>
      <w:r w:rsidR="00DE1469" w:rsidRPr="00FA75AB">
        <w:rPr>
          <w:rFonts w:asciiTheme="minorHAnsi" w:hAnsiTheme="minorHAnsi" w:cstheme="minorHAnsi"/>
          <w:szCs w:val="22"/>
        </w:rPr>
        <w:t xml:space="preserve"> et al.</w:t>
      </w:r>
      <w:r w:rsidRPr="00FA75AB">
        <w:rPr>
          <w:rFonts w:asciiTheme="minorHAnsi" w:hAnsiTheme="minorHAnsi" w:cstheme="minorHAnsi"/>
          <w:szCs w:val="22"/>
        </w:rPr>
        <w:t xml:space="preserve"> (2017)</w:t>
      </w:r>
      <w:r w:rsidR="006274E0" w:rsidRPr="00FA75AB">
        <w:rPr>
          <w:rFonts w:asciiTheme="minorHAnsi" w:hAnsiTheme="minorHAnsi" w:cstheme="minorHAnsi"/>
          <w:szCs w:val="22"/>
        </w:rPr>
        <w:t xml:space="preserve"> </w:t>
      </w:r>
      <w:r w:rsidRPr="00FA75AB">
        <w:rPr>
          <w:rFonts w:asciiTheme="minorHAnsi" w:hAnsiTheme="minorHAnsi" w:cstheme="minorHAnsi"/>
          <w:szCs w:val="22"/>
        </w:rPr>
        <w:t>report</w:t>
      </w:r>
      <w:r w:rsidR="00856ABA" w:rsidRPr="00FA75AB">
        <w:rPr>
          <w:rFonts w:asciiTheme="minorHAnsi" w:hAnsiTheme="minorHAnsi" w:cstheme="minorHAnsi"/>
          <w:szCs w:val="22"/>
        </w:rPr>
        <w:t>ed</w:t>
      </w:r>
      <w:r w:rsidRPr="00FA75AB">
        <w:rPr>
          <w:rFonts w:asciiTheme="minorHAnsi" w:hAnsiTheme="minorHAnsi" w:cstheme="minorHAnsi"/>
          <w:szCs w:val="22"/>
        </w:rPr>
        <w:t xml:space="preserve"> that students who had positive experiences in their classes (including </w:t>
      </w:r>
      <w:r w:rsidR="00856ABA" w:rsidRPr="00FA75AB">
        <w:rPr>
          <w:rFonts w:asciiTheme="minorHAnsi" w:hAnsiTheme="minorHAnsi" w:cstheme="minorHAnsi"/>
          <w:szCs w:val="22"/>
        </w:rPr>
        <w:t xml:space="preserve">receiving </w:t>
      </w:r>
      <w:r w:rsidRPr="00FA75AB">
        <w:rPr>
          <w:rFonts w:asciiTheme="minorHAnsi" w:hAnsiTheme="minorHAnsi" w:cstheme="minorHAnsi"/>
          <w:szCs w:val="22"/>
        </w:rPr>
        <w:t>the grade they expected to earn) were more likely to submit course evaluations.</w:t>
      </w:r>
    </w:p>
    <w:p w14:paraId="6CCA63BA" w14:textId="629C8E90" w:rsidR="001C2344" w:rsidRPr="00FA75AB" w:rsidRDefault="00E102C3" w:rsidP="00120A65">
      <w:pPr>
        <w:tabs>
          <w:tab w:val="clear" w:pos="3068"/>
        </w:tabs>
        <w:rPr>
          <w:rFonts w:asciiTheme="minorHAnsi" w:hAnsiTheme="minorHAnsi" w:cstheme="minorHAnsi"/>
          <w:szCs w:val="22"/>
        </w:rPr>
      </w:pPr>
      <w:r w:rsidRPr="00FA75AB">
        <w:rPr>
          <w:rFonts w:asciiTheme="minorHAnsi" w:hAnsiTheme="minorHAnsi" w:cstheme="minorHAnsi"/>
          <w:szCs w:val="22"/>
        </w:rPr>
        <w:t>Institutions can expect lower response rates when they administer SETs online (Avery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szCs w:val="22"/>
        </w:rPr>
        <w:t>Venette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most researchers </w:t>
      </w:r>
      <w:r w:rsidR="00BB41EE" w:rsidRPr="00FA75AB">
        <w:rPr>
          <w:rFonts w:asciiTheme="minorHAnsi" w:hAnsiTheme="minorHAnsi" w:cstheme="minorHAnsi"/>
          <w:szCs w:val="22"/>
        </w:rPr>
        <w:t xml:space="preserve">have found </w:t>
      </w:r>
      <w:r w:rsidRPr="00FA75AB">
        <w:rPr>
          <w:rFonts w:asciiTheme="minorHAnsi" w:hAnsiTheme="minorHAnsi" w:cstheme="minorHAnsi"/>
          <w:szCs w:val="22"/>
        </w:rPr>
        <w:t xml:space="preserve">that the mean SET rating does not change </w:t>
      </w:r>
      <w:r w:rsidRPr="00FA75AB">
        <w:rPr>
          <w:rFonts w:asciiTheme="minorHAnsi" w:hAnsiTheme="minorHAnsi" w:cstheme="minorHAnsi"/>
          <w:szCs w:val="22"/>
        </w:rPr>
        <w:lastRenderedPageBreak/>
        <w:t>significantly when they compare SETs administered on paper with those completed online. These findings have been replicated in multiple settings using a variety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research methods</w:t>
      </w:r>
      <w:r w:rsidR="00365ACF" w:rsidRPr="00FA75AB">
        <w:rPr>
          <w:rFonts w:asciiTheme="minorHAnsi" w:hAnsiTheme="minorHAnsi" w:cstheme="minorHAnsi"/>
          <w:szCs w:val="22"/>
        </w:rPr>
        <w:t xml:space="preserve"> </w:t>
      </w:r>
      <w:r w:rsidR="00BB41EE" w:rsidRPr="00FA75AB">
        <w:rPr>
          <w:rFonts w:asciiTheme="minorHAnsi" w:hAnsiTheme="minorHAnsi" w:cstheme="minorHAnsi"/>
          <w:szCs w:val="22"/>
        </w:rPr>
        <w:t>(Avery et al., 2006;</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Morrison, 2011;</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Stowell et al., 2012;</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Venette et al., 2010)</w:t>
      </w:r>
      <w:r w:rsidR="006274E0" w:rsidRPr="00FA75AB">
        <w:rPr>
          <w:rFonts w:asciiTheme="minorHAnsi" w:hAnsiTheme="minorHAnsi" w:cstheme="minorHAnsi"/>
          <w:szCs w:val="22"/>
        </w:rPr>
        <w:t>.</w:t>
      </w:r>
    </w:p>
    <w:p w14:paraId="2B60D2F4" w14:textId="2B1625A5" w:rsidR="00E102C3" w:rsidRPr="00FA75AB" w:rsidRDefault="00120A65" w:rsidP="00CC186E">
      <w:r w:rsidRPr="00CC186E">
        <w:t>Exceptions to this pattern</w:t>
      </w:r>
      <w:r w:rsidR="00E102C3" w:rsidRPr="00CC186E">
        <w:t xml:space="preserve"> of minimal</w:t>
      </w:r>
      <w:r w:rsidR="00E102C3" w:rsidRPr="00FA75AB">
        <w:t xml:space="preserve"> or nonsignificant differences in average SET scores appear</w:t>
      </w:r>
      <w:r w:rsidRPr="00FA75AB">
        <w:t>ed</w:t>
      </w:r>
      <w:r w:rsidR="00E102C3" w:rsidRPr="00FA75AB">
        <w:t xml:space="preserve"> in</w:t>
      </w:r>
      <w:r w:rsidR="006274E0" w:rsidRPr="00FA75AB">
        <w:t xml:space="preserve"> </w:t>
      </w:r>
      <w:r w:rsidR="006117B0" w:rsidRPr="00FA75AB">
        <w:t xml:space="preserve">Nowell et al. (2010) and </w:t>
      </w:r>
      <w:r w:rsidR="00E102C3" w:rsidRPr="00FA75AB">
        <w:t>Morrison (2011)</w:t>
      </w:r>
      <w:r w:rsidR="001C2344" w:rsidRPr="00FA75AB">
        <w:t>, who examined a sample of 29 business courses</w:t>
      </w:r>
      <w:r w:rsidR="00E102C3" w:rsidRPr="00FA75AB">
        <w:t>. Both studies reported lower average scores when SETs were administered online. However</w:t>
      </w:r>
      <w:r w:rsidR="00CC7D0E" w:rsidRPr="00FA75AB">
        <w:t xml:space="preserve">, </w:t>
      </w:r>
      <w:r w:rsidR="00E102C3" w:rsidRPr="00FA75AB">
        <w:t xml:space="preserve">they also found that SET scores for individual items varied more within an instructor when SETs were administered online </w:t>
      </w:r>
      <w:r w:rsidR="001C2344" w:rsidRPr="00FA75AB">
        <w:t>versus on paper</w:t>
      </w:r>
      <w:r w:rsidR="00E102C3" w:rsidRPr="00FA75AB">
        <w:t>. Students who completed SETs on paper tended to record the same response for all questions</w:t>
      </w:r>
      <w:r w:rsidR="00FA3A11" w:rsidRPr="00FA75AB">
        <w:t>,</w:t>
      </w:r>
      <w:r w:rsidR="00E102C3" w:rsidRPr="00FA75AB">
        <w:t xml:space="preserve"> whereas students who completed </w:t>
      </w:r>
      <w:r w:rsidR="008B549F" w:rsidRPr="00FA75AB">
        <w:t xml:space="preserve">the </w:t>
      </w:r>
      <w:r w:rsidR="00E102C3" w:rsidRPr="00FA75AB">
        <w:t>forms online tended to respond differently to different questions. Both research groups argue</w:t>
      </w:r>
      <w:r w:rsidR="00BB41EE" w:rsidRPr="00FA75AB">
        <w:t>d</w:t>
      </w:r>
      <w:r w:rsidR="00E102C3" w:rsidRPr="00FA75AB">
        <w:t xml:space="preserve"> that scores obtained online might not be directly comparable to scores obtained through paper-based forms. They </w:t>
      </w:r>
      <w:r w:rsidR="008B549F" w:rsidRPr="00FA75AB">
        <w:t>advise</w:t>
      </w:r>
      <w:r w:rsidR="00BB41EE" w:rsidRPr="00FA75AB">
        <w:t>d</w:t>
      </w:r>
      <w:r w:rsidR="00E102C3" w:rsidRPr="00FA75AB">
        <w:t xml:space="preserve"> that institutions administer SETs entirely online or entirely on paper to ensure consistent</w:t>
      </w:r>
      <w:r w:rsidR="00CC7D0E" w:rsidRPr="00FA75AB">
        <w:t xml:space="preserve">, </w:t>
      </w:r>
      <w:r w:rsidR="00E102C3" w:rsidRPr="00FA75AB">
        <w:t>compara</w:t>
      </w:r>
      <w:r w:rsidR="006274E0" w:rsidRPr="00FA75AB">
        <w:t>ble evaluations across faculty.</w:t>
      </w:r>
    </w:p>
    <w:p w14:paraId="3C89A233" w14:textId="1B12D3D5" w:rsidR="00E102C3" w:rsidRPr="00FA75AB" w:rsidRDefault="00E102C3" w:rsidP="004E6B89">
      <w:pPr>
        <w:tabs>
          <w:tab w:val="clear" w:pos="3068"/>
        </w:tabs>
        <w:rPr>
          <w:rFonts w:asciiTheme="minorHAnsi" w:hAnsiTheme="minorHAnsi" w:cstheme="minorHAnsi"/>
          <w:szCs w:val="22"/>
        </w:rPr>
      </w:pPr>
      <w:r w:rsidRPr="00CC186E">
        <w:t>Each university presents a unique</w:t>
      </w:r>
      <w:r w:rsidRPr="00FA75AB">
        <w:rPr>
          <w:rFonts w:asciiTheme="minorHAnsi" w:hAnsiTheme="minorHAnsi" w:cstheme="minorHAnsi"/>
          <w:szCs w:val="22"/>
        </w:rPr>
        <w:t xml:space="preserve"> environment and culture that could influence how seriously students take SETs and how they respond to decisions to administer SETs online. Although a few large-scale studies of the impact of online administration exist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r w:rsidR="00CC7D0E" w:rsidRPr="00FA75AB">
        <w:rPr>
          <w:rFonts w:asciiTheme="minorHAnsi" w:hAnsiTheme="minorHAnsi" w:cstheme="minorHAnsi"/>
          <w:szCs w:val="22"/>
        </w:rPr>
        <w:t xml:space="preserve">, </w:t>
      </w:r>
      <w:r w:rsidRPr="00FA75AB">
        <w:rPr>
          <w:rFonts w:asciiTheme="minorHAnsi" w:hAnsiTheme="minorHAnsi" w:cstheme="minorHAnsi"/>
          <w:szCs w:val="22"/>
        </w:rPr>
        <w:t>a local replication answers questions about characteristics unique to that institution and generates evidence about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generalizability</w:t>
      </w:r>
      <w:r w:rsidR="006274E0" w:rsidRPr="00FA75AB">
        <w:rPr>
          <w:rFonts w:asciiTheme="minorHAnsi" w:hAnsiTheme="minorHAnsi" w:cstheme="minorHAnsi"/>
          <w:szCs w:val="22"/>
        </w:rPr>
        <w:t xml:space="preserve"> of existing findings.</w:t>
      </w:r>
    </w:p>
    <w:p w14:paraId="072043EA" w14:textId="77777777" w:rsidR="00AA4A24" w:rsidRPr="00FA75AB" w:rsidRDefault="00AA4A24" w:rsidP="00CC186E">
      <w:pPr>
        <w:pStyle w:val="Heading2"/>
      </w:pPr>
      <w:r w:rsidRPr="00FA75AB">
        <w:t>Purpose of the Present Study</w:t>
      </w:r>
    </w:p>
    <w:p w14:paraId="7BDA231F" w14:textId="77777777"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relied on small samples often </w:t>
      </w:r>
      <w:r w:rsidR="00E102C3" w:rsidRPr="00FA75AB">
        <w:rPr>
          <w:rFonts w:asciiTheme="minorHAnsi" w:hAnsiTheme="minorHAnsi" w:cstheme="minorHAnsi"/>
          <w:szCs w:val="22"/>
        </w:rPr>
        <w:lastRenderedPageBreak/>
        <w:t>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 xml:space="preserve">for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Heading1"/>
      </w:pPr>
      <w:r w:rsidRPr="00CC186E">
        <w:t>Method</w:t>
      </w:r>
    </w:p>
    <w:p w14:paraId="77F0DE14" w14:textId="77777777" w:rsidR="00E102C3" w:rsidRPr="00FA75AB" w:rsidRDefault="00E102C3" w:rsidP="00CC186E">
      <w:pPr>
        <w:pStyle w:val="Heading2"/>
      </w:pPr>
      <w:r w:rsidRPr="00FA75AB">
        <w:t>Sample</w:t>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lastRenderedPageBreak/>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Heading2"/>
      </w:pPr>
      <w:r w:rsidRPr="00FA75AB">
        <w:t>Instrument</w:t>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Students were asked to rate each instructor as</w:t>
      </w:r>
      <w:r w:rsidR="006274E0" w:rsidRPr="00FA75AB">
        <w:rPr>
          <w:rFonts w:asciiTheme="minorHAnsi" w:hAnsiTheme="minorHAnsi" w:cstheme="minorHAnsi"/>
          <w:szCs w:val="22"/>
        </w:rPr>
        <w:t xml:space="preserve"> </w:t>
      </w:r>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1–7 </w:t>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r</w:t>
      </w:r>
      <w:r w:rsidRPr="00FA75AB">
        <w:rPr>
          <w:rFonts w:asciiTheme="minorHAnsi" w:hAnsiTheme="minorHAnsi" w:cstheme="minorHAnsi"/>
          <w:szCs w:val="22"/>
        </w:rPr>
        <w:t>(362) = .92.</w:t>
      </w:r>
      <w:r w:rsidR="006274E0" w:rsidRPr="00FA75AB">
        <w:rPr>
          <w:rFonts w:asciiTheme="minorHAnsi" w:hAnsiTheme="minorHAnsi" w:cstheme="minorHAnsi"/>
          <w:szCs w:val="22"/>
        </w:rPr>
        <w:t xml:space="preserve"> </w:t>
      </w:r>
      <w:r w:rsidRPr="00FA75AB">
        <w:rPr>
          <w:rFonts w:asciiTheme="minorHAnsi" w:hAnsiTheme="minorHAnsi" w:cstheme="minorHAnsi"/>
          <w:szCs w:val="22"/>
        </w:rPr>
        <w:t>Feistauer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Heading2"/>
      </w:pPr>
      <w:r w:rsidRPr="00FA75AB">
        <w:t>Design</w:t>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w:t>
      </w:r>
      <w:r w:rsidRPr="00FA75AB">
        <w:rPr>
          <w:rFonts w:asciiTheme="minorHAnsi" w:hAnsiTheme="minorHAnsi" w:cstheme="minorHAnsi"/>
          <w:szCs w:val="22"/>
        </w:rPr>
        <w:lastRenderedPageBreak/>
        <w:t>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in which course 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Heading1"/>
      </w:pPr>
      <w:r w:rsidRPr="00FA75AB">
        <w:t>Results</w:t>
      </w:r>
    </w:p>
    <w:p w14:paraId="455A334B" w14:textId="77777777" w:rsidR="00E102C3" w:rsidRPr="00FA75AB" w:rsidRDefault="00E102C3" w:rsidP="00CC186E">
      <w:pPr>
        <w:pStyle w:val="Heading2"/>
      </w:pPr>
      <w:r w:rsidRPr="00FA75AB">
        <w:t>Response Rat</w:t>
      </w:r>
      <w:r w:rsidR="001D7F11" w:rsidRPr="00FA75AB">
        <w:t>es</w:t>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r w:rsidR="00E102C3" w:rsidRPr="00FA75AB">
        <w:rPr>
          <w:rStyle w:val="first-table-reference"/>
          <w:rFonts w:asciiTheme="minorHAnsi" w:hAnsiTheme="minorHAnsi" w:cstheme="minorHAnsi"/>
          <w:szCs w:val="22"/>
        </w:rPr>
        <w:t>Table 1</w:t>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716) = </w:t>
      </w:r>
      <w:r w:rsidR="00E102C3" w:rsidRPr="00FA75AB">
        <w:rPr>
          <w:rFonts w:asciiTheme="minorHAnsi" w:hAnsiTheme="minorHAnsi" w:cstheme="minorHAnsi"/>
          <w:szCs w:val="22"/>
        </w:rPr>
        <w:lastRenderedPageBreak/>
        <w:t>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B40BBE" w:rsidRPr="00FA75AB">
        <w:rPr>
          <w:rStyle w:val="FootnoteReference"/>
          <w:rFonts w:asciiTheme="minorHAnsi" w:hAnsiTheme="minorHAnsi" w:cstheme="minorHAnsi"/>
          <w:szCs w:val="22"/>
        </w:rPr>
        <w:footnoteReference w:id="1"/>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r w:rsidR="00B40BBE" w:rsidRPr="00FA75AB">
        <w:rPr>
          <w:rStyle w:val="FootnoteReference"/>
          <w:rFonts w:asciiTheme="minorHAnsi" w:hAnsiTheme="minorHAnsi" w:cstheme="minorHAnsi"/>
          <w:szCs w:val="22"/>
        </w:rPr>
        <w:footnoteReference w:id="2"/>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Heading2"/>
      </w:pPr>
      <w:r w:rsidRPr="00FA75AB">
        <w:t>Evaluation Ratings</w:t>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see Footnote 1).</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lastRenderedPageBreak/>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.50) received significantly 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Heading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r w:rsidRPr="00FA75AB">
        <w:rPr>
          <w:rFonts w:asciiTheme="minorHAnsi" w:hAnsiTheme="minorHAnsi" w:cstheme="minorHAnsi"/>
          <w:szCs w:val="22"/>
        </w:rPr>
        <w:t>Figure 1</w:t>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r</w:t>
      </w:r>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Levene’s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F</w:t>
      </w:r>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Heading1"/>
      </w:pPr>
      <w:r w:rsidRPr="00FA75AB">
        <w:t>Discussion</w:t>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lag behind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lastRenderedPageBreak/>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similar to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60%–80%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Heading2"/>
      </w:pPr>
      <w:r w:rsidRPr="00FA75AB">
        <w:t>Implications for Practice</w:t>
      </w:r>
    </w:p>
    <w:p w14:paraId="675955BF" w14:textId="77777777" w:rsidR="00CC1F36" w:rsidRPr="00FA75AB" w:rsidRDefault="00CC1F36" w:rsidP="00CC186E">
      <w:pPr>
        <w:pStyle w:val="Heading3"/>
        <w:rPr>
          <w:bCs/>
        </w:rPr>
      </w:pPr>
      <w:r w:rsidRPr="00FA75AB">
        <w:t xml:space="preserve">Improving SET Response </w:t>
      </w:r>
      <w:r w:rsidRPr="00CC186E">
        <w:t>Rates</w:t>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institutions would be wise to take steps to ensure </w:t>
      </w:r>
      <w:r w:rsidRPr="00FA75AB">
        <w:rPr>
          <w:rFonts w:asciiTheme="minorHAnsi" w:hAnsiTheme="minorHAnsi" w:cstheme="minorHAnsi"/>
          <w:szCs w:val="22"/>
        </w:rPr>
        <w:lastRenderedPageBreak/>
        <w:t>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r w:rsidR="00DD6423" w:rsidRPr="00FA75AB">
        <w:rPr>
          <w:rFonts w:asciiTheme="minorHAnsi" w:hAnsiTheme="minorHAnsi" w:cstheme="minorHAnsi"/>
          <w:szCs w:val="22"/>
        </w:rPr>
        <w:t>Nulty, 2008</w:t>
      </w:r>
      <w:r w:rsidR="003A71C8" w:rsidRPr="00FA75AB">
        <w:rPr>
          <w:rFonts w:asciiTheme="minorHAnsi" w:hAnsiTheme="minorHAnsi" w:cstheme="minorHAnsi"/>
          <w:szCs w:val="22"/>
        </w:rPr>
        <w:t xml:space="preserve">; see also </w:t>
      </w:r>
      <w:r w:rsidR="00DD6423" w:rsidRPr="00FA75AB">
        <w:rPr>
          <w:rFonts w:asciiTheme="minorHAnsi" w:hAnsiTheme="minorHAnsi" w:cstheme="minorHAnsi"/>
          <w:szCs w:val="22"/>
        </w:rPr>
        <w:t xml:space="preserve">Berk, 2013; </w:t>
      </w:r>
      <w:r w:rsidR="003A71C8"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3A71C8" w:rsidRPr="00FA75AB">
        <w:rPr>
          <w:rFonts w:asciiTheme="minorHAnsi" w:hAnsiTheme="minorHAnsi" w:cstheme="minorHAnsi"/>
          <w:szCs w:val="22"/>
        </w:rPr>
        <w:t>Jaquett et al., 2016)</w:t>
      </w:r>
      <w:r w:rsidRPr="00FA75AB">
        <w:rPr>
          <w:rFonts w:asciiTheme="minorHAnsi" w:hAnsiTheme="minorHAnsi" w:cstheme="minorHAnsi"/>
          <w:szCs w:val="22"/>
        </w:rPr>
        <w:t>. 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Heading3"/>
      </w:pPr>
      <w:r w:rsidRPr="00FA75AB">
        <w:t>Evaluating SET Scores</w:t>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(Uttl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 xml:space="preserve">especially if accompanied by redacted </w:t>
      </w:r>
      <w:r w:rsidRPr="00FA75AB">
        <w:rPr>
          <w:rFonts w:asciiTheme="minorHAnsi" w:hAnsiTheme="minorHAnsi" w:cstheme="minorHAnsi"/>
          <w:szCs w:val="22"/>
        </w:rPr>
        <w:lastRenderedPageBreak/>
        <w:t>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provide 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Stanny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Heading2"/>
      </w:pPr>
      <w:r w:rsidRPr="00FA75AB">
        <w:t>Conclusion</w:t>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Psychology has a long history of devising creative strategies to measure the “unmeasurable,”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Heading1"/>
      </w:pPr>
      <w:r w:rsidRPr="00FA75AB">
        <w:lastRenderedPageBreak/>
        <w:t>References</w:t>
      </w:r>
    </w:p>
    <w:p w14:paraId="6571442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r w:rsidRPr="00FA75AB">
        <w:rPr>
          <w:rFonts w:asciiTheme="minorHAnsi" w:hAnsiTheme="minorHAnsi" w:cstheme="minorHAnsi"/>
          <w:szCs w:val="22"/>
        </w:rPr>
        <w:t>Mathios</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(2006). Electronic course evaluations: Does an online delivery system influence student evaluations?</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8" w:history="1">
        <w:r w:rsidR="00B8771A" w:rsidRPr="00FA75AB">
          <w:rPr>
            <w:rStyle w:val="Hyperlink"/>
            <w:rFonts w:asciiTheme="minorHAnsi" w:hAnsiTheme="minorHAnsi" w:cstheme="minorHAnsi"/>
            <w:szCs w:val="22"/>
          </w:rPr>
          <w:t>https://doi.org/10.3200/JECE.37.1.21-37</w:t>
        </w:r>
      </w:hyperlink>
    </w:p>
    <w:p w14:paraId="4551557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a</w:t>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9"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10"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Raesly</w:t>
      </w:r>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Casner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11"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 xml:space="preserve">Dommeyer,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12"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Dommeyer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13"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Feistauer</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14"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Gilovich</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CC7D0E" w:rsidRPr="00FA75AB">
        <w:rPr>
          <w:rFonts w:asciiTheme="minorHAnsi" w:hAnsiTheme="minorHAnsi" w:cstheme="minorHAnsi"/>
          <w:szCs w:val="22"/>
        </w:rPr>
        <w:t xml:space="preserve">, </w:t>
      </w: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(Eds.). (2002).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15"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16"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17"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18"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19"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20"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21"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Streifer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22"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Reiner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K. E.</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23"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Risquez</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Online student evaluations of teaching: What are we sacrificing for the affordances of technology?</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24"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Spooren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Brockx</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Mortelmans</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25"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Stanny</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26"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ScienceOpen Research</w:t>
      </w:r>
      <w:r w:rsidRPr="00FA75AB">
        <w:rPr>
          <w:rFonts w:asciiTheme="minorHAnsi" w:hAnsiTheme="minorHAnsi" w:cstheme="minorHAnsi"/>
          <w:szCs w:val="22"/>
        </w:rPr>
        <w:t xml:space="preserve">. </w:t>
      </w:r>
      <w:hyperlink r:id="rId27"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28"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29"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Uttl</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30" w:history="1">
        <w:r w:rsidR="00EC63D6" w:rsidRPr="00FA75AB">
          <w:rPr>
            <w:rStyle w:val="Hyperlink"/>
            <w:rFonts w:asciiTheme="minorHAnsi" w:hAnsiTheme="minorHAnsi" w:cstheme="minorHAnsi"/>
            <w:szCs w:val="22"/>
          </w:rPr>
          <w:t>https://doi.org/10.1016/j.stueduc.2016.08.007</w:t>
        </w:r>
      </w:hyperlink>
    </w:p>
    <w:p w14:paraId="2B903B3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Venette</w:t>
      </w:r>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Sellnow</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31"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Sechrest</w:t>
      </w:r>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r w:rsidRPr="00FA75AB">
        <w:rPr>
          <w:rFonts w:asciiTheme="minorHAnsi" w:hAnsiTheme="minorHAnsi" w:cstheme="minorHAnsi"/>
          <w:b/>
          <w:szCs w:val="22"/>
        </w:rPr>
        <w:lastRenderedPageBreak/>
        <w:t>Table 1</w:t>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r w:rsidRPr="00FA75AB">
        <w:rPr>
          <w:rFonts w:asciiTheme="minorHAnsi" w:hAnsiTheme="minorHAnsi" w:cstheme="minorHAnsi"/>
          <w:b/>
          <w:szCs w:val="22"/>
        </w:rPr>
        <w:lastRenderedPageBreak/>
        <w:t>Figure 1</w:t>
      </w:r>
    </w:p>
    <w:p w14:paraId="1E936AC2" w14:textId="77777777" w:rsidR="00B40BBE" w:rsidRPr="00FA75AB" w:rsidRDefault="00B40BBE" w:rsidP="00B40BBE">
      <w:pPr>
        <w:ind w:firstLine="0"/>
        <w:rPr>
          <w:rFonts w:asciiTheme="minorHAnsi" w:hAnsiTheme="minorHAnsi" w:cstheme="minorHAnsi"/>
          <w:i/>
          <w:szCs w:val="22"/>
        </w:rPr>
      </w:pPr>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32">
                      <a:extLst>
                        <a:ext uri="{BEBA8EAE-BF5A-486C-A8C5-ECC9F3942E4B}">
                          <a14:imgProps xmlns:a14="http://schemas.microsoft.com/office/drawing/2010/main">
                            <a14:imgLayer r:embed="rId3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p>
    <w:sectPr w:rsidR="00E102C3" w:rsidRPr="00FA75AB">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D174" w14:textId="77777777" w:rsidR="00635F4B" w:rsidRDefault="00635F4B" w:rsidP="00E102C3">
      <w:r>
        <w:separator/>
      </w:r>
    </w:p>
    <w:p w14:paraId="72355556" w14:textId="77777777" w:rsidR="00635F4B" w:rsidRDefault="00635F4B" w:rsidP="00E102C3"/>
  </w:endnote>
  <w:endnote w:type="continuationSeparator" w:id="0">
    <w:p w14:paraId="3DEFC82B" w14:textId="77777777" w:rsidR="00635F4B" w:rsidRDefault="00635F4B" w:rsidP="00E102C3">
      <w:r>
        <w:continuationSeparator/>
      </w:r>
    </w:p>
    <w:p w14:paraId="32DEE24E" w14:textId="77777777" w:rsidR="00635F4B" w:rsidRDefault="00635F4B"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5B86" w14:textId="77777777" w:rsidR="00635F4B" w:rsidRDefault="00635F4B" w:rsidP="00E102C3">
      <w:r>
        <w:separator/>
      </w:r>
    </w:p>
    <w:p w14:paraId="6FD1EFCE" w14:textId="77777777" w:rsidR="00635F4B" w:rsidRDefault="00635F4B" w:rsidP="00E102C3"/>
  </w:footnote>
  <w:footnote w:type="continuationSeparator" w:id="0">
    <w:p w14:paraId="14C51963" w14:textId="77777777" w:rsidR="00635F4B" w:rsidRDefault="00635F4B" w:rsidP="00E102C3">
      <w:r>
        <w:continuationSeparator/>
      </w:r>
    </w:p>
    <w:p w14:paraId="686BA1F6" w14:textId="77777777" w:rsidR="00635F4B" w:rsidRDefault="00635F4B" w:rsidP="00E102C3"/>
  </w:footnote>
  <w:footnote w:id="1">
    <w:p w14:paraId="2C64CC93" w14:textId="77777777" w:rsidR="00EC63D6" w:rsidRPr="00FA75AB" w:rsidRDefault="00EC63D6">
      <w:pPr>
        <w:pStyle w:val="FootnoteText"/>
        <w:rPr>
          <w:rFonts w:asciiTheme="minorHAnsi" w:hAnsiTheme="minorHAnsi" w:cstheme="minorHAnsi"/>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 w:id="2">
    <w:p w14:paraId="3208E6D7" w14:textId="77777777" w:rsidR="00EC63D6" w:rsidRPr="006274E0" w:rsidRDefault="00EC63D6">
      <w:pPr>
        <w:pStyle w:val="FootnoteText"/>
        <w:rPr>
          <w:rFonts w:ascii="Times New Roman" w:hAnsi="Times New Roman" w:cs="Times New Roman"/>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44631D68" w:rsidR="00EC63D6" w:rsidRPr="00222A35" w:rsidRDefault="005D4500" w:rsidP="00E102C3">
        <w:pPr>
          <w:pStyle w:val="Header"/>
          <w:ind w:firstLine="0"/>
          <w:rPr>
            <w:rFonts w:cs="Calibri"/>
            <w:szCs w:val="22"/>
          </w:rPr>
        </w:pPr>
        <w:r>
          <w:rPr>
            <w:rFonts w:cs="Calibri"/>
            <w:szCs w:val="22"/>
          </w:rPr>
          <w:t xml:space="preserve">COMPARISON OF </w:t>
        </w:r>
        <w:r w:rsidR="00DC0F42" w:rsidRPr="00222A35">
          <w:rPr>
            <w:rFonts w:cs="Calibri"/>
            <w:szCs w:val="22"/>
          </w:rPr>
          <w:t>STUDENT EVALUATION</w:t>
        </w:r>
        <w:r>
          <w:rPr>
            <w:rFonts w:cs="Calibri"/>
            <w:szCs w:val="22"/>
          </w:rPr>
          <w:t>S</w:t>
        </w:r>
        <w:r w:rsidR="00DC0F42" w:rsidRPr="00222A35">
          <w:rPr>
            <w:rFonts w:cs="Calibri"/>
            <w:szCs w:val="22"/>
          </w:rPr>
          <w:t xml:space="preserve"> OF TEACHING</w:t>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yNLAwMzYzMjMxMzVQ0lEKTi0uzszPAykwrAUAMK0EliwAAAA="/>
  </w:docVars>
  <w:rsids>
    <w:rsidRoot w:val="00E102C3"/>
    <w:rsid w:val="00023F33"/>
    <w:rsid w:val="000251D5"/>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5E2C"/>
    <w:rsid w:val="006102E6"/>
    <w:rsid w:val="006110AB"/>
    <w:rsid w:val="006117B0"/>
    <w:rsid w:val="00611E10"/>
    <w:rsid w:val="00616377"/>
    <w:rsid w:val="006274E0"/>
    <w:rsid w:val="00635F4B"/>
    <w:rsid w:val="00643113"/>
    <w:rsid w:val="006632EC"/>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6ABA"/>
    <w:rsid w:val="00860780"/>
    <w:rsid w:val="00873A2C"/>
    <w:rsid w:val="00874378"/>
    <w:rsid w:val="008A49D2"/>
    <w:rsid w:val="008B549F"/>
    <w:rsid w:val="008F5999"/>
    <w:rsid w:val="00901150"/>
    <w:rsid w:val="00914AEC"/>
    <w:rsid w:val="00955FD6"/>
    <w:rsid w:val="00966505"/>
    <w:rsid w:val="00972136"/>
    <w:rsid w:val="00984E61"/>
    <w:rsid w:val="0098563F"/>
    <w:rsid w:val="009E6D26"/>
    <w:rsid w:val="009E7A57"/>
    <w:rsid w:val="00A22C7D"/>
    <w:rsid w:val="00A25CAE"/>
    <w:rsid w:val="00A36D61"/>
    <w:rsid w:val="00A376D9"/>
    <w:rsid w:val="00A66E09"/>
    <w:rsid w:val="00A80790"/>
    <w:rsid w:val="00AA4A24"/>
    <w:rsid w:val="00AA5283"/>
    <w:rsid w:val="00AB3F29"/>
    <w:rsid w:val="00AC6ADA"/>
    <w:rsid w:val="00AE2151"/>
    <w:rsid w:val="00B13488"/>
    <w:rsid w:val="00B15BD1"/>
    <w:rsid w:val="00B330BC"/>
    <w:rsid w:val="00B40BBE"/>
    <w:rsid w:val="00B42005"/>
    <w:rsid w:val="00B509D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47B69"/>
    <w:rsid w:val="00C50B51"/>
    <w:rsid w:val="00C61A70"/>
    <w:rsid w:val="00C73377"/>
    <w:rsid w:val="00C76EAD"/>
    <w:rsid w:val="00C81D35"/>
    <w:rsid w:val="00CA1D68"/>
    <w:rsid w:val="00CA25BD"/>
    <w:rsid w:val="00CB32C3"/>
    <w:rsid w:val="00CC186E"/>
    <w:rsid w:val="00CC1F36"/>
    <w:rsid w:val="00CC7D0E"/>
    <w:rsid w:val="00CE40A4"/>
    <w:rsid w:val="00D23A8D"/>
    <w:rsid w:val="00D6354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F129E3"/>
    <w:rsid w:val="00F64D47"/>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02930410001689171" TargetMode="External"/><Relationship Id="rId18" Type="http://schemas.openxmlformats.org/officeDocument/2006/relationships/hyperlink" Target="https://doi.org/10.1007/s10755-016-9368-5" TargetMode="External"/><Relationship Id="rId26" Type="http://schemas.openxmlformats.org/officeDocument/2006/relationships/hyperlink" Target="https://doi.org/10.1080/02602938.2014.956684" TargetMode="External"/><Relationship Id="rId3" Type="http://schemas.openxmlformats.org/officeDocument/2006/relationships/styles" Target="styles.xml"/><Relationship Id="rId21" Type="http://schemas.openxmlformats.org/officeDocument/2006/relationships/hyperlink" Target="https://doi.org/10.1080/02602930701293231"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0/08832320209599691" TargetMode="External"/><Relationship Id="rId17" Type="http://schemas.openxmlformats.org/officeDocument/2006/relationships/hyperlink" Target="https://doi.org/10.1037/stl0000052" TargetMode="External"/><Relationship Id="rId25" Type="http://schemas.openxmlformats.org/officeDocument/2006/relationships/hyperlink" Target="https://doi.org/10.3102/0034654313496870" TargetMode="External"/><Relationship Id="rId33"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https://doi.org/10.1080/02602938.2013.831809" TargetMode="External"/><Relationship Id="rId20" Type="http://schemas.openxmlformats.org/officeDocument/2006/relationships/hyperlink" Target="https://doi.org/10.1080/02602930902862875" TargetMode="External"/><Relationship Id="rId29" Type="http://schemas.openxmlformats.org/officeDocument/2006/relationships/hyperlink" Target="https://doi.org/10.1037/h0031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2602938.2013.860950" TargetMode="External"/><Relationship Id="rId24" Type="http://schemas.openxmlformats.org/officeDocument/2006/relationships/hyperlink" Target="https://doi.org/10.1080/02602938.2014.890695"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17/CBO9780511808098" TargetMode="External"/><Relationship Id="rId23" Type="http://schemas.openxmlformats.org/officeDocument/2006/relationships/hyperlink" Target="https://doi.org/10.1002/au.222" TargetMode="External"/><Relationship Id="rId28" Type="http://schemas.openxmlformats.org/officeDocument/2006/relationships/hyperlink" Target="https://doi.org/10.1080/02602938.2010.545869" TargetMode="External"/><Relationship Id="rId36" Type="http://schemas.openxmlformats.org/officeDocument/2006/relationships/theme" Target="theme/theme1.xml"/><Relationship Id="rId10" Type="http://schemas.openxmlformats.org/officeDocument/2006/relationships/hyperlink" Target="https://doi.org/10.1037/stl0000017" TargetMode="External"/><Relationship Id="rId19" Type="http://schemas.openxmlformats.org/officeDocument/2006/relationships/hyperlink" Target="https://doi.org/10.1080/02602931003632399" TargetMode="External"/><Relationship Id="rId31" Type="http://schemas.openxmlformats.org/officeDocument/2006/relationships/hyperlink" Target="https://doi.org/10.1080/02602930802618336" TargetMode="External"/><Relationship Id="rId4" Type="http://schemas.openxmlformats.org/officeDocument/2006/relationships/settings" Target="settings.xml"/><Relationship Id="rId9" Type="http://schemas.openxmlformats.org/officeDocument/2006/relationships/hyperlink" Target="https://doi.org/10.1037/stl0000042" TargetMode="External"/><Relationship Id="rId14" Type="http://schemas.openxmlformats.org/officeDocument/2006/relationships/hyperlink" Target="https://doi.org/10.1080/02602938.2016.1261083" TargetMode="External"/><Relationship Id="rId22" Type="http://schemas.openxmlformats.org/officeDocument/2006/relationships/hyperlink" Target="https://doi.org/10.1002/tia2.20004" TargetMode="External"/><Relationship Id="rId27" Type="http://schemas.openxmlformats.org/officeDocument/2006/relationships/hyperlink" Target="https://doi.org/10.14293/S2199-1006.1.SOR-EDU.AOFRQA.v1" TargetMode="External"/><Relationship Id="rId30" Type="http://schemas.openxmlformats.org/officeDocument/2006/relationships/hyperlink" Target="https://doi.org/10.1016/j.stueduc.2016.08.007" TargetMode="External"/><Relationship Id="rId35" Type="http://schemas.openxmlformats.org/officeDocument/2006/relationships/fontTable" Target="fontTable.xml"/><Relationship Id="rId8" Type="http://schemas.openxmlformats.org/officeDocument/2006/relationships/hyperlink" Target="https://doi.org/10.3200/JECE.37.1.2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4824</Words>
  <Characters>27501</Characters>
  <Application>Microsoft Office Word</Application>
  <DocSecurity>0</DocSecurity>
  <Lines>229</Lines>
  <Paragraphs>64</Paragraphs>
  <ScaleCrop>false</ScaleCrop>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2022-01-09T14:09:00Z</dcterms:created>
  <dcterms:modified xsi:type="dcterms:W3CDTF">2022-01-09T14:09:00Z</dcterms:modified>
</cp:coreProperties>
</file>