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31E66" w:rsidRDefault="00000000" w:rsidP="00AC6570">
      <w:pPr>
        <w:pStyle w:val="Heading1"/>
        <w:jc w:val="both"/>
      </w:pPr>
      <w:r>
        <w:t>Feasibility Study for Commercial Complex Development (UKUEM)</w:t>
      </w:r>
    </w:p>
    <w:p w:rsidR="00AC6570" w:rsidRPr="00AC6570" w:rsidRDefault="00000000" w:rsidP="00AC6570">
      <w:pPr>
        <w:jc w:val="both"/>
        <w:rPr>
          <w:sz w:val="24"/>
          <w:szCs w:val="24"/>
        </w:rPr>
      </w:pPr>
      <w:r w:rsidRPr="00AC6570">
        <w:rPr>
          <w:b/>
          <w:sz w:val="24"/>
          <w:szCs w:val="24"/>
        </w:rPr>
        <w:t>Prepared by:</w:t>
      </w:r>
      <w:r w:rsidRPr="00AC6570">
        <w:rPr>
          <w:sz w:val="24"/>
          <w:szCs w:val="24"/>
        </w:rPr>
        <w:t xml:space="preserve"> </w:t>
      </w:r>
    </w:p>
    <w:p w:rsidR="00AC6570" w:rsidRPr="00AC6570" w:rsidRDefault="00000000" w:rsidP="00AC6570">
      <w:pPr>
        <w:jc w:val="both"/>
        <w:rPr>
          <w:sz w:val="24"/>
          <w:szCs w:val="24"/>
        </w:rPr>
      </w:pPr>
      <w:r w:rsidRPr="00AC6570">
        <w:rPr>
          <w:sz w:val="24"/>
          <w:szCs w:val="24"/>
        </w:rPr>
        <w:t xml:space="preserve">Abbas,M. M, </w:t>
      </w:r>
      <w:r w:rsidR="00AC6570" w:rsidRPr="00AC6570">
        <w:rPr>
          <w:sz w:val="24"/>
          <w:szCs w:val="24"/>
        </w:rPr>
        <w:t xml:space="preserve">(CPM, </w:t>
      </w:r>
      <w:r w:rsidRPr="00AC6570">
        <w:rPr>
          <w:sz w:val="24"/>
          <w:szCs w:val="24"/>
        </w:rPr>
        <w:t>MBA</w:t>
      </w:r>
      <w:r w:rsidR="00AC6570" w:rsidRPr="00AC6570">
        <w:rPr>
          <w:sz w:val="24"/>
          <w:szCs w:val="24"/>
        </w:rPr>
        <w:t>)</w:t>
      </w:r>
    </w:p>
    <w:p w:rsidR="00D31E66" w:rsidRDefault="00000000" w:rsidP="00AC6570">
      <w:pPr>
        <w:jc w:val="both"/>
      </w:pPr>
      <w:r w:rsidRPr="00AC6570">
        <w:rPr>
          <w:b/>
          <w:sz w:val="24"/>
          <w:szCs w:val="24"/>
        </w:rPr>
        <w:t>Date:</w:t>
      </w:r>
      <w:r w:rsidRPr="00AC6570">
        <w:rPr>
          <w:sz w:val="24"/>
          <w:szCs w:val="24"/>
        </w:rPr>
        <w:t xml:space="preserve"> </w:t>
      </w:r>
      <w:r w:rsidR="00AC6570" w:rsidRPr="00AC6570">
        <w:rPr>
          <w:sz w:val="24"/>
          <w:szCs w:val="24"/>
        </w:rPr>
        <w:t>14 March, 2025</w:t>
      </w:r>
    </w:p>
    <w:p w:rsidR="00D31E66" w:rsidRPr="004748A1" w:rsidRDefault="00000000" w:rsidP="00AC6570">
      <w:pPr>
        <w:pStyle w:val="Heading2"/>
        <w:jc w:val="both"/>
        <w:rPr>
          <w:sz w:val="32"/>
          <w:szCs w:val="32"/>
        </w:rPr>
      </w:pPr>
      <w:r w:rsidRPr="004748A1">
        <w:rPr>
          <w:sz w:val="32"/>
          <w:szCs w:val="32"/>
        </w:rPr>
        <w:t>1. Executive Summary</w:t>
      </w:r>
    </w:p>
    <w:p w:rsidR="00D31E66" w:rsidRPr="00AC6570" w:rsidRDefault="00000000" w:rsidP="00AC6570">
      <w:pPr>
        <w:jc w:val="both"/>
        <w:rPr>
          <w:sz w:val="24"/>
          <w:szCs w:val="24"/>
        </w:rPr>
      </w:pPr>
      <w:r w:rsidRPr="00AC6570">
        <w:rPr>
          <w:sz w:val="24"/>
          <w:szCs w:val="24"/>
        </w:rPr>
        <w:t xml:space="preserve">This study examines the viability of developing a commercial complex that includes office spaces, residential apartments, multi-purpose halls, and a terrace with a penthouse. The project demands an initial investment of </w:t>
      </w:r>
      <w:r w:rsidRPr="00AC6570">
        <w:rPr>
          <w:b/>
          <w:sz w:val="24"/>
          <w:szCs w:val="24"/>
        </w:rPr>
        <w:t>USD 2,200,000</w:t>
      </w:r>
      <w:r w:rsidRPr="00AC6570">
        <w:rPr>
          <w:sz w:val="24"/>
          <w:szCs w:val="24"/>
        </w:rPr>
        <w:t xml:space="preserve">, incurs annual operating costs of </w:t>
      </w:r>
      <w:r w:rsidRPr="00AC6570">
        <w:rPr>
          <w:b/>
          <w:sz w:val="24"/>
          <w:szCs w:val="24"/>
        </w:rPr>
        <w:t>USD 39,000</w:t>
      </w:r>
      <w:r w:rsidRPr="00AC6570">
        <w:rPr>
          <w:sz w:val="24"/>
          <w:szCs w:val="24"/>
        </w:rPr>
        <w:t xml:space="preserve">, and is projected to generate annual revenues of </w:t>
      </w:r>
      <w:r w:rsidRPr="00AC6570">
        <w:rPr>
          <w:b/>
          <w:sz w:val="24"/>
          <w:szCs w:val="24"/>
        </w:rPr>
        <w:t>USD 112,800</w:t>
      </w:r>
      <w:r w:rsidRPr="00AC6570">
        <w:rPr>
          <w:sz w:val="24"/>
          <w:szCs w:val="24"/>
        </w:rPr>
        <w:t xml:space="preserve">. This results in a net annual cash flow of approximately </w:t>
      </w:r>
      <w:r w:rsidRPr="00AC6570">
        <w:rPr>
          <w:b/>
          <w:sz w:val="24"/>
          <w:szCs w:val="24"/>
        </w:rPr>
        <w:t>USD 73,800</w:t>
      </w:r>
      <w:r w:rsidRPr="00AC6570">
        <w:rPr>
          <w:sz w:val="24"/>
          <w:szCs w:val="24"/>
        </w:rPr>
        <w:t>.</w:t>
      </w:r>
    </w:p>
    <w:p w:rsidR="00D31E66" w:rsidRPr="00AC6570" w:rsidRDefault="00000000" w:rsidP="00AC6570">
      <w:pPr>
        <w:jc w:val="both"/>
        <w:rPr>
          <w:sz w:val="24"/>
          <w:szCs w:val="24"/>
        </w:rPr>
      </w:pPr>
      <w:r w:rsidRPr="00AC6570">
        <w:rPr>
          <w:b/>
          <w:sz w:val="24"/>
          <w:szCs w:val="24"/>
        </w:rPr>
        <w:t>Key Findings:</w:t>
      </w:r>
    </w:p>
    <w:p w:rsidR="00D31E66" w:rsidRPr="00AC6570" w:rsidRDefault="00000000" w:rsidP="00AC6570">
      <w:pPr>
        <w:numPr>
          <w:ilvl w:val="0"/>
          <w:numId w:val="1"/>
        </w:numPr>
        <w:jc w:val="both"/>
        <w:rPr>
          <w:sz w:val="24"/>
          <w:szCs w:val="24"/>
        </w:rPr>
      </w:pPr>
      <w:r w:rsidRPr="00AC6570">
        <w:rPr>
          <w:b/>
          <w:sz w:val="24"/>
          <w:szCs w:val="24"/>
        </w:rPr>
        <w:t>Investment Cost:</w:t>
      </w:r>
      <w:r w:rsidRPr="00AC6570">
        <w:rPr>
          <w:sz w:val="24"/>
          <w:szCs w:val="24"/>
        </w:rPr>
        <w:t xml:space="preserve"> USD 2,200,000</w:t>
      </w:r>
    </w:p>
    <w:p w:rsidR="00D31E66" w:rsidRPr="00AC6570" w:rsidRDefault="00000000" w:rsidP="00AC6570">
      <w:pPr>
        <w:numPr>
          <w:ilvl w:val="0"/>
          <w:numId w:val="1"/>
        </w:numPr>
        <w:jc w:val="both"/>
        <w:rPr>
          <w:sz w:val="24"/>
          <w:szCs w:val="24"/>
        </w:rPr>
      </w:pPr>
      <w:r w:rsidRPr="00AC6570">
        <w:rPr>
          <w:b/>
          <w:sz w:val="24"/>
          <w:szCs w:val="24"/>
        </w:rPr>
        <w:t>Annual Revenue:</w:t>
      </w:r>
      <w:r w:rsidRPr="00AC6570">
        <w:rPr>
          <w:sz w:val="24"/>
          <w:szCs w:val="24"/>
        </w:rPr>
        <w:t xml:space="preserve"> USD 112,800</w:t>
      </w:r>
    </w:p>
    <w:p w:rsidR="00D31E66" w:rsidRPr="00AC6570" w:rsidRDefault="00000000" w:rsidP="00AC6570">
      <w:pPr>
        <w:numPr>
          <w:ilvl w:val="0"/>
          <w:numId w:val="1"/>
        </w:numPr>
        <w:jc w:val="both"/>
        <w:rPr>
          <w:sz w:val="24"/>
          <w:szCs w:val="24"/>
        </w:rPr>
      </w:pPr>
      <w:r w:rsidRPr="00AC6570">
        <w:rPr>
          <w:b/>
          <w:sz w:val="24"/>
          <w:szCs w:val="24"/>
        </w:rPr>
        <w:t>Annual Running Costs:</w:t>
      </w:r>
      <w:r w:rsidRPr="00AC6570">
        <w:rPr>
          <w:sz w:val="24"/>
          <w:szCs w:val="24"/>
        </w:rPr>
        <w:t xml:space="preserve"> USD 39,000</w:t>
      </w:r>
    </w:p>
    <w:p w:rsidR="00D31E66" w:rsidRPr="00AC6570" w:rsidRDefault="00000000" w:rsidP="00AC6570">
      <w:pPr>
        <w:numPr>
          <w:ilvl w:val="0"/>
          <w:numId w:val="1"/>
        </w:numPr>
        <w:jc w:val="both"/>
        <w:rPr>
          <w:sz w:val="24"/>
          <w:szCs w:val="24"/>
        </w:rPr>
      </w:pPr>
      <w:r w:rsidRPr="00AC6570">
        <w:rPr>
          <w:b/>
          <w:sz w:val="24"/>
          <w:szCs w:val="24"/>
        </w:rPr>
        <w:t>Net Profit:</w:t>
      </w:r>
      <w:r w:rsidRPr="00AC6570">
        <w:rPr>
          <w:sz w:val="24"/>
          <w:szCs w:val="24"/>
        </w:rPr>
        <w:t xml:space="preserve"> USD 73,800 per year</w:t>
      </w:r>
    </w:p>
    <w:p w:rsidR="00D31E66" w:rsidRPr="00AC6570" w:rsidRDefault="00000000" w:rsidP="00AC6570">
      <w:pPr>
        <w:numPr>
          <w:ilvl w:val="0"/>
          <w:numId w:val="1"/>
        </w:numPr>
        <w:jc w:val="both"/>
        <w:rPr>
          <w:sz w:val="24"/>
          <w:szCs w:val="24"/>
        </w:rPr>
      </w:pPr>
      <w:r w:rsidRPr="00AC6570">
        <w:rPr>
          <w:b/>
          <w:sz w:val="24"/>
          <w:szCs w:val="24"/>
        </w:rPr>
        <w:t>Return on Investment (ROI):</w:t>
      </w:r>
      <w:r w:rsidRPr="00AC6570">
        <w:rPr>
          <w:sz w:val="24"/>
          <w:szCs w:val="24"/>
        </w:rPr>
        <w:t xml:space="preserve"> Approximately 3.35% per year</w:t>
      </w:r>
    </w:p>
    <w:p w:rsidR="00D31E66" w:rsidRPr="00AC6570" w:rsidRDefault="00000000" w:rsidP="00AC6570">
      <w:pPr>
        <w:numPr>
          <w:ilvl w:val="0"/>
          <w:numId w:val="1"/>
        </w:numPr>
        <w:jc w:val="both"/>
        <w:rPr>
          <w:sz w:val="24"/>
          <w:szCs w:val="24"/>
        </w:rPr>
      </w:pPr>
      <w:r w:rsidRPr="00AC6570">
        <w:rPr>
          <w:b/>
          <w:sz w:val="24"/>
          <w:szCs w:val="24"/>
        </w:rPr>
        <w:t>Payback Period:</w:t>
      </w:r>
      <w:r w:rsidRPr="00AC6570">
        <w:rPr>
          <w:sz w:val="24"/>
          <w:szCs w:val="24"/>
        </w:rPr>
        <w:t xml:space="preserve"> Approximately 30 years (reducing to 21.62 years with a 3% annual revenue growth)</w:t>
      </w:r>
    </w:p>
    <w:p w:rsidR="00D31E66" w:rsidRPr="00AC6570" w:rsidRDefault="00000000" w:rsidP="00AC6570">
      <w:pPr>
        <w:jc w:val="both"/>
        <w:rPr>
          <w:sz w:val="24"/>
          <w:szCs w:val="24"/>
        </w:rPr>
      </w:pPr>
      <w:r w:rsidRPr="00AC6570">
        <w:rPr>
          <w:sz w:val="24"/>
          <w:szCs w:val="24"/>
        </w:rPr>
        <w:t>While the positive aspects indicate a healthy net cash flow and potential community benefits, critical concerns—namely, the low ROI and extended payback period—must be addressed to attract traditional investors.</w:t>
      </w:r>
    </w:p>
    <w:p w:rsidR="00D31E66" w:rsidRPr="004748A1" w:rsidRDefault="00000000" w:rsidP="00AC6570">
      <w:pPr>
        <w:pStyle w:val="Heading2"/>
        <w:jc w:val="both"/>
        <w:rPr>
          <w:sz w:val="32"/>
          <w:szCs w:val="32"/>
        </w:rPr>
      </w:pPr>
      <w:r w:rsidRPr="004748A1">
        <w:rPr>
          <w:sz w:val="32"/>
          <w:szCs w:val="32"/>
        </w:rPr>
        <w:t>2. Introduction</w:t>
      </w:r>
    </w:p>
    <w:p w:rsidR="00D31E66" w:rsidRPr="00AC6570" w:rsidRDefault="00000000" w:rsidP="00AC6570">
      <w:pPr>
        <w:jc w:val="both"/>
        <w:rPr>
          <w:sz w:val="24"/>
          <w:szCs w:val="24"/>
        </w:rPr>
      </w:pPr>
      <w:r w:rsidRPr="00AC6570">
        <w:rPr>
          <w:sz w:val="24"/>
          <w:szCs w:val="24"/>
        </w:rPr>
        <w:t>This study is undertaken to assess the overall viability of constructing a commercial complex that meets the evolving needs of UKUEM. Designed to serve a diverse tenant base—including businesses, retail operators, and residential occupants—the project is also envisioned to contribute to local economic development and infrastructure improvement. This document presents both promising financial projections and critical challenges to offer a balanced evaluation of the project’s potential and risks.</w:t>
      </w:r>
    </w:p>
    <w:p w:rsidR="00D31E66" w:rsidRPr="004748A1" w:rsidRDefault="00000000" w:rsidP="00AC6570">
      <w:pPr>
        <w:pStyle w:val="Heading2"/>
        <w:jc w:val="both"/>
        <w:rPr>
          <w:sz w:val="32"/>
          <w:szCs w:val="32"/>
        </w:rPr>
      </w:pPr>
      <w:r w:rsidRPr="004748A1">
        <w:rPr>
          <w:sz w:val="32"/>
          <w:szCs w:val="32"/>
        </w:rPr>
        <w:t>3. Objectives</w:t>
      </w:r>
    </w:p>
    <w:p w:rsidR="00D31E66" w:rsidRPr="00AC6570" w:rsidRDefault="00000000" w:rsidP="00AC6570">
      <w:pPr>
        <w:jc w:val="both"/>
        <w:rPr>
          <w:sz w:val="24"/>
          <w:szCs w:val="24"/>
        </w:rPr>
      </w:pPr>
      <w:r w:rsidRPr="00AC6570">
        <w:rPr>
          <w:sz w:val="24"/>
          <w:szCs w:val="24"/>
        </w:rPr>
        <w:t>The primary objectives of this study are to:</w:t>
      </w:r>
    </w:p>
    <w:p w:rsidR="00D31E66" w:rsidRPr="00AC6570" w:rsidRDefault="00000000" w:rsidP="00AC6570">
      <w:pPr>
        <w:numPr>
          <w:ilvl w:val="0"/>
          <w:numId w:val="2"/>
        </w:numPr>
        <w:jc w:val="both"/>
        <w:rPr>
          <w:sz w:val="24"/>
          <w:szCs w:val="24"/>
        </w:rPr>
      </w:pPr>
      <w:r w:rsidRPr="00AC6570">
        <w:rPr>
          <w:b/>
          <w:sz w:val="24"/>
          <w:szCs w:val="24"/>
        </w:rPr>
        <w:t>Assess Market Demand:</w:t>
      </w:r>
      <w:r w:rsidRPr="00AC6570">
        <w:rPr>
          <w:sz w:val="24"/>
          <w:szCs w:val="24"/>
        </w:rPr>
        <w:t xml:space="preserve"> Evaluate current market conditions and competitive dynamics for high-quality commercial and residential facilities.</w:t>
      </w:r>
    </w:p>
    <w:p w:rsidR="00D31E66" w:rsidRPr="00AC6570" w:rsidRDefault="00000000" w:rsidP="00AC6570">
      <w:pPr>
        <w:numPr>
          <w:ilvl w:val="0"/>
          <w:numId w:val="2"/>
        </w:numPr>
        <w:jc w:val="both"/>
        <w:rPr>
          <w:sz w:val="24"/>
          <w:szCs w:val="24"/>
        </w:rPr>
      </w:pPr>
      <w:r w:rsidRPr="00AC6570">
        <w:rPr>
          <w:b/>
          <w:sz w:val="24"/>
          <w:szCs w:val="24"/>
        </w:rPr>
        <w:t>Analyze Technical &amp; Regulatory Requirements:</w:t>
      </w:r>
      <w:r w:rsidRPr="00AC6570">
        <w:rPr>
          <w:sz w:val="24"/>
          <w:szCs w:val="24"/>
        </w:rPr>
        <w:t xml:space="preserve"> Examine the suitability of the proposed site, design considerations, and compliance with local codes and environmental standards.</w:t>
      </w:r>
    </w:p>
    <w:p w:rsidR="00D31E66" w:rsidRPr="00AC6570" w:rsidRDefault="00000000" w:rsidP="00AC6570">
      <w:pPr>
        <w:numPr>
          <w:ilvl w:val="0"/>
          <w:numId w:val="2"/>
        </w:numPr>
        <w:jc w:val="both"/>
        <w:rPr>
          <w:sz w:val="24"/>
          <w:szCs w:val="24"/>
        </w:rPr>
      </w:pPr>
      <w:r w:rsidRPr="00AC6570">
        <w:rPr>
          <w:b/>
          <w:sz w:val="24"/>
          <w:szCs w:val="24"/>
        </w:rPr>
        <w:t>Evaluate Financial Viability:</w:t>
      </w:r>
      <w:r w:rsidRPr="00AC6570">
        <w:rPr>
          <w:sz w:val="24"/>
          <w:szCs w:val="24"/>
        </w:rPr>
        <w:t xml:space="preserve"> Detail investment costs, operating expenses, revenue projections, and compute key </w:t>
      </w:r>
      <w:r w:rsidRPr="00AC6570">
        <w:rPr>
          <w:sz w:val="24"/>
          <w:szCs w:val="24"/>
        </w:rPr>
        <w:lastRenderedPageBreak/>
        <w:t>financial metrics such as ROI and payback period.</w:t>
      </w:r>
    </w:p>
    <w:p w:rsidR="00D31E66" w:rsidRPr="00AC6570" w:rsidRDefault="00000000" w:rsidP="00AC6570">
      <w:pPr>
        <w:numPr>
          <w:ilvl w:val="0"/>
          <w:numId w:val="2"/>
        </w:numPr>
        <w:jc w:val="both"/>
        <w:rPr>
          <w:sz w:val="24"/>
          <w:szCs w:val="24"/>
        </w:rPr>
      </w:pPr>
      <w:r w:rsidRPr="00AC6570">
        <w:rPr>
          <w:b/>
          <w:sz w:val="24"/>
          <w:szCs w:val="24"/>
        </w:rPr>
        <w:t>Identify Risks &amp; Mitigation Strategies:</w:t>
      </w:r>
      <w:r w:rsidRPr="00AC6570">
        <w:rPr>
          <w:sz w:val="24"/>
          <w:szCs w:val="24"/>
        </w:rPr>
        <w:t xml:space="preserve"> Pinpoint potential market, construction, and operational risks and propose measures to address them.</w:t>
      </w:r>
    </w:p>
    <w:p w:rsidR="00D31E66" w:rsidRPr="00AC6570" w:rsidRDefault="00000000" w:rsidP="00AC6570">
      <w:pPr>
        <w:numPr>
          <w:ilvl w:val="0"/>
          <w:numId w:val="2"/>
        </w:numPr>
        <w:jc w:val="both"/>
        <w:rPr>
          <w:sz w:val="24"/>
          <w:szCs w:val="24"/>
        </w:rPr>
      </w:pPr>
      <w:r w:rsidRPr="00AC6570">
        <w:rPr>
          <w:b/>
          <w:sz w:val="24"/>
          <w:szCs w:val="24"/>
        </w:rPr>
        <w:t>Examine Social &amp; Environmental Impact:</w:t>
      </w:r>
      <w:r w:rsidRPr="00AC6570">
        <w:rPr>
          <w:sz w:val="24"/>
          <w:szCs w:val="24"/>
        </w:rPr>
        <w:t xml:space="preserve"> Assess the project’s potential to foster community development, local job creation, and adherence to sustainable practices.</w:t>
      </w:r>
    </w:p>
    <w:p w:rsidR="00D31E66" w:rsidRPr="004748A1" w:rsidRDefault="00000000" w:rsidP="00AC6570">
      <w:pPr>
        <w:pStyle w:val="Heading2"/>
        <w:jc w:val="both"/>
        <w:rPr>
          <w:sz w:val="32"/>
          <w:szCs w:val="32"/>
        </w:rPr>
      </w:pPr>
      <w:r w:rsidRPr="004748A1">
        <w:rPr>
          <w:sz w:val="32"/>
          <w:szCs w:val="32"/>
        </w:rPr>
        <w:t>4. Methodology</w:t>
      </w:r>
    </w:p>
    <w:p w:rsidR="00D31E66" w:rsidRPr="00AC6570" w:rsidRDefault="00000000" w:rsidP="00AC6570">
      <w:pPr>
        <w:jc w:val="both"/>
        <w:rPr>
          <w:sz w:val="24"/>
          <w:szCs w:val="24"/>
        </w:rPr>
      </w:pPr>
      <w:r w:rsidRPr="00AC6570">
        <w:rPr>
          <w:sz w:val="24"/>
          <w:szCs w:val="24"/>
        </w:rPr>
        <w:t>Data for this study were collected using a systematic, multi-dimensional approach. A revised questionnaire was distributed to key stakeholders—including civil engineers, real estate professionals, airport staff, UKUEM members and management, local residents, and tax advisors. In-depth focus group discussions and one-on-one interviews provided both quantitative and qualitative insights. This comprehensive methodology ensures that the analysis incorporates industry standards, local realities, and expert opinions, forming the foundation for the market analysis, technical evaluation, and financial modeling presented herein.</w:t>
      </w:r>
    </w:p>
    <w:p w:rsidR="00D31E66" w:rsidRPr="004748A1" w:rsidRDefault="00000000" w:rsidP="00AC6570">
      <w:pPr>
        <w:pStyle w:val="Heading2"/>
        <w:jc w:val="both"/>
        <w:rPr>
          <w:sz w:val="32"/>
          <w:szCs w:val="32"/>
        </w:rPr>
      </w:pPr>
      <w:r w:rsidRPr="004748A1">
        <w:rPr>
          <w:sz w:val="32"/>
          <w:szCs w:val="32"/>
        </w:rPr>
        <w:t>5. Social &amp; Environmental Feasibility</w:t>
      </w:r>
    </w:p>
    <w:p w:rsidR="00D31E66" w:rsidRPr="00AC6570" w:rsidRDefault="00000000" w:rsidP="00AC6570">
      <w:pPr>
        <w:jc w:val="both"/>
        <w:rPr>
          <w:sz w:val="24"/>
          <w:szCs w:val="24"/>
        </w:rPr>
      </w:pPr>
      <w:r w:rsidRPr="00AC6570">
        <w:rPr>
          <w:sz w:val="24"/>
          <w:szCs w:val="24"/>
        </w:rPr>
        <w:t xml:space="preserve">Beyond the financial metrics, this document evaluates the broader social and environmental impact of the project. Economically, the development is expected to generate local employment and stimulate nearby businesses, contributing to regional growth. Socially, the mixed-use design is </w:t>
      </w:r>
      <w:r w:rsidRPr="00AC6570">
        <w:rPr>
          <w:sz w:val="24"/>
          <w:szCs w:val="24"/>
        </w:rPr>
        <w:t>intended to foster community interaction and support local entrepreneurship. Environmentally, sustainable building practices—including the use of green materials and energy-efficient systems—are integrated into the design to minimize ecological impact. Specific measures, such as soundproofing and strategic landscape planning, are also implemented to reduce environmental disturbances.</w:t>
      </w:r>
    </w:p>
    <w:p w:rsidR="00D31E66" w:rsidRPr="004748A1" w:rsidRDefault="00000000" w:rsidP="00AC6570">
      <w:pPr>
        <w:pStyle w:val="Heading2"/>
        <w:jc w:val="both"/>
        <w:rPr>
          <w:sz w:val="32"/>
          <w:szCs w:val="32"/>
        </w:rPr>
      </w:pPr>
      <w:r w:rsidRPr="004748A1">
        <w:rPr>
          <w:sz w:val="32"/>
          <w:szCs w:val="32"/>
        </w:rPr>
        <w:t>6. Market Analysis</w:t>
      </w:r>
    </w:p>
    <w:p w:rsidR="00D31E66" w:rsidRPr="00AC6570" w:rsidRDefault="00000000" w:rsidP="00AC6570">
      <w:pPr>
        <w:jc w:val="both"/>
        <w:rPr>
          <w:sz w:val="24"/>
          <w:szCs w:val="24"/>
        </w:rPr>
      </w:pPr>
      <w:r w:rsidRPr="00AC6570">
        <w:rPr>
          <w:sz w:val="24"/>
          <w:szCs w:val="24"/>
        </w:rPr>
        <w:t>The market analysis examines the demand for a modern commercial complex within a region marked by steady economic growth and a shortage of high-quality facilities. The target market includes business tenants in need of flexible office spaces, retail operators requiring quality outlets, and middle-income professionals seeking comfortable apartments. Benchmarking against comparable local developments shows that the strategic location, contemporary design, and diverse range of facilities position the project to capture a varied tenant base—an essential factor in mitigating market risks and ensuring sustained occupancy rates.</w:t>
      </w:r>
    </w:p>
    <w:p w:rsidR="00D31E66" w:rsidRPr="004748A1" w:rsidRDefault="00000000" w:rsidP="00AC6570">
      <w:pPr>
        <w:pStyle w:val="Heading2"/>
        <w:jc w:val="both"/>
        <w:rPr>
          <w:sz w:val="32"/>
          <w:szCs w:val="32"/>
        </w:rPr>
      </w:pPr>
      <w:r w:rsidRPr="004748A1">
        <w:rPr>
          <w:sz w:val="32"/>
          <w:szCs w:val="32"/>
        </w:rPr>
        <w:t>7. Technical Feasibility</w:t>
      </w:r>
    </w:p>
    <w:p w:rsidR="00D31E66" w:rsidRPr="00AC6570" w:rsidRDefault="00000000" w:rsidP="00AC6570">
      <w:pPr>
        <w:jc w:val="both"/>
        <w:rPr>
          <w:sz w:val="24"/>
          <w:szCs w:val="24"/>
        </w:rPr>
      </w:pPr>
      <w:r w:rsidRPr="00AC6570">
        <w:rPr>
          <w:sz w:val="24"/>
          <w:szCs w:val="24"/>
        </w:rPr>
        <w:t>The technical feasibility of the project is anchored in its strategic site selection and state-of-the-art design. The chosen site offers excellent accessibility, is proximate to key commercial and residential areas, and provides ample space for potential future expansion.</w:t>
      </w:r>
    </w:p>
    <w:p w:rsidR="00D31E66" w:rsidRPr="00AC6570" w:rsidRDefault="00000000" w:rsidP="00AC6570">
      <w:pPr>
        <w:jc w:val="both"/>
        <w:rPr>
          <w:sz w:val="24"/>
          <w:szCs w:val="24"/>
        </w:rPr>
      </w:pPr>
      <w:r w:rsidRPr="00AC6570">
        <w:rPr>
          <w:sz w:val="24"/>
          <w:szCs w:val="24"/>
        </w:rPr>
        <w:t>The development is structured as a multi-floor building:</w:t>
      </w:r>
    </w:p>
    <w:p w:rsidR="00D31E66" w:rsidRPr="00AC6570" w:rsidRDefault="00000000" w:rsidP="00AC6570">
      <w:pPr>
        <w:numPr>
          <w:ilvl w:val="0"/>
          <w:numId w:val="3"/>
        </w:numPr>
        <w:jc w:val="both"/>
        <w:rPr>
          <w:sz w:val="24"/>
          <w:szCs w:val="24"/>
        </w:rPr>
      </w:pPr>
      <w:r w:rsidRPr="00AC6570">
        <w:rPr>
          <w:b/>
          <w:sz w:val="24"/>
          <w:szCs w:val="24"/>
        </w:rPr>
        <w:lastRenderedPageBreak/>
        <w:t>Floors 1 &amp; 2:</w:t>
      </w:r>
      <w:r w:rsidRPr="00AC6570">
        <w:rPr>
          <w:sz w:val="24"/>
          <w:szCs w:val="24"/>
        </w:rPr>
        <w:t xml:space="preserve"> Flexible office spaces tailored for SMEs and professional services.</w:t>
      </w:r>
    </w:p>
    <w:p w:rsidR="00D31E66" w:rsidRPr="00AC6570" w:rsidRDefault="00000000" w:rsidP="00AC6570">
      <w:pPr>
        <w:numPr>
          <w:ilvl w:val="0"/>
          <w:numId w:val="3"/>
        </w:numPr>
        <w:jc w:val="both"/>
        <w:rPr>
          <w:sz w:val="24"/>
          <w:szCs w:val="24"/>
        </w:rPr>
      </w:pPr>
      <w:r w:rsidRPr="00AC6570">
        <w:rPr>
          <w:b/>
          <w:sz w:val="24"/>
          <w:szCs w:val="24"/>
        </w:rPr>
        <w:t>Floors 3 &amp; 4:</w:t>
      </w:r>
      <w:r w:rsidRPr="00AC6570">
        <w:rPr>
          <w:sz w:val="24"/>
          <w:szCs w:val="24"/>
        </w:rPr>
        <w:t xml:space="preserve"> Residential apartments emphasizing comfort and efficiency.</w:t>
      </w:r>
    </w:p>
    <w:p w:rsidR="00D31E66" w:rsidRPr="00AC6570" w:rsidRDefault="00000000" w:rsidP="00AC6570">
      <w:pPr>
        <w:numPr>
          <w:ilvl w:val="0"/>
          <w:numId w:val="3"/>
        </w:numPr>
        <w:jc w:val="both"/>
        <w:rPr>
          <w:sz w:val="24"/>
          <w:szCs w:val="24"/>
        </w:rPr>
      </w:pPr>
      <w:r w:rsidRPr="00AC6570">
        <w:rPr>
          <w:b/>
          <w:sz w:val="24"/>
          <w:szCs w:val="24"/>
        </w:rPr>
        <w:t>Floor 5:</w:t>
      </w:r>
      <w:r w:rsidRPr="00AC6570">
        <w:rPr>
          <w:sz w:val="24"/>
          <w:szCs w:val="24"/>
        </w:rPr>
        <w:t xml:space="preserve"> Multi-purpose halls suitable for a variety of events and business functions.</w:t>
      </w:r>
    </w:p>
    <w:p w:rsidR="00D31E66" w:rsidRPr="00AC6570" w:rsidRDefault="00000000" w:rsidP="00AC6570">
      <w:pPr>
        <w:numPr>
          <w:ilvl w:val="0"/>
          <w:numId w:val="3"/>
        </w:numPr>
        <w:jc w:val="both"/>
        <w:rPr>
          <w:sz w:val="24"/>
          <w:szCs w:val="24"/>
        </w:rPr>
      </w:pPr>
      <w:r w:rsidRPr="00AC6570">
        <w:rPr>
          <w:b/>
          <w:sz w:val="24"/>
          <w:szCs w:val="24"/>
        </w:rPr>
        <w:t>Floor 6:</w:t>
      </w:r>
      <w:r w:rsidRPr="00AC6570">
        <w:rPr>
          <w:sz w:val="24"/>
          <w:szCs w:val="24"/>
        </w:rPr>
        <w:t xml:space="preserve"> A terrace area that includes a premium penthouse.</w:t>
      </w:r>
    </w:p>
    <w:p w:rsidR="00D31E66" w:rsidRPr="00AC6570" w:rsidRDefault="00000000" w:rsidP="00AC6570">
      <w:pPr>
        <w:jc w:val="both"/>
        <w:rPr>
          <w:sz w:val="24"/>
          <w:szCs w:val="24"/>
        </w:rPr>
      </w:pPr>
      <w:r w:rsidRPr="00AC6570">
        <w:rPr>
          <w:sz w:val="24"/>
          <w:szCs w:val="24"/>
        </w:rPr>
        <w:t>The design integrates essential amenities such as underground parking, advanced security systems, and robust soundproofing measures. It complies with local building codes, zoning regulations, and environmental standards, while also incorporating sustainable building practices to minimize ecological impact.</w:t>
      </w:r>
    </w:p>
    <w:p w:rsidR="00D31E66" w:rsidRPr="004748A1" w:rsidRDefault="00000000" w:rsidP="00AC6570">
      <w:pPr>
        <w:pStyle w:val="Heading2"/>
        <w:jc w:val="both"/>
        <w:rPr>
          <w:sz w:val="32"/>
          <w:szCs w:val="32"/>
        </w:rPr>
      </w:pPr>
      <w:r w:rsidRPr="004748A1">
        <w:rPr>
          <w:sz w:val="32"/>
          <w:szCs w:val="32"/>
        </w:rPr>
        <w:t>8. Financial Feasibility</w:t>
      </w:r>
    </w:p>
    <w:p w:rsidR="00D31E66" w:rsidRDefault="004748A1" w:rsidP="00AC6570">
      <w:pPr>
        <w:pStyle w:val="Heading3"/>
        <w:jc w:val="both"/>
      </w:pPr>
      <w:r>
        <w:t>Table 1</w:t>
      </w:r>
      <w:r w:rsidR="007F4F9F">
        <w:t xml:space="preserve">: </w:t>
      </w:r>
      <w:r w:rsidR="00000000">
        <w:t>Investment</w:t>
      </w:r>
      <w:r w:rsidR="007F4F9F">
        <w:t xml:space="preserve"> Costs</w:t>
      </w:r>
    </w:p>
    <w:tbl>
      <w:tblPr>
        <w:tblStyle w:val="GridTable5Dark-Accent1"/>
        <w:tblW w:w="0" w:type="auto"/>
        <w:tblLook w:val="0460" w:firstRow="1" w:lastRow="1" w:firstColumn="0" w:lastColumn="0" w:noHBand="0" w:noVBand="1"/>
      </w:tblPr>
      <w:tblGrid>
        <w:gridCol w:w="2593"/>
        <w:gridCol w:w="1583"/>
      </w:tblGrid>
      <w:tr w:rsidR="00D31E66" w:rsidRPr="00AC6570" w:rsidTr="007F4F9F">
        <w:trPr>
          <w:cnfStyle w:val="100000000000" w:firstRow="1" w:lastRow="0" w:firstColumn="0" w:lastColumn="0" w:oddVBand="0" w:evenVBand="0" w:oddHBand="0" w:evenHBand="0" w:firstRowFirstColumn="0" w:firstRowLastColumn="0" w:lastRowFirstColumn="0" w:lastRowLastColumn="0"/>
        </w:trPr>
        <w:tc>
          <w:tcPr>
            <w:tcW w:w="0" w:type="auto"/>
          </w:tcPr>
          <w:p w:rsidR="00D31E66" w:rsidRPr="00AC6570" w:rsidRDefault="00000000" w:rsidP="00AC6570">
            <w:pPr>
              <w:jc w:val="both"/>
              <w:rPr>
                <w:sz w:val="24"/>
                <w:szCs w:val="24"/>
              </w:rPr>
            </w:pPr>
            <w:r w:rsidRPr="00AC6570">
              <w:rPr>
                <w:sz w:val="24"/>
                <w:szCs w:val="24"/>
              </w:rPr>
              <w:t>Cost Component</w:t>
            </w:r>
          </w:p>
        </w:tc>
        <w:tc>
          <w:tcPr>
            <w:tcW w:w="0" w:type="auto"/>
          </w:tcPr>
          <w:p w:rsidR="00D31E66" w:rsidRPr="00AC6570" w:rsidRDefault="00000000" w:rsidP="00AC6570">
            <w:pPr>
              <w:jc w:val="both"/>
              <w:rPr>
                <w:sz w:val="24"/>
                <w:szCs w:val="24"/>
              </w:rPr>
            </w:pPr>
            <w:r w:rsidRPr="00AC6570">
              <w:rPr>
                <w:sz w:val="24"/>
                <w:szCs w:val="24"/>
              </w:rPr>
              <w:t>Amount (USD)</w:t>
            </w:r>
          </w:p>
        </w:tc>
      </w:tr>
      <w:tr w:rsidR="00D31E66" w:rsidRPr="00AC6570" w:rsidTr="00DD70C8">
        <w:trPr>
          <w:cnfStyle w:val="000000100000" w:firstRow="0" w:lastRow="0" w:firstColumn="0" w:lastColumn="0" w:oddVBand="0" w:evenVBand="0" w:oddHBand="1" w:evenHBand="0" w:firstRowFirstColumn="0" w:firstRowLastColumn="0" w:lastRowFirstColumn="0" w:lastRowLastColumn="0"/>
        </w:trPr>
        <w:tc>
          <w:tcPr>
            <w:tcW w:w="0" w:type="auto"/>
          </w:tcPr>
          <w:p w:rsidR="00D31E66" w:rsidRPr="00AC6570" w:rsidRDefault="00000000" w:rsidP="00AC6570">
            <w:pPr>
              <w:jc w:val="both"/>
              <w:rPr>
                <w:sz w:val="24"/>
                <w:szCs w:val="24"/>
              </w:rPr>
            </w:pPr>
            <w:r w:rsidRPr="00AC6570">
              <w:rPr>
                <w:sz w:val="24"/>
                <w:szCs w:val="24"/>
              </w:rPr>
              <w:t>Construction &amp; Development</w:t>
            </w:r>
          </w:p>
        </w:tc>
        <w:tc>
          <w:tcPr>
            <w:tcW w:w="0" w:type="auto"/>
            <w:vAlign w:val="center"/>
          </w:tcPr>
          <w:p w:rsidR="00D31E66" w:rsidRPr="00AC6570" w:rsidRDefault="00000000" w:rsidP="00DD70C8">
            <w:pPr>
              <w:jc w:val="right"/>
              <w:rPr>
                <w:sz w:val="24"/>
                <w:szCs w:val="24"/>
              </w:rPr>
            </w:pPr>
            <w:r w:rsidRPr="00AC6570">
              <w:rPr>
                <w:sz w:val="24"/>
                <w:szCs w:val="24"/>
              </w:rPr>
              <w:t>1,500,000</w:t>
            </w:r>
          </w:p>
        </w:tc>
      </w:tr>
      <w:tr w:rsidR="00D31E66" w:rsidRPr="00AC6570" w:rsidTr="00DD70C8">
        <w:tc>
          <w:tcPr>
            <w:tcW w:w="0" w:type="auto"/>
          </w:tcPr>
          <w:p w:rsidR="00D31E66" w:rsidRPr="00AC6570" w:rsidRDefault="00000000" w:rsidP="00AC6570">
            <w:pPr>
              <w:jc w:val="both"/>
              <w:rPr>
                <w:sz w:val="24"/>
                <w:szCs w:val="24"/>
              </w:rPr>
            </w:pPr>
            <w:r w:rsidRPr="00AC6570">
              <w:rPr>
                <w:sz w:val="24"/>
                <w:szCs w:val="24"/>
              </w:rPr>
              <w:t>Interior &amp; Furniture</w:t>
            </w:r>
          </w:p>
        </w:tc>
        <w:tc>
          <w:tcPr>
            <w:tcW w:w="0" w:type="auto"/>
            <w:vAlign w:val="center"/>
          </w:tcPr>
          <w:p w:rsidR="00D31E66" w:rsidRPr="00AC6570" w:rsidRDefault="00000000" w:rsidP="00DD70C8">
            <w:pPr>
              <w:jc w:val="right"/>
              <w:rPr>
                <w:sz w:val="24"/>
                <w:szCs w:val="24"/>
              </w:rPr>
            </w:pPr>
            <w:r w:rsidRPr="00AC6570">
              <w:rPr>
                <w:sz w:val="24"/>
                <w:szCs w:val="24"/>
              </w:rPr>
              <w:t>520,000</w:t>
            </w:r>
          </w:p>
        </w:tc>
      </w:tr>
      <w:tr w:rsidR="00D31E66" w:rsidRPr="00AC6570" w:rsidTr="00DD70C8">
        <w:trPr>
          <w:cnfStyle w:val="010000000000" w:firstRow="0" w:lastRow="1" w:firstColumn="0" w:lastColumn="0" w:oddVBand="0" w:evenVBand="0" w:oddHBand="0" w:evenHBand="0" w:firstRowFirstColumn="0" w:firstRowLastColumn="0" w:lastRowFirstColumn="0" w:lastRowLastColumn="0"/>
        </w:trPr>
        <w:tc>
          <w:tcPr>
            <w:tcW w:w="0" w:type="auto"/>
          </w:tcPr>
          <w:p w:rsidR="00D31E66" w:rsidRPr="00AC6570" w:rsidRDefault="00000000" w:rsidP="00AC6570">
            <w:pPr>
              <w:jc w:val="both"/>
              <w:rPr>
                <w:sz w:val="24"/>
                <w:szCs w:val="24"/>
              </w:rPr>
            </w:pPr>
            <w:r w:rsidRPr="00AC6570">
              <w:rPr>
                <w:sz w:val="24"/>
                <w:szCs w:val="24"/>
              </w:rPr>
              <w:t>Total Investment</w:t>
            </w:r>
          </w:p>
        </w:tc>
        <w:tc>
          <w:tcPr>
            <w:tcW w:w="0" w:type="auto"/>
            <w:vAlign w:val="center"/>
          </w:tcPr>
          <w:p w:rsidR="00D31E66" w:rsidRPr="00AC6570" w:rsidRDefault="00000000" w:rsidP="00DD70C8">
            <w:pPr>
              <w:jc w:val="right"/>
              <w:rPr>
                <w:sz w:val="24"/>
                <w:szCs w:val="24"/>
              </w:rPr>
            </w:pPr>
            <w:r w:rsidRPr="00AC6570">
              <w:rPr>
                <w:sz w:val="24"/>
                <w:szCs w:val="24"/>
              </w:rPr>
              <w:t>2,200,000</w:t>
            </w:r>
          </w:p>
        </w:tc>
      </w:tr>
    </w:tbl>
    <w:p w:rsidR="00D31E66" w:rsidRDefault="007F4F9F" w:rsidP="00DD70C8">
      <w:pPr>
        <w:pStyle w:val="Heading3"/>
        <w:jc w:val="both"/>
      </w:pPr>
      <w:r>
        <w:t xml:space="preserve">Table </w:t>
      </w:r>
      <w:r>
        <w:t>2</w:t>
      </w:r>
      <w:r>
        <w:t xml:space="preserve">: </w:t>
      </w:r>
      <w:r>
        <w:t xml:space="preserve">Running Costs </w:t>
      </w:r>
    </w:p>
    <w:tbl>
      <w:tblPr>
        <w:tblStyle w:val="GridTable5Dark-Accent1"/>
        <w:tblW w:w="0" w:type="auto"/>
        <w:tblLook w:val="0460" w:firstRow="1" w:lastRow="1" w:firstColumn="0" w:lastColumn="0" w:noHBand="0" w:noVBand="1"/>
      </w:tblPr>
      <w:tblGrid>
        <w:gridCol w:w="2376"/>
        <w:gridCol w:w="1800"/>
      </w:tblGrid>
      <w:tr w:rsidR="007F4F9F" w:rsidRPr="00AC6570" w:rsidTr="007F4F9F">
        <w:trPr>
          <w:cnfStyle w:val="100000000000" w:firstRow="1" w:lastRow="0" w:firstColumn="0" w:lastColumn="0" w:oddVBand="0" w:evenVBand="0" w:oddHBand="0" w:evenHBand="0" w:firstRowFirstColumn="0" w:firstRowLastColumn="0" w:lastRowFirstColumn="0" w:lastRowLastColumn="0"/>
        </w:trPr>
        <w:tc>
          <w:tcPr>
            <w:tcW w:w="2376" w:type="dxa"/>
          </w:tcPr>
          <w:p w:rsidR="00D31E66" w:rsidRPr="00AC6570" w:rsidRDefault="007F4F9F" w:rsidP="00AC6570">
            <w:pPr>
              <w:jc w:val="both"/>
              <w:rPr>
                <w:sz w:val="24"/>
                <w:szCs w:val="24"/>
              </w:rPr>
            </w:pPr>
            <w:r>
              <w:rPr>
                <w:b w:val="0"/>
                <w:sz w:val="24"/>
                <w:szCs w:val="24"/>
              </w:rPr>
              <w:t xml:space="preserve">Cost </w:t>
            </w:r>
            <w:r w:rsidR="00000000" w:rsidRPr="00AC6570">
              <w:rPr>
                <w:sz w:val="24"/>
                <w:szCs w:val="24"/>
              </w:rPr>
              <w:t>Component</w:t>
            </w:r>
          </w:p>
        </w:tc>
        <w:tc>
          <w:tcPr>
            <w:tcW w:w="1800" w:type="dxa"/>
          </w:tcPr>
          <w:p w:rsidR="00D31E66" w:rsidRPr="00AC6570" w:rsidRDefault="00000000" w:rsidP="00AC6570">
            <w:pPr>
              <w:jc w:val="both"/>
              <w:rPr>
                <w:sz w:val="24"/>
                <w:szCs w:val="24"/>
              </w:rPr>
            </w:pPr>
            <w:r w:rsidRPr="00AC6570">
              <w:rPr>
                <w:sz w:val="24"/>
                <w:szCs w:val="24"/>
              </w:rPr>
              <w:t>Amount (USD)</w:t>
            </w:r>
          </w:p>
        </w:tc>
      </w:tr>
      <w:tr w:rsidR="007F4F9F" w:rsidRPr="00AC6570" w:rsidTr="00DD70C8">
        <w:trPr>
          <w:cnfStyle w:val="000000100000" w:firstRow="0" w:lastRow="0" w:firstColumn="0" w:lastColumn="0" w:oddVBand="0" w:evenVBand="0" w:oddHBand="1" w:evenHBand="0" w:firstRowFirstColumn="0" w:firstRowLastColumn="0" w:lastRowFirstColumn="0" w:lastRowLastColumn="0"/>
        </w:trPr>
        <w:tc>
          <w:tcPr>
            <w:tcW w:w="2376" w:type="dxa"/>
          </w:tcPr>
          <w:p w:rsidR="007F4F9F" w:rsidRPr="00AC6570" w:rsidRDefault="007F4F9F" w:rsidP="00AC6570">
            <w:pPr>
              <w:jc w:val="both"/>
              <w:rPr>
                <w:b/>
                <w:sz w:val="24"/>
                <w:szCs w:val="24"/>
              </w:rPr>
            </w:pPr>
            <w:r>
              <w:rPr>
                <w:b/>
                <w:sz w:val="24"/>
                <w:szCs w:val="24"/>
              </w:rPr>
              <w:t>Operation Cost</w:t>
            </w:r>
          </w:p>
        </w:tc>
        <w:tc>
          <w:tcPr>
            <w:tcW w:w="1800" w:type="dxa"/>
            <w:vAlign w:val="center"/>
          </w:tcPr>
          <w:p w:rsidR="007F4F9F" w:rsidRPr="00AC6570" w:rsidRDefault="007F4F9F" w:rsidP="00DD70C8">
            <w:pPr>
              <w:jc w:val="right"/>
              <w:rPr>
                <w:b/>
                <w:sz w:val="24"/>
                <w:szCs w:val="24"/>
              </w:rPr>
            </w:pPr>
            <w:r>
              <w:rPr>
                <w:b/>
                <w:sz w:val="24"/>
                <w:szCs w:val="24"/>
              </w:rPr>
              <w:t>26,400</w:t>
            </w:r>
          </w:p>
        </w:tc>
      </w:tr>
      <w:tr w:rsidR="007F4F9F" w:rsidRPr="00AC6570" w:rsidTr="00DD70C8">
        <w:tc>
          <w:tcPr>
            <w:tcW w:w="2376" w:type="dxa"/>
          </w:tcPr>
          <w:p w:rsidR="007F4F9F" w:rsidRDefault="007F4F9F" w:rsidP="00AC6570">
            <w:pPr>
              <w:jc w:val="both"/>
              <w:rPr>
                <w:b/>
                <w:sz w:val="24"/>
                <w:szCs w:val="24"/>
              </w:rPr>
            </w:pPr>
            <w:r>
              <w:rPr>
                <w:b/>
                <w:sz w:val="24"/>
                <w:szCs w:val="24"/>
              </w:rPr>
              <w:t>Taxes (15%)</w:t>
            </w:r>
          </w:p>
        </w:tc>
        <w:tc>
          <w:tcPr>
            <w:tcW w:w="1800" w:type="dxa"/>
            <w:vAlign w:val="center"/>
          </w:tcPr>
          <w:p w:rsidR="007F4F9F" w:rsidRDefault="007F4F9F" w:rsidP="00DD70C8">
            <w:pPr>
              <w:jc w:val="right"/>
              <w:rPr>
                <w:b/>
                <w:sz w:val="24"/>
                <w:szCs w:val="24"/>
              </w:rPr>
            </w:pPr>
            <w:r>
              <w:rPr>
                <w:b/>
                <w:sz w:val="24"/>
                <w:szCs w:val="24"/>
              </w:rPr>
              <w:t>12,600</w:t>
            </w:r>
          </w:p>
        </w:tc>
      </w:tr>
      <w:tr w:rsidR="00D31E66" w:rsidRPr="00AC6570" w:rsidTr="00DD70C8">
        <w:trPr>
          <w:cnfStyle w:val="010000000000" w:firstRow="0" w:lastRow="1" w:firstColumn="0" w:lastColumn="0" w:oddVBand="0" w:evenVBand="0" w:oddHBand="0" w:evenHBand="0" w:firstRowFirstColumn="0" w:firstRowLastColumn="0" w:lastRowFirstColumn="0" w:lastRowLastColumn="0"/>
          <w:trHeight w:val="728"/>
        </w:trPr>
        <w:tc>
          <w:tcPr>
            <w:tcW w:w="2376" w:type="dxa"/>
            <w:vAlign w:val="center"/>
          </w:tcPr>
          <w:p w:rsidR="00D31E66" w:rsidRPr="00AC6570" w:rsidRDefault="007F4F9F" w:rsidP="007F4F9F">
            <w:pPr>
              <w:rPr>
                <w:sz w:val="24"/>
                <w:szCs w:val="24"/>
              </w:rPr>
            </w:pPr>
            <w:r>
              <w:rPr>
                <w:sz w:val="24"/>
                <w:szCs w:val="24"/>
              </w:rPr>
              <w:t>Annual Running Costs</w:t>
            </w:r>
          </w:p>
        </w:tc>
        <w:tc>
          <w:tcPr>
            <w:tcW w:w="1800" w:type="dxa"/>
            <w:vAlign w:val="center"/>
          </w:tcPr>
          <w:p w:rsidR="00D31E66" w:rsidRPr="00AC6570" w:rsidRDefault="00000000" w:rsidP="00DD70C8">
            <w:pPr>
              <w:jc w:val="right"/>
              <w:rPr>
                <w:sz w:val="24"/>
                <w:szCs w:val="24"/>
              </w:rPr>
            </w:pPr>
            <w:r w:rsidRPr="00AC6570">
              <w:rPr>
                <w:sz w:val="24"/>
                <w:szCs w:val="24"/>
              </w:rPr>
              <w:t>3</w:t>
            </w:r>
            <w:r w:rsidR="007F4F9F">
              <w:rPr>
                <w:sz w:val="24"/>
                <w:szCs w:val="24"/>
              </w:rPr>
              <w:t>9,000</w:t>
            </w:r>
          </w:p>
        </w:tc>
      </w:tr>
    </w:tbl>
    <w:p w:rsidR="007F4F9F" w:rsidRDefault="007F4F9F" w:rsidP="00AC6570">
      <w:pPr>
        <w:pStyle w:val="Heading3"/>
        <w:jc w:val="both"/>
      </w:pPr>
    </w:p>
    <w:p w:rsidR="00D31E66" w:rsidRDefault="00DD70C8" w:rsidP="00AC6570">
      <w:pPr>
        <w:pStyle w:val="Heading3"/>
        <w:jc w:val="both"/>
      </w:pPr>
      <w:r>
        <w:t xml:space="preserve">Table 3: </w:t>
      </w:r>
      <w:r w:rsidR="00000000">
        <w:t>Revenue Model</w:t>
      </w:r>
    </w:p>
    <w:tbl>
      <w:tblPr>
        <w:tblStyle w:val="GridTable5Dark-Accent1"/>
        <w:tblW w:w="4597" w:type="dxa"/>
        <w:tblLayout w:type="fixed"/>
        <w:tblLook w:val="0460" w:firstRow="1" w:lastRow="1" w:firstColumn="0" w:lastColumn="0" w:noHBand="0" w:noVBand="1"/>
      </w:tblPr>
      <w:tblGrid>
        <w:gridCol w:w="1337"/>
        <w:gridCol w:w="850"/>
        <w:gridCol w:w="1158"/>
        <w:gridCol w:w="1252"/>
      </w:tblGrid>
      <w:tr w:rsidR="00D31E66" w:rsidRPr="00AC6570" w:rsidTr="00DD70C8">
        <w:trPr>
          <w:cnfStyle w:val="100000000000" w:firstRow="1" w:lastRow="0" w:firstColumn="0" w:lastColumn="0" w:oddVBand="0" w:evenVBand="0" w:oddHBand="0" w:evenHBand="0" w:firstRowFirstColumn="0" w:firstRowLastColumn="0" w:lastRowFirstColumn="0" w:lastRowLastColumn="0"/>
        </w:trPr>
        <w:tc>
          <w:tcPr>
            <w:tcW w:w="1337" w:type="dxa"/>
          </w:tcPr>
          <w:p w:rsidR="00D31E66" w:rsidRPr="00AC6570" w:rsidRDefault="00000000" w:rsidP="00AC6570">
            <w:pPr>
              <w:jc w:val="both"/>
              <w:rPr>
                <w:sz w:val="24"/>
                <w:szCs w:val="24"/>
              </w:rPr>
            </w:pPr>
            <w:r w:rsidRPr="00AC6570">
              <w:rPr>
                <w:sz w:val="24"/>
                <w:szCs w:val="24"/>
              </w:rPr>
              <w:t>Revenue Source</w:t>
            </w:r>
          </w:p>
        </w:tc>
        <w:tc>
          <w:tcPr>
            <w:tcW w:w="850" w:type="dxa"/>
          </w:tcPr>
          <w:p w:rsidR="00D31E66" w:rsidRPr="00AC6570" w:rsidRDefault="00000000" w:rsidP="00AC6570">
            <w:pPr>
              <w:jc w:val="both"/>
              <w:rPr>
                <w:sz w:val="24"/>
                <w:szCs w:val="24"/>
              </w:rPr>
            </w:pPr>
            <w:r w:rsidRPr="00AC6570">
              <w:rPr>
                <w:sz w:val="24"/>
                <w:szCs w:val="24"/>
              </w:rPr>
              <w:t>Units</w:t>
            </w:r>
          </w:p>
        </w:tc>
        <w:tc>
          <w:tcPr>
            <w:tcW w:w="1158" w:type="dxa"/>
          </w:tcPr>
          <w:p w:rsidR="00D31E66" w:rsidRPr="00AC6570" w:rsidRDefault="00000000" w:rsidP="00AC6570">
            <w:pPr>
              <w:jc w:val="both"/>
              <w:rPr>
                <w:sz w:val="24"/>
                <w:szCs w:val="24"/>
              </w:rPr>
            </w:pPr>
            <w:r w:rsidRPr="00AC6570">
              <w:rPr>
                <w:sz w:val="24"/>
                <w:szCs w:val="24"/>
              </w:rPr>
              <w:t>Monthly Price (USD)</w:t>
            </w:r>
          </w:p>
        </w:tc>
        <w:tc>
          <w:tcPr>
            <w:tcW w:w="1252" w:type="dxa"/>
          </w:tcPr>
          <w:p w:rsidR="00D31E66" w:rsidRPr="00AC6570" w:rsidRDefault="00000000" w:rsidP="00AC6570">
            <w:pPr>
              <w:jc w:val="both"/>
              <w:rPr>
                <w:sz w:val="24"/>
                <w:szCs w:val="24"/>
              </w:rPr>
            </w:pPr>
            <w:r w:rsidRPr="00AC6570">
              <w:rPr>
                <w:sz w:val="24"/>
                <w:szCs w:val="24"/>
              </w:rPr>
              <w:t>Total Monthly Revenue (USD)</w:t>
            </w:r>
          </w:p>
        </w:tc>
      </w:tr>
      <w:tr w:rsidR="00D31E66" w:rsidRPr="00AC6570" w:rsidTr="00DD70C8">
        <w:trPr>
          <w:cnfStyle w:val="000000100000" w:firstRow="0" w:lastRow="0" w:firstColumn="0" w:lastColumn="0" w:oddVBand="0" w:evenVBand="0" w:oddHBand="1" w:evenHBand="0" w:firstRowFirstColumn="0" w:firstRowLastColumn="0" w:lastRowFirstColumn="0" w:lastRowLastColumn="0"/>
        </w:trPr>
        <w:tc>
          <w:tcPr>
            <w:tcW w:w="1337" w:type="dxa"/>
          </w:tcPr>
          <w:p w:rsidR="00D31E66" w:rsidRPr="00AC6570" w:rsidRDefault="00000000" w:rsidP="00AC6570">
            <w:pPr>
              <w:jc w:val="both"/>
              <w:rPr>
                <w:sz w:val="24"/>
                <w:szCs w:val="24"/>
              </w:rPr>
            </w:pPr>
            <w:r w:rsidRPr="00AC6570">
              <w:rPr>
                <w:sz w:val="24"/>
                <w:szCs w:val="24"/>
              </w:rPr>
              <w:t>Office Rooms</w:t>
            </w:r>
          </w:p>
        </w:tc>
        <w:tc>
          <w:tcPr>
            <w:tcW w:w="850" w:type="dxa"/>
            <w:vAlign w:val="center"/>
          </w:tcPr>
          <w:p w:rsidR="00D31E66" w:rsidRPr="00AC6570" w:rsidRDefault="00000000" w:rsidP="00DD70C8">
            <w:pPr>
              <w:jc w:val="right"/>
              <w:rPr>
                <w:sz w:val="24"/>
                <w:szCs w:val="24"/>
              </w:rPr>
            </w:pPr>
            <w:r w:rsidRPr="00AC6570">
              <w:rPr>
                <w:sz w:val="24"/>
                <w:szCs w:val="24"/>
              </w:rPr>
              <w:t>30</w:t>
            </w:r>
          </w:p>
        </w:tc>
        <w:tc>
          <w:tcPr>
            <w:tcW w:w="1158" w:type="dxa"/>
            <w:vAlign w:val="center"/>
          </w:tcPr>
          <w:p w:rsidR="00D31E66" w:rsidRPr="00AC6570" w:rsidRDefault="00000000" w:rsidP="00DD70C8">
            <w:pPr>
              <w:jc w:val="right"/>
              <w:rPr>
                <w:sz w:val="24"/>
                <w:szCs w:val="24"/>
              </w:rPr>
            </w:pPr>
            <w:r w:rsidRPr="00AC6570">
              <w:rPr>
                <w:sz w:val="24"/>
                <w:szCs w:val="24"/>
              </w:rPr>
              <w:t>100</w:t>
            </w:r>
          </w:p>
        </w:tc>
        <w:tc>
          <w:tcPr>
            <w:tcW w:w="1252" w:type="dxa"/>
            <w:vAlign w:val="center"/>
          </w:tcPr>
          <w:p w:rsidR="00D31E66" w:rsidRPr="00AC6570" w:rsidRDefault="00000000" w:rsidP="00DD70C8">
            <w:pPr>
              <w:jc w:val="right"/>
              <w:rPr>
                <w:sz w:val="24"/>
                <w:szCs w:val="24"/>
              </w:rPr>
            </w:pPr>
            <w:r w:rsidRPr="00AC6570">
              <w:rPr>
                <w:sz w:val="24"/>
                <w:szCs w:val="24"/>
              </w:rPr>
              <w:t>3,000</w:t>
            </w:r>
          </w:p>
        </w:tc>
      </w:tr>
      <w:tr w:rsidR="00D31E66" w:rsidRPr="00AC6570" w:rsidTr="00DD70C8">
        <w:tc>
          <w:tcPr>
            <w:tcW w:w="1337" w:type="dxa"/>
          </w:tcPr>
          <w:p w:rsidR="00D31E66" w:rsidRPr="00AC6570" w:rsidRDefault="00000000" w:rsidP="00AC6570">
            <w:pPr>
              <w:jc w:val="both"/>
              <w:rPr>
                <w:sz w:val="24"/>
                <w:szCs w:val="24"/>
              </w:rPr>
            </w:pPr>
            <w:r w:rsidRPr="00AC6570">
              <w:rPr>
                <w:sz w:val="24"/>
                <w:szCs w:val="24"/>
              </w:rPr>
              <w:t>Apartments</w:t>
            </w:r>
          </w:p>
        </w:tc>
        <w:tc>
          <w:tcPr>
            <w:tcW w:w="850" w:type="dxa"/>
            <w:vAlign w:val="center"/>
          </w:tcPr>
          <w:p w:rsidR="00D31E66" w:rsidRPr="00AC6570" w:rsidRDefault="00000000" w:rsidP="00DD70C8">
            <w:pPr>
              <w:jc w:val="right"/>
              <w:rPr>
                <w:sz w:val="24"/>
                <w:szCs w:val="24"/>
              </w:rPr>
            </w:pPr>
            <w:r w:rsidRPr="00AC6570">
              <w:rPr>
                <w:sz w:val="24"/>
                <w:szCs w:val="24"/>
              </w:rPr>
              <w:t>8</w:t>
            </w:r>
          </w:p>
        </w:tc>
        <w:tc>
          <w:tcPr>
            <w:tcW w:w="1158" w:type="dxa"/>
            <w:vAlign w:val="center"/>
          </w:tcPr>
          <w:p w:rsidR="00D31E66" w:rsidRPr="00AC6570" w:rsidRDefault="00000000" w:rsidP="00DD70C8">
            <w:pPr>
              <w:jc w:val="right"/>
              <w:rPr>
                <w:sz w:val="24"/>
                <w:szCs w:val="24"/>
              </w:rPr>
            </w:pPr>
            <w:r w:rsidRPr="00AC6570">
              <w:rPr>
                <w:sz w:val="24"/>
                <w:szCs w:val="24"/>
              </w:rPr>
              <w:t>500</w:t>
            </w:r>
          </w:p>
        </w:tc>
        <w:tc>
          <w:tcPr>
            <w:tcW w:w="1252" w:type="dxa"/>
            <w:vAlign w:val="center"/>
          </w:tcPr>
          <w:p w:rsidR="00D31E66" w:rsidRPr="00AC6570" w:rsidRDefault="00000000" w:rsidP="00DD70C8">
            <w:pPr>
              <w:jc w:val="right"/>
              <w:rPr>
                <w:sz w:val="24"/>
                <w:szCs w:val="24"/>
              </w:rPr>
            </w:pPr>
            <w:r w:rsidRPr="00AC6570">
              <w:rPr>
                <w:sz w:val="24"/>
                <w:szCs w:val="24"/>
              </w:rPr>
              <w:t>4,000</w:t>
            </w:r>
          </w:p>
        </w:tc>
      </w:tr>
      <w:tr w:rsidR="00D31E66" w:rsidRPr="00AC6570" w:rsidTr="00DD70C8">
        <w:trPr>
          <w:cnfStyle w:val="000000100000" w:firstRow="0" w:lastRow="0" w:firstColumn="0" w:lastColumn="0" w:oddVBand="0" w:evenVBand="0" w:oddHBand="1" w:evenHBand="0" w:firstRowFirstColumn="0" w:firstRowLastColumn="0" w:lastRowFirstColumn="0" w:lastRowLastColumn="0"/>
        </w:trPr>
        <w:tc>
          <w:tcPr>
            <w:tcW w:w="1337" w:type="dxa"/>
          </w:tcPr>
          <w:p w:rsidR="00D31E66" w:rsidRPr="00AC6570" w:rsidRDefault="00000000" w:rsidP="00AC6570">
            <w:pPr>
              <w:jc w:val="both"/>
              <w:rPr>
                <w:sz w:val="24"/>
                <w:szCs w:val="24"/>
              </w:rPr>
            </w:pPr>
            <w:r w:rsidRPr="00AC6570">
              <w:rPr>
                <w:sz w:val="24"/>
                <w:szCs w:val="24"/>
              </w:rPr>
              <w:t>Multi-purpose Halls*</w:t>
            </w:r>
          </w:p>
        </w:tc>
        <w:tc>
          <w:tcPr>
            <w:tcW w:w="850" w:type="dxa"/>
            <w:vAlign w:val="center"/>
          </w:tcPr>
          <w:p w:rsidR="00D31E66" w:rsidRPr="00AC6570" w:rsidRDefault="00000000" w:rsidP="00DD70C8">
            <w:pPr>
              <w:jc w:val="right"/>
              <w:rPr>
                <w:sz w:val="24"/>
                <w:szCs w:val="24"/>
              </w:rPr>
            </w:pPr>
            <w:r w:rsidRPr="00AC6570">
              <w:rPr>
                <w:sz w:val="24"/>
                <w:szCs w:val="24"/>
              </w:rPr>
              <w:t>2</w:t>
            </w:r>
          </w:p>
        </w:tc>
        <w:tc>
          <w:tcPr>
            <w:tcW w:w="1158" w:type="dxa"/>
            <w:vAlign w:val="center"/>
          </w:tcPr>
          <w:p w:rsidR="00D31E66" w:rsidRPr="00AC6570" w:rsidRDefault="00000000" w:rsidP="00DD70C8">
            <w:pPr>
              <w:jc w:val="right"/>
              <w:rPr>
                <w:sz w:val="24"/>
                <w:szCs w:val="24"/>
              </w:rPr>
            </w:pPr>
            <w:r w:rsidRPr="00AC6570">
              <w:rPr>
                <w:sz w:val="24"/>
                <w:szCs w:val="24"/>
              </w:rPr>
              <w:t>400</w:t>
            </w:r>
          </w:p>
        </w:tc>
        <w:tc>
          <w:tcPr>
            <w:tcW w:w="1252" w:type="dxa"/>
            <w:vAlign w:val="center"/>
          </w:tcPr>
          <w:p w:rsidR="00D31E66" w:rsidRPr="00AC6570" w:rsidRDefault="00000000" w:rsidP="00DD70C8">
            <w:pPr>
              <w:jc w:val="right"/>
              <w:rPr>
                <w:sz w:val="24"/>
                <w:szCs w:val="24"/>
              </w:rPr>
            </w:pPr>
            <w:r w:rsidRPr="00AC6570">
              <w:rPr>
                <w:sz w:val="24"/>
                <w:szCs w:val="24"/>
              </w:rPr>
              <w:t>1,600</w:t>
            </w:r>
          </w:p>
        </w:tc>
      </w:tr>
      <w:tr w:rsidR="00D31E66" w:rsidRPr="00AC6570" w:rsidTr="00DD70C8">
        <w:tc>
          <w:tcPr>
            <w:tcW w:w="1337" w:type="dxa"/>
          </w:tcPr>
          <w:p w:rsidR="00D31E66" w:rsidRPr="00AC6570" w:rsidRDefault="00000000" w:rsidP="00AC6570">
            <w:pPr>
              <w:jc w:val="both"/>
              <w:rPr>
                <w:sz w:val="24"/>
                <w:szCs w:val="24"/>
              </w:rPr>
            </w:pPr>
            <w:r w:rsidRPr="00AC6570">
              <w:rPr>
                <w:sz w:val="24"/>
                <w:szCs w:val="24"/>
              </w:rPr>
              <w:t>Terrace (Mobile Tower Rent)</w:t>
            </w:r>
          </w:p>
        </w:tc>
        <w:tc>
          <w:tcPr>
            <w:tcW w:w="850" w:type="dxa"/>
            <w:vAlign w:val="center"/>
          </w:tcPr>
          <w:p w:rsidR="00D31E66" w:rsidRPr="00AC6570" w:rsidRDefault="00000000" w:rsidP="00DD70C8">
            <w:pPr>
              <w:jc w:val="right"/>
              <w:rPr>
                <w:sz w:val="24"/>
                <w:szCs w:val="24"/>
              </w:rPr>
            </w:pPr>
            <w:r w:rsidRPr="00AC6570">
              <w:rPr>
                <w:sz w:val="24"/>
                <w:szCs w:val="24"/>
              </w:rPr>
              <w:t>1</w:t>
            </w:r>
          </w:p>
        </w:tc>
        <w:tc>
          <w:tcPr>
            <w:tcW w:w="1158" w:type="dxa"/>
            <w:vAlign w:val="center"/>
          </w:tcPr>
          <w:p w:rsidR="00D31E66" w:rsidRPr="00AC6570" w:rsidRDefault="00000000" w:rsidP="00DD70C8">
            <w:pPr>
              <w:jc w:val="right"/>
              <w:rPr>
                <w:sz w:val="24"/>
                <w:szCs w:val="24"/>
              </w:rPr>
            </w:pPr>
            <w:r w:rsidRPr="00AC6570">
              <w:rPr>
                <w:sz w:val="24"/>
                <w:szCs w:val="24"/>
              </w:rPr>
              <w:t>500</w:t>
            </w:r>
          </w:p>
        </w:tc>
        <w:tc>
          <w:tcPr>
            <w:tcW w:w="1252" w:type="dxa"/>
            <w:vAlign w:val="center"/>
          </w:tcPr>
          <w:p w:rsidR="00D31E66" w:rsidRPr="00AC6570" w:rsidRDefault="00000000" w:rsidP="00DD70C8">
            <w:pPr>
              <w:jc w:val="right"/>
              <w:rPr>
                <w:sz w:val="24"/>
                <w:szCs w:val="24"/>
              </w:rPr>
            </w:pPr>
            <w:r w:rsidRPr="00AC6570">
              <w:rPr>
                <w:sz w:val="24"/>
                <w:szCs w:val="24"/>
              </w:rPr>
              <w:t>500</w:t>
            </w:r>
          </w:p>
        </w:tc>
      </w:tr>
      <w:tr w:rsidR="00D31E66" w:rsidRPr="00AC6570" w:rsidTr="00DD70C8">
        <w:trPr>
          <w:cnfStyle w:val="000000100000" w:firstRow="0" w:lastRow="0" w:firstColumn="0" w:lastColumn="0" w:oddVBand="0" w:evenVBand="0" w:oddHBand="1" w:evenHBand="0" w:firstRowFirstColumn="0" w:firstRowLastColumn="0" w:lastRowFirstColumn="0" w:lastRowLastColumn="0"/>
        </w:trPr>
        <w:tc>
          <w:tcPr>
            <w:tcW w:w="1337" w:type="dxa"/>
          </w:tcPr>
          <w:p w:rsidR="00D31E66" w:rsidRPr="00AC6570" w:rsidRDefault="00000000" w:rsidP="00AC6570">
            <w:pPr>
              <w:jc w:val="both"/>
              <w:rPr>
                <w:sz w:val="24"/>
                <w:szCs w:val="24"/>
              </w:rPr>
            </w:pPr>
            <w:r w:rsidRPr="00AC6570">
              <w:rPr>
                <w:sz w:val="24"/>
                <w:szCs w:val="24"/>
              </w:rPr>
              <w:t>Penthouse</w:t>
            </w:r>
          </w:p>
        </w:tc>
        <w:tc>
          <w:tcPr>
            <w:tcW w:w="850" w:type="dxa"/>
            <w:vAlign w:val="center"/>
          </w:tcPr>
          <w:p w:rsidR="00D31E66" w:rsidRPr="00AC6570" w:rsidRDefault="00000000" w:rsidP="00DD70C8">
            <w:pPr>
              <w:jc w:val="right"/>
              <w:rPr>
                <w:sz w:val="24"/>
                <w:szCs w:val="24"/>
              </w:rPr>
            </w:pPr>
            <w:r w:rsidRPr="00AC6570">
              <w:rPr>
                <w:sz w:val="24"/>
                <w:szCs w:val="24"/>
              </w:rPr>
              <w:t>1</w:t>
            </w:r>
          </w:p>
        </w:tc>
        <w:tc>
          <w:tcPr>
            <w:tcW w:w="1158" w:type="dxa"/>
            <w:vAlign w:val="center"/>
          </w:tcPr>
          <w:p w:rsidR="00D31E66" w:rsidRPr="00AC6570" w:rsidRDefault="00000000" w:rsidP="00DD70C8">
            <w:pPr>
              <w:jc w:val="right"/>
              <w:rPr>
                <w:sz w:val="24"/>
                <w:szCs w:val="24"/>
              </w:rPr>
            </w:pPr>
            <w:r w:rsidRPr="00AC6570">
              <w:rPr>
                <w:sz w:val="24"/>
                <w:szCs w:val="24"/>
              </w:rPr>
              <w:t>300</w:t>
            </w:r>
          </w:p>
        </w:tc>
        <w:tc>
          <w:tcPr>
            <w:tcW w:w="1252" w:type="dxa"/>
            <w:vAlign w:val="center"/>
          </w:tcPr>
          <w:p w:rsidR="00D31E66" w:rsidRPr="00AC6570" w:rsidRDefault="00000000" w:rsidP="00DD70C8">
            <w:pPr>
              <w:jc w:val="right"/>
              <w:rPr>
                <w:sz w:val="24"/>
                <w:szCs w:val="24"/>
              </w:rPr>
            </w:pPr>
            <w:r w:rsidRPr="00AC6570">
              <w:rPr>
                <w:sz w:val="24"/>
                <w:szCs w:val="24"/>
              </w:rPr>
              <w:t>300</w:t>
            </w:r>
          </w:p>
        </w:tc>
      </w:tr>
      <w:tr w:rsidR="00D31E66" w:rsidRPr="00AC6570" w:rsidTr="00DD70C8">
        <w:trPr>
          <w:cnfStyle w:val="010000000000" w:firstRow="0" w:lastRow="1" w:firstColumn="0" w:lastColumn="0" w:oddVBand="0" w:evenVBand="0" w:oddHBand="0" w:evenHBand="0" w:firstRowFirstColumn="0" w:firstRowLastColumn="0" w:lastRowFirstColumn="0" w:lastRowLastColumn="0"/>
        </w:trPr>
        <w:tc>
          <w:tcPr>
            <w:tcW w:w="1337" w:type="dxa"/>
          </w:tcPr>
          <w:p w:rsidR="00D31E66" w:rsidRPr="00AC6570" w:rsidRDefault="00000000" w:rsidP="00AC6570">
            <w:pPr>
              <w:jc w:val="both"/>
              <w:rPr>
                <w:sz w:val="24"/>
                <w:szCs w:val="24"/>
              </w:rPr>
            </w:pPr>
            <w:r w:rsidRPr="00AC6570">
              <w:rPr>
                <w:sz w:val="24"/>
                <w:szCs w:val="24"/>
              </w:rPr>
              <w:t>Total Monthly Revenue</w:t>
            </w:r>
          </w:p>
        </w:tc>
        <w:tc>
          <w:tcPr>
            <w:tcW w:w="850" w:type="dxa"/>
          </w:tcPr>
          <w:p w:rsidR="00D31E66" w:rsidRPr="00AC6570" w:rsidRDefault="00D31E66" w:rsidP="00AC6570">
            <w:pPr>
              <w:jc w:val="both"/>
              <w:rPr>
                <w:sz w:val="24"/>
                <w:szCs w:val="24"/>
              </w:rPr>
            </w:pPr>
          </w:p>
        </w:tc>
        <w:tc>
          <w:tcPr>
            <w:tcW w:w="1158" w:type="dxa"/>
          </w:tcPr>
          <w:p w:rsidR="00D31E66" w:rsidRPr="00AC6570" w:rsidRDefault="00D31E66" w:rsidP="00AC6570">
            <w:pPr>
              <w:jc w:val="both"/>
              <w:rPr>
                <w:sz w:val="24"/>
                <w:szCs w:val="24"/>
              </w:rPr>
            </w:pPr>
          </w:p>
        </w:tc>
        <w:tc>
          <w:tcPr>
            <w:tcW w:w="1252" w:type="dxa"/>
            <w:vAlign w:val="center"/>
          </w:tcPr>
          <w:p w:rsidR="00D31E66" w:rsidRPr="00AC6570" w:rsidRDefault="00000000" w:rsidP="00DD70C8">
            <w:pPr>
              <w:jc w:val="right"/>
              <w:rPr>
                <w:sz w:val="24"/>
                <w:szCs w:val="24"/>
              </w:rPr>
            </w:pPr>
            <w:r w:rsidRPr="00AC6570">
              <w:rPr>
                <w:sz w:val="24"/>
                <w:szCs w:val="24"/>
              </w:rPr>
              <w:t>9,400</w:t>
            </w:r>
          </w:p>
        </w:tc>
      </w:tr>
    </w:tbl>
    <w:p w:rsidR="00D31E66" w:rsidRPr="00AC6570" w:rsidRDefault="00000000" w:rsidP="00AC6570">
      <w:pPr>
        <w:ind w:left="284"/>
        <w:jc w:val="both"/>
        <w:rPr>
          <w:sz w:val="24"/>
          <w:szCs w:val="24"/>
        </w:rPr>
      </w:pPr>
      <w:r w:rsidRPr="00AC6570">
        <w:rPr>
          <w:sz w:val="24"/>
          <w:szCs w:val="24"/>
        </w:rPr>
        <w:t>*Assumes two bookings per month for multi-purpose halls.</w:t>
      </w:r>
    </w:p>
    <w:p w:rsidR="00D31E66" w:rsidRPr="00AC6570" w:rsidRDefault="00000000" w:rsidP="00AC6570">
      <w:pPr>
        <w:jc w:val="both"/>
        <w:rPr>
          <w:sz w:val="24"/>
          <w:szCs w:val="24"/>
        </w:rPr>
      </w:pPr>
      <w:r w:rsidRPr="00AC6570">
        <w:rPr>
          <w:sz w:val="24"/>
          <w:szCs w:val="24"/>
        </w:rPr>
        <w:t xml:space="preserve">The annual revenue is thus </w:t>
      </w:r>
      <w:r w:rsidRPr="00AC6570">
        <w:rPr>
          <w:b/>
          <w:sz w:val="24"/>
          <w:szCs w:val="24"/>
        </w:rPr>
        <w:t>USD 112,800</w:t>
      </w:r>
      <w:r w:rsidRPr="00AC6570">
        <w:rPr>
          <w:sz w:val="24"/>
          <w:szCs w:val="24"/>
        </w:rPr>
        <w:t>.</w:t>
      </w:r>
    </w:p>
    <w:p w:rsidR="00D31E66" w:rsidRDefault="00000000" w:rsidP="00B73CB0">
      <w:pPr>
        <w:pStyle w:val="Heading2"/>
      </w:pPr>
      <w:r>
        <w:t>Profitability Analysis</w:t>
      </w:r>
    </w:p>
    <w:p w:rsidR="00DD70C8" w:rsidRPr="00B73CB0" w:rsidRDefault="00B73CB0" w:rsidP="00DD70C8">
      <w:pPr>
        <w:jc w:val="both"/>
        <w:rPr>
          <w:b/>
          <w:bCs/>
          <w:sz w:val="24"/>
          <w:szCs w:val="24"/>
        </w:rPr>
      </w:pPr>
      <w:r w:rsidRPr="00B73CB0">
        <w:rPr>
          <w:b/>
          <w:bCs/>
          <w:sz w:val="24"/>
          <w:szCs w:val="24"/>
        </w:rPr>
        <w:t>Operating Break Even</w:t>
      </w:r>
    </w:p>
    <w:p w:rsidR="00DD70C8" w:rsidRPr="00DD70C8" w:rsidRDefault="00DD70C8" w:rsidP="00DD70C8">
      <w:pPr>
        <w:rPr>
          <w:rFonts w:ascii="Georgia" w:hAnsi="Georgia"/>
          <w:sz w:val="24"/>
          <w:szCs w:val="24"/>
        </w:rPr>
      </w:pPr>
      <w:r w:rsidRPr="00DD70C8">
        <w:rPr>
          <w:rFonts w:ascii="Georgia" w:hAnsi="Georgia"/>
          <w:sz w:val="24"/>
          <w:szCs w:val="24"/>
        </w:rPr>
        <w:t>Revenue – Running Cost</w:t>
      </w:r>
    </w:p>
    <w:p w:rsidR="00DD70C8" w:rsidRPr="00DD70C8" w:rsidRDefault="00DD70C8" w:rsidP="00DD70C8">
      <w:pPr>
        <w:rPr>
          <w:rFonts w:ascii="Georgia" w:hAnsi="Georgia"/>
          <w:sz w:val="24"/>
          <w:szCs w:val="24"/>
        </w:rPr>
      </w:pPr>
      <w:r w:rsidRPr="00DD70C8">
        <w:rPr>
          <w:rFonts w:ascii="Georgia" w:hAnsi="Georgia"/>
          <w:sz w:val="24"/>
          <w:szCs w:val="24"/>
        </w:rPr>
        <w:t xml:space="preserve">= </w:t>
      </w:r>
      <w:r w:rsidRPr="00DD70C8">
        <w:rPr>
          <w:rFonts w:ascii="Georgia" w:hAnsi="Georgia"/>
          <w:sz w:val="24"/>
          <w:szCs w:val="24"/>
        </w:rPr>
        <w:t>112,800</w:t>
      </w:r>
      <w:r w:rsidRPr="00DD70C8">
        <w:rPr>
          <w:rFonts w:ascii="Georgia" w:hAnsi="Georgia"/>
          <w:sz w:val="24"/>
          <w:szCs w:val="24"/>
        </w:rPr>
        <w:t xml:space="preserve"> – </w:t>
      </w:r>
      <w:r w:rsidRPr="00DD70C8">
        <w:rPr>
          <w:rFonts w:ascii="Georgia" w:hAnsi="Georgia"/>
          <w:sz w:val="24"/>
          <w:szCs w:val="24"/>
        </w:rPr>
        <w:t>39,000</w:t>
      </w:r>
    </w:p>
    <w:p w:rsidR="00DD70C8" w:rsidRPr="00DD70C8" w:rsidRDefault="00DD70C8" w:rsidP="00DD70C8">
      <w:pPr>
        <w:rPr>
          <w:rFonts w:ascii="Georgia" w:hAnsi="Georgia"/>
          <w:sz w:val="24"/>
          <w:szCs w:val="24"/>
        </w:rPr>
      </w:pPr>
      <w:r w:rsidRPr="00DD70C8">
        <w:rPr>
          <w:rFonts w:ascii="Georgia" w:hAnsi="Georgia"/>
          <w:sz w:val="24"/>
          <w:szCs w:val="24"/>
        </w:rPr>
        <w:t>= 73,800 per year</w:t>
      </w:r>
    </w:p>
    <w:p w:rsidR="00D31E66" w:rsidRPr="00DD70C8" w:rsidRDefault="00000000" w:rsidP="00B73CB0">
      <w:pPr>
        <w:jc w:val="both"/>
        <w:rPr>
          <w:sz w:val="24"/>
          <w:szCs w:val="24"/>
        </w:rPr>
      </w:pPr>
      <w:r w:rsidRPr="00AC6570">
        <w:rPr>
          <w:b/>
          <w:sz w:val="24"/>
          <w:szCs w:val="24"/>
        </w:rPr>
        <w:t>Return on Investment (ROI)</w:t>
      </w:r>
    </w:p>
    <w:p w:rsidR="00DD70C8" w:rsidRPr="00B73CB0" w:rsidRDefault="00DD70C8" w:rsidP="00DD70C8">
      <w:pPr>
        <w:jc w:val="both"/>
        <w:rPr>
          <w:rFonts w:eastAsiaTheme="minorEastAsia"/>
          <w:sz w:val="24"/>
          <w:szCs w:val="24"/>
        </w:rPr>
      </w:pPr>
      <m:oMathPara>
        <m:oMath>
          <m:r>
            <w:rPr>
              <w:rFonts w:ascii="Cambria Math" w:hAnsi="Cambria Math"/>
              <w:sz w:val="24"/>
              <w:szCs w:val="24"/>
            </w:rPr>
            <m:t>ROI=</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73,800</m:t>
                  </m:r>
                </m:num>
                <m:den>
                  <m:r>
                    <w:rPr>
                      <w:rFonts w:ascii="Cambria Math" w:hAnsi="Cambria Math"/>
                      <w:sz w:val="24"/>
                      <w:szCs w:val="24"/>
                    </w:rPr>
                    <m:t>2,200,000</m:t>
                  </m:r>
                </m:den>
              </m:f>
            </m:e>
          </m:d>
          <m:r>
            <w:rPr>
              <w:rFonts w:ascii="Cambria Math" w:hAnsi="Cambria Math"/>
              <w:sz w:val="24"/>
              <w:szCs w:val="24"/>
            </w:rPr>
            <m:t>×100</m:t>
          </m:r>
        </m:oMath>
      </m:oMathPara>
    </w:p>
    <w:p w:rsidR="00B73CB0" w:rsidRPr="00B73CB0" w:rsidRDefault="00B73CB0" w:rsidP="00DD70C8">
      <w:pPr>
        <w:jc w:val="both"/>
        <w:rPr>
          <w:rFonts w:eastAsiaTheme="minorEastAsia"/>
          <w:sz w:val="24"/>
          <w:szCs w:val="24"/>
        </w:rPr>
      </w:pPr>
      <m:oMathPara>
        <m:oMath>
          <m:r>
            <w:rPr>
              <w:rFonts w:ascii="Cambria Math" w:eastAsiaTheme="minorEastAsia" w:hAnsi="Cambria Math"/>
              <w:sz w:val="24"/>
              <w:szCs w:val="24"/>
            </w:rPr>
            <m:t xml:space="preserve">≈3.35 </m:t>
          </m:r>
        </m:oMath>
      </m:oMathPara>
    </w:p>
    <w:p w:rsidR="00D31E66" w:rsidRDefault="00000000" w:rsidP="00B73CB0">
      <w:pPr>
        <w:jc w:val="both"/>
        <w:rPr>
          <w:b/>
          <w:sz w:val="24"/>
          <w:szCs w:val="24"/>
        </w:rPr>
      </w:pPr>
      <w:r w:rsidRPr="00AC6570">
        <w:rPr>
          <w:b/>
          <w:sz w:val="24"/>
          <w:szCs w:val="24"/>
        </w:rPr>
        <w:t>Payback Period</w:t>
      </w:r>
    </w:p>
    <w:p w:rsidR="00B73CB0" w:rsidRPr="00B73CB0" w:rsidRDefault="00B73CB0" w:rsidP="00B73CB0">
      <w:pPr>
        <w:jc w:val="both"/>
        <w:rPr>
          <w:rFonts w:eastAsiaTheme="minorEastAsia"/>
          <w:sz w:val="24"/>
          <w:szCs w:val="24"/>
        </w:rPr>
      </w:pPr>
      <m:oMathPara>
        <m:oMath>
          <m:r>
            <w:rPr>
              <w:rFonts w:ascii="Cambria Math" w:hAnsi="Cambria Math"/>
              <w:sz w:val="24"/>
              <w:szCs w:val="24"/>
            </w:rPr>
            <m:t xml:space="preserve">Payback Period= </m:t>
          </m:r>
          <m:f>
            <m:fPr>
              <m:ctrlPr>
                <w:rPr>
                  <w:rFonts w:ascii="Cambria Math" w:hAnsi="Cambria Math"/>
                  <w:i/>
                  <w:sz w:val="24"/>
                  <w:szCs w:val="24"/>
                </w:rPr>
              </m:ctrlPr>
            </m:fPr>
            <m:num>
              <m:r>
                <w:rPr>
                  <w:rFonts w:ascii="Cambria Math" w:hAnsi="Cambria Math"/>
                  <w:sz w:val="24"/>
                  <w:szCs w:val="24"/>
                </w:rPr>
                <m:t>2,200,000</m:t>
              </m:r>
            </m:num>
            <m:den>
              <m:r>
                <w:rPr>
                  <w:rFonts w:ascii="Cambria Math" w:hAnsi="Cambria Math"/>
                  <w:sz w:val="24"/>
                  <w:szCs w:val="24"/>
                </w:rPr>
                <m:t>73,800</m:t>
              </m:r>
            </m:den>
          </m:f>
        </m:oMath>
      </m:oMathPara>
    </w:p>
    <w:p w:rsidR="00B73CB0" w:rsidRPr="00B73CB0" w:rsidRDefault="00B73CB0" w:rsidP="00B73CB0">
      <w:pPr>
        <w:jc w:val="both"/>
        <w:rPr>
          <w:rFonts w:eastAsiaTheme="minorEastAsia"/>
          <w:sz w:val="24"/>
          <w:szCs w:val="24"/>
        </w:rPr>
      </w:pPr>
      <m:oMathPara>
        <m:oMath>
          <m:r>
            <w:rPr>
              <w:rFonts w:ascii="Cambria Math" w:eastAsiaTheme="minorEastAsia" w:hAnsi="Cambria Math"/>
              <w:sz w:val="24"/>
              <w:szCs w:val="24"/>
            </w:rPr>
            <m:t>≈30 years</m:t>
          </m:r>
        </m:oMath>
      </m:oMathPara>
    </w:p>
    <w:p w:rsidR="00D31E66" w:rsidRPr="00AC6570" w:rsidRDefault="00000000" w:rsidP="00AC6570">
      <w:pPr>
        <w:jc w:val="both"/>
        <w:rPr>
          <w:sz w:val="24"/>
          <w:szCs w:val="24"/>
        </w:rPr>
      </w:pPr>
      <w:r w:rsidRPr="00AC6570">
        <w:rPr>
          <w:sz w:val="24"/>
          <w:szCs w:val="24"/>
        </w:rPr>
        <w:lastRenderedPageBreak/>
        <w:t>Despite the positive cash flow, the low ROI and extended payback period remain critical challenges. Enhancing revenue through premium services, diversifying income streams, or reducing operating costs is vital to improve these financial metrics.</w:t>
      </w:r>
    </w:p>
    <w:p w:rsidR="00D31E66" w:rsidRPr="004748A1" w:rsidRDefault="00000000" w:rsidP="00AC6570">
      <w:pPr>
        <w:pStyle w:val="Heading2"/>
        <w:jc w:val="both"/>
        <w:rPr>
          <w:sz w:val="32"/>
          <w:szCs w:val="32"/>
        </w:rPr>
      </w:pPr>
      <w:r w:rsidRPr="004748A1">
        <w:rPr>
          <w:sz w:val="32"/>
          <w:szCs w:val="32"/>
        </w:rPr>
        <w:t>9. Risk Assessment &amp; Mitigation</w:t>
      </w:r>
    </w:p>
    <w:p w:rsidR="00D31E66" w:rsidRPr="00AC6570" w:rsidRDefault="00000000" w:rsidP="00AC6570">
      <w:pPr>
        <w:jc w:val="both"/>
        <w:rPr>
          <w:sz w:val="24"/>
          <w:szCs w:val="24"/>
        </w:rPr>
      </w:pPr>
      <w:r w:rsidRPr="00AC6570">
        <w:rPr>
          <w:sz w:val="24"/>
          <w:szCs w:val="24"/>
        </w:rPr>
        <w:t>Several risks could impact the project's success:</w:t>
      </w:r>
    </w:p>
    <w:p w:rsidR="00D31E66" w:rsidRPr="00AC6570" w:rsidRDefault="00000000" w:rsidP="00AC6570">
      <w:pPr>
        <w:numPr>
          <w:ilvl w:val="0"/>
          <w:numId w:val="5"/>
        </w:numPr>
        <w:jc w:val="both"/>
        <w:rPr>
          <w:sz w:val="24"/>
          <w:szCs w:val="24"/>
        </w:rPr>
      </w:pPr>
      <w:r w:rsidRPr="00AC6570">
        <w:rPr>
          <w:b/>
          <w:sz w:val="24"/>
          <w:szCs w:val="24"/>
        </w:rPr>
        <w:t>Market &amp; Economic Risks:</w:t>
      </w:r>
      <w:r w:rsidRPr="00AC6570">
        <w:rPr>
          <w:sz w:val="24"/>
          <w:szCs w:val="24"/>
        </w:rPr>
        <w:t xml:space="preserve"> Variability in tenant demand and intensified competition could affect occupancy rates. Mitigation measures include conducting regular market studies and offering flexible lease agreements.</w:t>
      </w:r>
    </w:p>
    <w:p w:rsidR="00D31E66" w:rsidRPr="00AC6570" w:rsidRDefault="00000000" w:rsidP="00AC6570">
      <w:pPr>
        <w:numPr>
          <w:ilvl w:val="0"/>
          <w:numId w:val="5"/>
        </w:numPr>
        <w:jc w:val="both"/>
        <w:rPr>
          <w:sz w:val="24"/>
          <w:szCs w:val="24"/>
        </w:rPr>
      </w:pPr>
      <w:r w:rsidRPr="00AC6570">
        <w:rPr>
          <w:b/>
          <w:sz w:val="24"/>
          <w:szCs w:val="24"/>
        </w:rPr>
        <w:t>Construction &amp; Operational Risks:</w:t>
      </w:r>
      <w:r w:rsidRPr="00AC6570">
        <w:rPr>
          <w:sz w:val="24"/>
          <w:szCs w:val="24"/>
        </w:rPr>
        <w:t xml:space="preserve"> Potential delays and cost overruns necessitate the engagement of experienced contractors and a phased construction approach with milestone reviews.</w:t>
      </w:r>
    </w:p>
    <w:p w:rsidR="00D31E66" w:rsidRPr="00AC6570" w:rsidRDefault="00000000" w:rsidP="00AC6570">
      <w:pPr>
        <w:numPr>
          <w:ilvl w:val="0"/>
          <w:numId w:val="5"/>
        </w:numPr>
        <w:jc w:val="both"/>
        <w:rPr>
          <w:sz w:val="24"/>
          <w:szCs w:val="24"/>
        </w:rPr>
      </w:pPr>
      <w:r w:rsidRPr="00AC6570">
        <w:rPr>
          <w:b/>
          <w:sz w:val="24"/>
          <w:szCs w:val="24"/>
        </w:rPr>
        <w:t>Regulatory Risks:</w:t>
      </w:r>
      <w:r w:rsidRPr="00AC6570">
        <w:rPr>
          <w:sz w:val="24"/>
          <w:szCs w:val="24"/>
        </w:rPr>
        <w:t xml:space="preserve"> Ongoing monitoring of local legislative changes is essential to maintain compliance.</w:t>
      </w:r>
    </w:p>
    <w:p w:rsidR="00D31E66" w:rsidRPr="00AC6570" w:rsidRDefault="00000000" w:rsidP="00AC6570">
      <w:pPr>
        <w:jc w:val="both"/>
        <w:rPr>
          <w:sz w:val="24"/>
          <w:szCs w:val="24"/>
        </w:rPr>
      </w:pPr>
      <w:r w:rsidRPr="00AC6570">
        <w:rPr>
          <w:sz w:val="24"/>
          <w:szCs w:val="24"/>
        </w:rPr>
        <w:t>Additional strategies involve diversifying the tenant mix, establishing contingency funds for unforeseen cost escalations, and maintaining robust stakeholder engagement to ensure the project aligns with local community needs.</w:t>
      </w:r>
    </w:p>
    <w:p w:rsidR="00D31E66" w:rsidRPr="004748A1" w:rsidRDefault="00000000" w:rsidP="00AC6570">
      <w:pPr>
        <w:pStyle w:val="Heading2"/>
        <w:jc w:val="both"/>
        <w:rPr>
          <w:sz w:val="32"/>
          <w:szCs w:val="32"/>
        </w:rPr>
      </w:pPr>
      <w:r w:rsidRPr="004748A1">
        <w:rPr>
          <w:sz w:val="32"/>
          <w:szCs w:val="32"/>
        </w:rPr>
        <w:t>10. Strategic Considerations</w:t>
      </w:r>
    </w:p>
    <w:p w:rsidR="00D31E66" w:rsidRPr="00AC6570" w:rsidRDefault="00000000" w:rsidP="00AC6570">
      <w:pPr>
        <w:jc w:val="both"/>
        <w:rPr>
          <w:sz w:val="24"/>
          <w:szCs w:val="24"/>
        </w:rPr>
      </w:pPr>
      <w:r w:rsidRPr="00AC6570">
        <w:rPr>
          <w:sz w:val="24"/>
          <w:szCs w:val="24"/>
        </w:rPr>
        <w:t xml:space="preserve">The analysis compares immediate financial returns with broader, non-monetary benefits. Although the project </w:t>
      </w:r>
      <w:r w:rsidRPr="00AC6570">
        <w:rPr>
          <w:sz w:val="24"/>
          <w:szCs w:val="24"/>
        </w:rPr>
        <w:t>offers a positive net cash flow, the low ROI and long payback period present significant obstacles. Alternative strategies have been considered, including boosting revenue through premium offerings or mixed-use elements (e.g., co-working spaces) and forming strategic partnerships to share risk. Furthermore, non-monetary benefits—such as enhanced community development and improved local brand identity—are critical for the project’s long-term success and sustainability.</w:t>
      </w:r>
    </w:p>
    <w:p w:rsidR="00D31E66" w:rsidRPr="004748A1" w:rsidRDefault="00000000" w:rsidP="00AC6570">
      <w:pPr>
        <w:pStyle w:val="Heading2"/>
        <w:jc w:val="both"/>
        <w:rPr>
          <w:sz w:val="32"/>
          <w:szCs w:val="32"/>
        </w:rPr>
      </w:pPr>
      <w:r w:rsidRPr="004748A1">
        <w:rPr>
          <w:sz w:val="32"/>
          <w:szCs w:val="32"/>
        </w:rPr>
        <w:t>11. Conclusion</w:t>
      </w:r>
    </w:p>
    <w:p w:rsidR="00D31E66" w:rsidRPr="00AC6570" w:rsidRDefault="00000000" w:rsidP="00AC6570">
      <w:pPr>
        <w:jc w:val="both"/>
        <w:rPr>
          <w:sz w:val="24"/>
          <w:szCs w:val="24"/>
        </w:rPr>
      </w:pPr>
      <w:r w:rsidRPr="00AC6570">
        <w:rPr>
          <w:sz w:val="24"/>
          <w:szCs w:val="24"/>
        </w:rPr>
        <w:t xml:space="preserve">The </w:t>
      </w:r>
      <w:r w:rsidRPr="00AC6570">
        <w:rPr>
          <w:b/>
          <w:sz w:val="24"/>
          <w:szCs w:val="24"/>
        </w:rPr>
        <w:t>financial viability</w:t>
      </w:r>
      <w:r w:rsidRPr="00AC6570">
        <w:rPr>
          <w:sz w:val="24"/>
          <w:szCs w:val="24"/>
        </w:rPr>
        <w:t xml:space="preserve"> of the project is weak from a traditional investment perspective. Without revenue growth or cost reduction, </w:t>
      </w:r>
      <w:r w:rsidRPr="00AC6570">
        <w:rPr>
          <w:b/>
          <w:sz w:val="24"/>
          <w:szCs w:val="24"/>
        </w:rPr>
        <w:t>returns remain low</w:t>
      </w:r>
      <w:r w:rsidRPr="00AC6570">
        <w:rPr>
          <w:sz w:val="24"/>
          <w:szCs w:val="24"/>
        </w:rPr>
        <w:t xml:space="preserve">, and the </w:t>
      </w:r>
      <w:r w:rsidRPr="00AC6570">
        <w:rPr>
          <w:b/>
          <w:sz w:val="24"/>
          <w:szCs w:val="24"/>
        </w:rPr>
        <w:t>payback period is too long</w:t>
      </w:r>
      <w:r w:rsidRPr="00AC6570">
        <w:rPr>
          <w:sz w:val="24"/>
          <w:szCs w:val="24"/>
        </w:rPr>
        <w:t xml:space="preserve">. Investors may find </w:t>
      </w:r>
      <w:r w:rsidRPr="00AC6570">
        <w:rPr>
          <w:b/>
          <w:sz w:val="24"/>
          <w:szCs w:val="24"/>
        </w:rPr>
        <w:t>alternative projects with higher returns</w:t>
      </w:r>
      <w:r w:rsidRPr="00AC6570">
        <w:rPr>
          <w:sz w:val="24"/>
          <w:szCs w:val="24"/>
        </w:rPr>
        <w:t xml:space="preserve"> more attractive.</w:t>
      </w:r>
    </w:p>
    <w:p w:rsidR="00D31E66" w:rsidRPr="004748A1" w:rsidRDefault="00000000" w:rsidP="00AC6570">
      <w:pPr>
        <w:pStyle w:val="Heading2"/>
        <w:jc w:val="both"/>
        <w:rPr>
          <w:sz w:val="32"/>
          <w:szCs w:val="32"/>
        </w:rPr>
      </w:pPr>
      <w:r w:rsidRPr="004748A1">
        <w:rPr>
          <w:sz w:val="32"/>
          <w:szCs w:val="32"/>
        </w:rPr>
        <w:t>12. Recommendations</w:t>
      </w:r>
    </w:p>
    <w:p w:rsidR="00D31E66" w:rsidRPr="00AC6570" w:rsidRDefault="00000000" w:rsidP="00AC6570">
      <w:pPr>
        <w:numPr>
          <w:ilvl w:val="0"/>
          <w:numId w:val="6"/>
        </w:numPr>
        <w:jc w:val="both"/>
        <w:rPr>
          <w:sz w:val="24"/>
          <w:szCs w:val="24"/>
        </w:rPr>
      </w:pPr>
      <w:r w:rsidRPr="00AC6570">
        <w:rPr>
          <w:b/>
          <w:sz w:val="24"/>
          <w:szCs w:val="24"/>
        </w:rPr>
        <w:t>Improve Financial Metrics:</w:t>
      </w:r>
    </w:p>
    <w:p w:rsidR="00D31E66" w:rsidRPr="00AC6570" w:rsidRDefault="00000000" w:rsidP="00B73CB0">
      <w:pPr>
        <w:jc w:val="both"/>
        <w:rPr>
          <w:sz w:val="24"/>
          <w:szCs w:val="24"/>
        </w:rPr>
      </w:pPr>
      <w:r w:rsidRPr="00AC6570">
        <w:rPr>
          <w:sz w:val="24"/>
          <w:szCs w:val="24"/>
        </w:rPr>
        <w:t>Increase rental rates, introduce new revenue streams, or reduce operational costs.</w:t>
      </w:r>
    </w:p>
    <w:p w:rsidR="00D31E66" w:rsidRPr="00AC6570" w:rsidRDefault="00000000" w:rsidP="00AC6570">
      <w:pPr>
        <w:numPr>
          <w:ilvl w:val="0"/>
          <w:numId w:val="6"/>
        </w:numPr>
        <w:jc w:val="both"/>
        <w:rPr>
          <w:sz w:val="24"/>
          <w:szCs w:val="24"/>
        </w:rPr>
      </w:pPr>
      <w:r w:rsidRPr="00AC6570">
        <w:rPr>
          <w:b/>
          <w:sz w:val="24"/>
          <w:szCs w:val="24"/>
        </w:rPr>
        <w:t>Mitigate Financial Risks:</w:t>
      </w:r>
    </w:p>
    <w:p w:rsidR="00D31E66" w:rsidRPr="00AC6570" w:rsidRDefault="00000000" w:rsidP="00B73CB0">
      <w:pPr>
        <w:jc w:val="both"/>
        <w:rPr>
          <w:sz w:val="24"/>
          <w:szCs w:val="24"/>
        </w:rPr>
      </w:pPr>
      <w:r w:rsidRPr="00AC6570">
        <w:rPr>
          <w:sz w:val="24"/>
          <w:szCs w:val="24"/>
        </w:rPr>
        <w:t>Secure co-investment or donor partnerships to spread financial risk.</w:t>
      </w:r>
    </w:p>
    <w:p w:rsidR="00D31E66" w:rsidRPr="00AC6570" w:rsidRDefault="00000000" w:rsidP="00AC6570">
      <w:pPr>
        <w:numPr>
          <w:ilvl w:val="0"/>
          <w:numId w:val="6"/>
        </w:numPr>
        <w:jc w:val="both"/>
        <w:rPr>
          <w:sz w:val="24"/>
          <w:szCs w:val="24"/>
        </w:rPr>
      </w:pPr>
      <w:r w:rsidRPr="00AC6570">
        <w:rPr>
          <w:b/>
          <w:sz w:val="24"/>
          <w:szCs w:val="24"/>
        </w:rPr>
        <w:t>Consider Alternative Projects:</w:t>
      </w:r>
    </w:p>
    <w:p w:rsidR="00D31E66" w:rsidRPr="00AC6570" w:rsidRDefault="00000000" w:rsidP="00B73CB0">
      <w:pPr>
        <w:jc w:val="both"/>
        <w:rPr>
          <w:sz w:val="24"/>
          <w:szCs w:val="24"/>
        </w:rPr>
      </w:pPr>
      <w:r w:rsidRPr="00AC6570">
        <w:rPr>
          <w:sz w:val="24"/>
          <w:szCs w:val="24"/>
        </w:rPr>
        <w:t xml:space="preserve">If investment-focused, seek projects with </w:t>
      </w:r>
      <w:r w:rsidRPr="00AC6570">
        <w:rPr>
          <w:b/>
          <w:sz w:val="24"/>
          <w:szCs w:val="24"/>
        </w:rPr>
        <w:t>better ROI</w:t>
      </w:r>
      <w:r w:rsidRPr="00AC6570">
        <w:rPr>
          <w:sz w:val="24"/>
          <w:szCs w:val="24"/>
        </w:rPr>
        <w:t xml:space="preserve"> and </w:t>
      </w:r>
      <w:r w:rsidRPr="00AC6570">
        <w:rPr>
          <w:b/>
          <w:sz w:val="24"/>
          <w:szCs w:val="24"/>
        </w:rPr>
        <w:t>shorter payback periods</w:t>
      </w:r>
      <w:r w:rsidRPr="00AC6570">
        <w:rPr>
          <w:sz w:val="24"/>
          <w:szCs w:val="24"/>
        </w:rPr>
        <w:t>.</w:t>
      </w:r>
    </w:p>
    <w:p w:rsidR="00D31E66" w:rsidRPr="00AC6570" w:rsidRDefault="00000000" w:rsidP="00AC6570">
      <w:pPr>
        <w:numPr>
          <w:ilvl w:val="0"/>
          <w:numId w:val="6"/>
        </w:numPr>
        <w:jc w:val="both"/>
        <w:rPr>
          <w:sz w:val="24"/>
          <w:szCs w:val="24"/>
        </w:rPr>
      </w:pPr>
      <w:r w:rsidRPr="00AC6570">
        <w:rPr>
          <w:b/>
          <w:sz w:val="24"/>
          <w:szCs w:val="24"/>
        </w:rPr>
        <w:t>Strategic Decision Needed:</w:t>
      </w:r>
    </w:p>
    <w:p w:rsidR="00D31E66" w:rsidRDefault="00000000" w:rsidP="00B73CB0">
      <w:pPr>
        <w:jc w:val="both"/>
        <w:rPr>
          <w:sz w:val="24"/>
          <w:szCs w:val="24"/>
        </w:rPr>
      </w:pPr>
      <w:r w:rsidRPr="00AC6570">
        <w:rPr>
          <w:sz w:val="24"/>
          <w:szCs w:val="24"/>
        </w:rPr>
        <w:t xml:space="preserve">Either revise the financial model for better returns or reposition the project for </w:t>
      </w:r>
      <w:r w:rsidRPr="00AC6570">
        <w:rPr>
          <w:b/>
          <w:sz w:val="24"/>
          <w:szCs w:val="24"/>
        </w:rPr>
        <w:t>strategic, non-financial benefits</w:t>
      </w:r>
      <w:r w:rsidRPr="00AC6570">
        <w:rPr>
          <w:sz w:val="24"/>
          <w:szCs w:val="24"/>
        </w:rPr>
        <w:t>.</w:t>
      </w:r>
    </w:p>
    <w:p w:rsidR="00BE1C5F" w:rsidRDefault="00BE1C5F" w:rsidP="00B73CB0">
      <w:pPr>
        <w:jc w:val="both"/>
        <w:rPr>
          <w:rFonts w:ascii="Cambria" w:hAnsi="Cambria"/>
          <w:sz w:val="24"/>
          <w:szCs w:val="24"/>
        </w:rPr>
      </w:pPr>
    </w:p>
    <w:p w:rsidR="00BE1C5F" w:rsidRPr="00BE1C5F" w:rsidRDefault="00BE1C5F" w:rsidP="00BE1C5F">
      <w:pPr>
        <w:jc w:val="center"/>
        <w:rPr>
          <w:rFonts w:ascii="Cambria" w:hAnsi="Cambria"/>
          <w:b/>
          <w:bCs/>
          <w:sz w:val="24"/>
          <w:szCs w:val="24"/>
        </w:rPr>
      </w:pPr>
      <w:r>
        <w:rPr>
          <w:rFonts w:ascii="Cambria" w:hAnsi="Cambria"/>
          <w:b/>
          <w:bCs/>
          <w:sz w:val="24"/>
          <w:szCs w:val="24"/>
        </w:rPr>
        <w:t>-</w:t>
      </w:r>
      <w:r w:rsidRPr="00BE1C5F">
        <w:rPr>
          <w:rFonts w:ascii="Cambria" w:hAnsi="Cambria"/>
          <w:b/>
          <w:bCs/>
          <w:sz w:val="24"/>
          <w:szCs w:val="24"/>
        </w:rPr>
        <w:t>---</w:t>
      </w:r>
      <w:r>
        <w:rPr>
          <w:rFonts w:ascii="Cambria" w:hAnsi="Cambria"/>
          <w:b/>
          <w:bCs/>
          <w:sz w:val="24"/>
          <w:szCs w:val="24"/>
        </w:rPr>
        <w:t xml:space="preserve"> </w:t>
      </w:r>
      <w:r w:rsidRPr="00BE1C5F">
        <w:rPr>
          <w:rFonts w:ascii="Cambria" w:hAnsi="Cambria"/>
          <w:b/>
          <w:bCs/>
          <w:sz w:val="24"/>
          <w:szCs w:val="24"/>
        </w:rPr>
        <w:t>~~~</w:t>
      </w:r>
      <w:r>
        <w:rPr>
          <w:rFonts w:ascii="Cambria" w:hAnsi="Cambria"/>
          <w:b/>
          <w:bCs/>
          <w:sz w:val="24"/>
          <w:szCs w:val="24"/>
        </w:rPr>
        <w:t xml:space="preserve"> </w:t>
      </w:r>
      <w:r w:rsidRPr="00BE1C5F">
        <w:rPr>
          <w:rFonts w:ascii="Cambria" w:hAnsi="Cambria"/>
          <w:b/>
          <w:bCs/>
          <w:sz w:val="24"/>
          <w:szCs w:val="24"/>
        </w:rPr>
        <w:t>---</w:t>
      </w:r>
      <w:r>
        <w:rPr>
          <w:rFonts w:ascii="Cambria" w:hAnsi="Cambria"/>
          <w:b/>
          <w:bCs/>
          <w:sz w:val="24"/>
          <w:szCs w:val="24"/>
        </w:rPr>
        <w:t>-</w:t>
      </w:r>
    </w:p>
    <w:sectPr w:rsidR="00BE1C5F" w:rsidRPr="00BE1C5F" w:rsidSect="00AC6570">
      <w:pgSz w:w="12240" w:h="15840"/>
      <w:pgMar w:top="1440" w:right="1800" w:bottom="1440" w:left="180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C073F" w:rsidRDefault="00FC073F" w:rsidP="00BE1C5F">
      <w:pPr>
        <w:spacing w:after="0" w:line="240" w:lineRule="auto"/>
      </w:pPr>
      <w:r>
        <w:separator/>
      </w:r>
    </w:p>
  </w:endnote>
  <w:endnote w:type="continuationSeparator" w:id="0">
    <w:p w:rsidR="00FC073F" w:rsidRDefault="00FC073F" w:rsidP="00BE1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C073F" w:rsidRDefault="00FC073F" w:rsidP="00BE1C5F">
      <w:pPr>
        <w:spacing w:after="0" w:line="240" w:lineRule="auto"/>
      </w:pPr>
      <w:r>
        <w:separator/>
      </w:r>
    </w:p>
  </w:footnote>
  <w:footnote w:type="continuationSeparator" w:id="0">
    <w:p w:rsidR="00FC073F" w:rsidRDefault="00FC073F" w:rsidP="00BE1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82097"/>
    <w:multiLevelType w:val="multilevel"/>
    <w:tmpl w:val="069E53F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 w15:restartNumberingAfterBreak="0">
    <w:nsid w:val="1027673C"/>
    <w:multiLevelType w:val="multilevel"/>
    <w:tmpl w:val="4BE0687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 w15:restartNumberingAfterBreak="0">
    <w:nsid w:val="26251890"/>
    <w:multiLevelType w:val="multilevel"/>
    <w:tmpl w:val="29CA71A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3" w15:restartNumberingAfterBreak="0">
    <w:nsid w:val="2CC82F60"/>
    <w:multiLevelType w:val="multilevel"/>
    <w:tmpl w:val="4E5EF60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4" w15:restartNumberingAfterBreak="0">
    <w:nsid w:val="2D0F611C"/>
    <w:multiLevelType w:val="multilevel"/>
    <w:tmpl w:val="7DD4B26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5" w15:restartNumberingAfterBreak="0">
    <w:nsid w:val="48163C52"/>
    <w:multiLevelType w:val="multilevel"/>
    <w:tmpl w:val="9EF4A74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6" w15:restartNumberingAfterBreak="0">
    <w:nsid w:val="58D3582E"/>
    <w:multiLevelType w:val="multilevel"/>
    <w:tmpl w:val="364AFB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7" w15:restartNumberingAfterBreak="0">
    <w:nsid w:val="6D3E2DAF"/>
    <w:multiLevelType w:val="multilevel"/>
    <w:tmpl w:val="B61621D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8" w15:restartNumberingAfterBreak="0">
    <w:nsid w:val="6F794F89"/>
    <w:multiLevelType w:val="multilevel"/>
    <w:tmpl w:val="F7506E9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9" w15:restartNumberingAfterBreak="0">
    <w:nsid w:val="74DE463A"/>
    <w:multiLevelType w:val="hybridMultilevel"/>
    <w:tmpl w:val="EF4854AE"/>
    <w:lvl w:ilvl="0" w:tplc="344C958E">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A4C10"/>
    <w:multiLevelType w:val="multilevel"/>
    <w:tmpl w:val="9ADC6E4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num w:numId="1" w16cid:durableId="352921295">
    <w:abstractNumId w:val="5"/>
  </w:num>
  <w:num w:numId="2" w16cid:durableId="179437676">
    <w:abstractNumId w:val="4"/>
  </w:num>
  <w:num w:numId="3" w16cid:durableId="826172570">
    <w:abstractNumId w:val="0"/>
  </w:num>
  <w:num w:numId="4" w16cid:durableId="238449424">
    <w:abstractNumId w:val="2"/>
  </w:num>
  <w:num w:numId="5" w16cid:durableId="108549134">
    <w:abstractNumId w:val="3"/>
  </w:num>
  <w:num w:numId="6" w16cid:durableId="296111691">
    <w:abstractNumId w:val="6"/>
  </w:num>
  <w:num w:numId="7" w16cid:durableId="1371959176">
    <w:abstractNumId w:val="7"/>
  </w:num>
  <w:num w:numId="8" w16cid:durableId="62415915">
    <w:abstractNumId w:val="8"/>
  </w:num>
  <w:num w:numId="9" w16cid:durableId="1375740381">
    <w:abstractNumId w:val="10"/>
  </w:num>
  <w:num w:numId="10" w16cid:durableId="1302737263">
    <w:abstractNumId w:val="1"/>
  </w:num>
  <w:num w:numId="11" w16cid:durableId="14104202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1E66"/>
    <w:rsid w:val="004748A1"/>
    <w:rsid w:val="007F4F9F"/>
    <w:rsid w:val="008A5048"/>
    <w:rsid w:val="00AC6570"/>
    <w:rsid w:val="00B73CB0"/>
    <w:rsid w:val="00BE1C5F"/>
    <w:rsid w:val="00D31E66"/>
    <w:rsid w:val="00DD70C8"/>
    <w:rsid w:val="00FC07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13AD"/>
  <w15:docId w15:val="{84C50660-6677-45F4-B4AD-6D8259BA2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keepNext/>
      <w:keepLines/>
      <w:spacing w:before="480"/>
      <w:outlineLvl w:val="0"/>
    </w:pPr>
    <w:rPr>
      <w:b/>
      <w:sz w:val="48"/>
      <w:szCs w:val="48"/>
    </w:rPr>
  </w:style>
  <w:style w:type="paragraph" w:styleId="Heading2">
    <w:name w:val="heading 2"/>
    <w:uiPriority w:val="9"/>
    <w:unhideWhenUsed/>
    <w:qFormat/>
    <w:pPr>
      <w:keepNext/>
      <w:keepLines/>
      <w:spacing w:before="360" w:after="80"/>
      <w:outlineLvl w:val="1"/>
    </w:pPr>
    <w:rPr>
      <w:b/>
      <w:sz w:val="36"/>
      <w:szCs w:val="36"/>
    </w:rPr>
  </w:style>
  <w:style w:type="paragraph" w:styleId="Heading3">
    <w:name w:val="heading 3"/>
    <w:link w:val="Heading3Char"/>
    <w:uiPriority w:val="9"/>
    <w:unhideWhenUsed/>
    <w:qFormat/>
    <w:pPr>
      <w:keepNext/>
      <w:keepLines/>
      <w:spacing w:before="280" w:after="80"/>
      <w:outlineLvl w:val="2"/>
    </w:pPr>
    <w:rPr>
      <w:b/>
      <w:sz w:val="28"/>
      <w:szCs w:val="28"/>
    </w:rPr>
  </w:style>
  <w:style w:type="paragraph" w:styleId="Heading4">
    <w:name w:val="heading 4"/>
    <w:uiPriority w:val="9"/>
    <w:semiHidden/>
    <w:unhideWhenUsed/>
    <w:qFormat/>
    <w:pPr>
      <w:keepNext/>
      <w:keepLines/>
      <w:spacing w:before="240" w:after="40"/>
      <w:outlineLvl w:val="3"/>
    </w:pPr>
    <w:rPr>
      <w:b/>
      <w:sz w:val="24"/>
      <w:szCs w:val="24"/>
    </w:rPr>
  </w:style>
  <w:style w:type="paragraph" w:styleId="Heading5">
    <w:name w:val="heading 5"/>
    <w:uiPriority w:val="9"/>
    <w:semiHidden/>
    <w:unhideWhenUsed/>
    <w:qFormat/>
    <w:pPr>
      <w:keepNext/>
      <w:keepLines/>
      <w:spacing w:before="220" w:after="40"/>
      <w:outlineLvl w:val="4"/>
    </w:pPr>
    <w:rPr>
      <w:b/>
    </w:rPr>
  </w:style>
  <w:style w:type="paragraph" w:styleId="Heading6">
    <w:name w:val="heading 6"/>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table" w:styleId="GridTable4-Accent1">
    <w:name w:val="Grid Table 4 Accent 1"/>
    <w:basedOn w:val="TableNormal"/>
    <w:uiPriority w:val="49"/>
    <w:rsid w:val="004748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7F4F9F"/>
    <w:rPr>
      <w:b/>
      <w:sz w:val="28"/>
      <w:szCs w:val="28"/>
    </w:rPr>
  </w:style>
  <w:style w:type="table" w:styleId="GridTable5Dark-Accent1">
    <w:name w:val="Grid Table 5 Dark Accent 1"/>
    <w:basedOn w:val="TableNormal"/>
    <w:uiPriority w:val="50"/>
    <w:rsid w:val="007F4F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PlaceholderText">
    <w:name w:val="Placeholder Text"/>
    <w:basedOn w:val="DefaultParagraphFont"/>
    <w:uiPriority w:val="99"/>
    <w:semiHidden/>
    <w:rsid w:val="00DD70C8"/>
    <w:rPr>
      <w:color w:val="666666"/>
    </w:rPr>
  </w:style>
  <w:style w:type="paragraph" w:styleId="ListParagraph">
    <w:name w:val="List Paragraph"/>
    <w:basedOn w:val="Normal"/>
    <w:uiPriority w:val="34"/>
    <w:qFormat/>
    <w:rsid w:val="00DD70C8"/>
    <w:pPr>
      <w:ind w:left="720"/>
      <w:contextualSpacing/>
    </w:pPr>
  </w:style>
  <w:style w:type="paragraph" w:styleId="Header">
    <w:name w:val="header"/>
    <w:basedOn w:val="Normal"/>
    <w:link w:val="HeaderChar"/>
    <w:uiPriority w:val="99"/>
    <w:unhideWhenUsed/>
    <w:rsid w:val="00BE1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C5F"/>
  </w:style>
  <w:style w:type="paragraph" w:styleId="Footer">
    <w:name w:val="footer"/>
    <w:basedOn w:val="Normal"/>
    <w:link w:val="FooterChar"/>
    <w:uiPriority w:val="99"/>
    <w:unhideWhenUsed/>
    <w:rsid w:val="00BE1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ahmad</cp:lastModifiedBy>
  <cp:revision>4</cp:revision>
  <dcterms:created xsi:type="dcterms:W3CDTF">2025-03-14T08:03:00Z</dcterms:created>
  <dcterms:modified xsi:type="dcterms:W3CDTF">2025-03-14T09:00:00Z</dcterms:modified>
</cp:coreProperties>
</file>