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2E74B5"/>
        <w:spacing w:before="400" w:after="0"/>
        <w:jc w:val="center"/>
        <w:rPr/>
      </w:pPr>
      <w:r>
        <w:rPr>
          <w:rFonts w:eastAsia="Calibri" w:cs="Calibri" w:ascii="Calibri" w:hAnsi="Calibri"/>
          <w:b/>
          <w:bCs/>
          <w:color w:val="FFFFFF"/>
          <w:sz w:val="72"/>
          <w:szCs w:val="72"/>
        </w:rPr>
        <w:t>NexFlow</w:t>
      </w:r>
    </w:p>
    <w:p>
      <w:pPr>
        <w:pStyle w:val="Normal"/>
        <w:shd w:val="clear" w:fill="2E74B5"/>
        <w:spacing w:before="0" w:after="0"/>
        <w:jc w:val="center"/>
        <w:rPr/>
      </w:pPr>
      <w:r>
        <w:rPr>
          <w:rFonts w:eastAsia="Calibri" w:cs="Calibri" w:ascii="Calibri" w:hAnsi="Calibri"/>
          <w:color w:val="C7D2FE"/>
          <w:sz w:val="26"/>
          <w:szCs w:val="26"/>
        </w:rPr>
        <w:t>AI-Powered SaaS Workflow Automation Platform</w:t>
      </w:r>
    </w:p>
    <w:p>
      <w:pPr>
        <w:pStyle w:val="Normal"/>
        <w:shd w:val="clear" w:fill="2E74B5"/>
        <w:spacing w:before="0" w:after="300"/>
        <w:jc w:val="center"/>
        <w:rPr/>
      </w:pPr>
      <w:r>
        <w:rPr>
          <w:rFonts w:eastAsia="Calibri" w:cs="Calibri" w:ascii="Calibri" w:hAnsi="Calibri"/>
          <w:b/>
          <w:bCs/>
          <w:color w:val="FFFFFF"/>
          <w:sz w:val="24"/>
          <w:szCs w:val="24"/>
        </w:rPr>
        <w:t>Task 1 — Problem Statement, Business Case, Scope &amp; Goals</w:t>
      </w:r>
    </w:p>
    <w:p>
      <w:pPr>
        <w:pStyle w:val="Normal"/>
        <w:spacing w:before="100" w:after="100"/>
        <w:rPr/>
      </w:pPr>
      <w:r>
        <w:rPr/>
      </w:r>
    </w:p>
    <w:tbl>
      <w:tblPr>
        <w:tblW w:w="3000" w:type="pct"/>
        <w:jc w:val="left"/>
        <w:tblInd w:w="0" w:type="dxa"/>
        <w:tblLayout w:type="fixed"/>
        <w:tblCellMar>
          <w:top w:w="0" w:type="dxa"/>
          <w:left w:w="108" w:type="dxa"/>
          <w:bottom w:w="0" w:type="dxa"/>
          <w:right w:w="108" w:type="dxa"/>
        </w:tblCellMar>
      </w:tblPr>
      <w:tblGrid>
        <w:gridCol w:w="3023"/>
        <w:gridCol w:w="3024"/>
      </w:tblGrid>
      <w:tr>
        <w:trPr/>
        <w:tc>
          <w:tcPr>
            <w:tcW w:w="3023" w:type="dxa"/>
            <w:tcBorders>
              <w:top w:val="single" w:sz="4" w:space="0" w:color="000000"/>
              <w:left w:val="single" w:sz="4" w:space="0" w:color="000000"/>
              <w:bottom w:val="single" w:sz="4" w:space="0" w:color="000000"/>
              <w:right w:val="single" w:sz="4" w:space="0" w:color="000000"/>
            </w:tcBorders>
            <w:shd w:fill="BDD7EE" w:val="clear"/>
            <w:vAlign w:val="center"/>
          </w:tcPr>
          <w:p>
            <w:pPr>
              <w:pStyle w:val="Normal"/>
              <w:widowControl w:val="false"/>
              <w:spacing w:before="80" w:after="80"/>
              <w:jc w:val="center"/>
              <w:rPr/>
            </w:pPr>
            <w:r>
              <w:rPr>
                <w:rFonts w:eastAsia="Calibri" w:cs="Calibri" w:ascii="Calibri" w:hAnsi="Calibri"/>
                <w:b/>
                <w:bCs/>
                <w:color w:val="000000"/>
                <w:sz w:val="22"/>
                <w:szCs w:val="22"/>
              </w:rPr>
              <w:t>Student Name</w:t>
            </w:r>
          </w:p>
        </w:tc>
        <w:tc>
          <w:tcPr>
            <w:tcW w:w="30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80"/>
              <w:jc w:val="center"/>
              <w:rPr/>
            </w:pPr>
            <w:r>
              <w:rPr>
                <w:rFonts w:eastAsia="Calibri" w:cs="Calibri" w:ascii="Calibri" w:hAnsi="Calibri"/>
                <w:b w:val="false"/>
                <w:bCs w:val="false"/>
                <w:color w:val="000000"/>
                <w:sz w:val="22"/>
                <w:szCs w:val="22"/>
              </w:rPr>
              <w:t>Ahmad Abd Al-Qader Mahmoud</w:t>
            </w:r>
          </w:p>
        </w:tc>
      </w:tr>
      <w:tr>
        <w:trPr/>
        <w:tc>
          <w:tcPr>
            <w:tcW w:w="3023" w:type="dxa"/>
            <w:tcBorders>
              <w:top w:val="single" w:sz="4" w:space="0" w:color="000000"/>
              <w:left w:val="single" w:sz="4" w:space="0" w:color="000000"/>
              <w:bottom w:val="single" w:sz="4" w:space="0" w:color="000000"/>
              <w:right w:val="single" w:sz="4" w:space="0" w:color="000000"/>
            </w:tcBorders>
            <w:shd w:fill="BDD7EE" w:val="clear"/>
            <w:vAlign w:val="center"/>
          </w:tcPr>
          <w:p>
            <w:pPr>
              <w:pStyle w:val="Normal"/>
              <w:widowControl w:val="false"/>
              <w:spacing w:before="80" w:after="80"/>
              <w:jc w:val="center"/>
              <w:rPr/>
            </w:pPr>
            <w:r>
              <w:rPr>
                <w:rFonts w:eastAsia="Calibri" w:cs="Calibri" w:ascii="Calibri" w:hAnsi="Calibri"/>
                <w:b/>
                <w:bCs/>
                <w:color w:val="000000"/>
                <w:sz w:val="22"/>
                <w:szCs w:val="22"/>
              </w:rPr>
              <w:t>Student ID</w:t>
            </w:r>
          </w:p>
        </w:tc>
        <w:tc>
          <w:tcPr>
            <w:tcW w:w="30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80"/>
              <w:jc w:val="center"/>
              <w:rPr/>
            </w:pPr>
            <w:r>
              <w:rPr>
                <w:rFonts w:eastAsia="Calibri" w:cs="Calibri" w:ascii="Calibri" w:hAnsi="Calibri"/>
                <w:b w:val="false"/>
                <w:bCs w:val="false"/>
                <w:color w:val="000000"/>
                <w:sz w:val="22"/>
                <w:szCs w:val="22"/>
              </w:rPr>
              <w:t>202020786</w:t>
            </w:r>
          </w:p>
        </w:tc>
      </w:tr>
      <w:tr>
        <w:trPr/>
        <w:tc>
          <w:tcPr>
            <w:tcW w:w="3023" w:type="dxa"/>
            <w:tcBorders>
              <w:top w:val="single" w:sz="4" w:space="0" w:color="000000"/>
              <w:left w:val="single" w:sz="4" w:space="0" w:color="000000"/>
              <w:bottom w:val="single" w:sz="4" w:space="0" w:color="000000"/>
              <w:right w:val="single" w:sz="4" w:space="0" w:color="000000"/>
            </w:tcBorders>
            <w:shd w:fill="BDD7EE" w:val="clear"/>
            <w:vAlign w:val="center"/>
          </w:tcPr>
          <w:p>
            <w:pPr>
              <w:pStyle w:val="Normal"/>
              <w:widowControl w:val="false"/>
              <w:spacing w:before="80" w:after="80"/>
              <w:jc w:val="center"/>
              <w:rPr/>
            </w:pPr>
            <w:r>
              <w:rPr>
                <w:rFonts w:eastAsia="Calibri" w:cs="Calibri" w:ascii="Calibri" w:hAnsi="Calibri"/>
                <w:b/>
                <w:bCs/>
                <w:color w:val="000000"/>
                <w:sz w:val="22"/>
                <w:szCs w:val="22"/>
              </w:rPr>
              <w:t>Course</w:t>
            </w:r>
          </w:p>
        </w:tc>
        <w:tc>
          <w:tcPr>
            <w:tcW w:w="30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80"/>
              <w:jc w:val="center"/>
              <w:rPr/>
            </w:pPr>
            <w:r>
              <w:rPr>
                <w:rFonts w:eastAsia="Calibri" w:cs="Calibri" w:ascii="Calibri" w:hAnsi="Calibri"/>
                <w:b w:val="false"/>
                <w:bCs w:val="false"/>
                <w:color w:val="000000"/>
                <w:sz w:val="22"/>
                <w:szCs w:val="22"/>
              </w:rPr>
              <w:t>Software Engineering Project</w:t>
            </w:r>
          </w:p>
        </w:tc>
      </w:tr>
    </w:tbl>
    <w:p>
      <w:pPr>
        <w:pStyle w:val="Normal"/>
        <w:spacing w:before="100" w:after="100"/>
        <w:rPr/>
      </w:pPr>
      <w:r>
        <w:rPr/>
      </w:r>
    </w:p>
    <w:p>
      <w:pPr>
        <w:pStyle w:val="Normal"/>
        <w:pBdr>
          <w:bottom w:val="single" w:sz="6" w:space="0" w:color="E5E7EB"/>
        </w:pBdr>
        <w:spacing w:before="160" w:after="160"/>
        <w:rPr/>
      </w:pPr>
      <w:r>
        <w:rPr/>
      </w:r>
    </w:p>
    <w:p>
      <w:pPr>
        <w:pStyle w:val="Normal"/>
        <w:spacing w:before="320" w:after="160"/>
        <w:rPr/>
      </w:pPr>
      <w:r>
        <w:rPr>
          <w:rFonts w:eastAsia="Calibri" w:cs="Calibri" w:ascii="Calibri" w:hAnsi="Calibri"/>
          <w:b/>
          <w:bCs/>
          <w:color w:val="2E74B5"/>
          <w:sz w:val="32"/>
          <w:szCs w:val="32"/>
        </w:rPr>
        <w:t>1. Problem Statement</w:t>
      </w:r>
    </w:p>
    <w:p>
      <w:pPr>
        <w:pStyle w:val="Normal"/>
        <w:spacing w:before="80" w:after="80"/>
        <w:jc w:val="left"/>
        <w:rPr/>
      </w:pPr>
      <w:r>
        <w:rPr>
          <w:rFonts w:eastAsia="Calibri" w:cs="Calibri" w:ascii="Calibri" w:hAnsi="Calibri"/>
          <w:b w:val="false"/>
          <w:bCs w:val="false"/>
          <w:color w:val="000000"/>
          <w:sz w:val="22"/>
          <w:szCs w:val="22"/>
        </w:rPr>
        <w:t>Many individuals and businesses spend a significant portion of their time performing repetitive manual tasks — sending messages, collecting data, updating records, and triggering processes by hand. These tasks consume valuable time and are prone to human error, reducing overall productivity.</w:t>
      </w:r>
    </w:p>
    <w:p>
      <w:pPr>
        <w:pStyle w:val="Normal"/>
        <w:spacing w:before="100" w:after="100"/>
        <w:rPr/>
      </w:pPr>
      <w:r>
        <w:rPr/>
      </w:r>
    </w:p>
    <w:p>
      <w:pPr>
        <w:pStyle w:val="Normal"/>
        <w:spacing w:before="80" w:after="80"/>
        <w:jc w:val="left"/>
        <w:rPr/>
      </w:pPr>
      <w:r>
        <w:rPr>
          <w:rFonts w:eastAsia="Calibri" w:cs="Calibri" w:ascii="Calibri" w:hAnsi="Calibri"/>
          <w:b w:val="false"/>
          <w:bCs w:val="false"/>
          <w:color w:val="000000"/>
          <w:sz w:val="22"/>
          <w:szCs w:val="22"/>
        </w:rPr>
        <w:t>Existing automation tools in the market fail to address this problem comprehensively:</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Tools like Zapier and Make are subscription-based and become expensive quickly, making them inaccessible to small businesses and individual users.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Open-source alternatives like n8n require server setup and technical expertise, making them unsuitable for non-technical users.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Most platforms treat AI as an optional add-on rather than a core feature, limiting the intelligence users can bring into their automated workflows.</w:t>
      </w:r>
    </w:p>
    <w:p>
      <w:pPr>
        <w:pStyle w:val="Normal"/>
        <w:spacing w:before="100" w:after="100"/>
        <w:rPr/>
      </w:pPr>
      <w:r>
        <w:rPr/>
      </w:r>
    </w:p>
    <w:p>
      <w:pPr>
        <w:pStyle w:val="Normal"/>
        <w:spacing w:before="80" w:after="80"/>
        <w:jc w:val="left"/>
        <w:rPr/>
      </w:pPr>
      <w:r>
        <w:rPr>
          <w:rFonts w:eastAsia="Calibri" w:cs="Calibri" w:ascii="Calibri" w:hAnsi="Calibri"/>
          <w:b w:val="false"/>
          <w:bCs w:val="false"/>
          <w:color w:val="000000"/>
          <w:sz w:val="22"/>
          <w:szCs w:val="22"/>
        </w:rPr>
        <w:t>NexFlow addresses these gaps by providing an affordable, accessible, and AI-native automation platform that empowers both technical and non-technical users to automate their daily tasks visually — without writing a single line of code.</w:t>
      </w:r>
    </w:p>
    <w:p>
      <w:pPr>
        <w:pStyle w:val="Normal"/>
        <w:pBdr>
          <w:bottom w:val="single" w:sz="6" w:space="0" w:color="E5E7EB"/>
        </w:pBdr>
        <w:spacing w:before="160" w:after="160"/>
        <w:rPr/>
      </w:pPr>
      <w:r>
        <w:rPr/>
      </w:r>
    </w:p>
    <w:p>
      <w:pPr>
        <w:pStyle w:val="Normal"/>
        <w:spacing w:before="320" w:after="160"/>
        <w:rPr/>
      </w:pPr>
      <w:r>
        <w:rPr>
          <w:rFonts w:eastAsia="Calibri" w:cs="Calibri" w:ascii="Calibri" w:hAnsi="Calibri"/>
          <w:b/>
          <w:bCs/>
          <w:color w:val="2E74B5"/>
          <w:sz w:val="32"/>
          <w:szCs w:val="32"/>
        </w:rPr>
        <w:t>2. Business Case</w:t>
      </w:r>
    </w:p>
    <w:p>
      <w:pPr>
        <w:pStyle w:val="Normal"/>
        <w:spacing w:before="80" w:after="80"/>
        <w:jc w:val="left"/>
        <w:rPr/>
      </w:pPr>
      <w:r>
        <w:rPr>
          <w:rFonts w:eastAsia="Calibri" w:cs="Calibri" w:ascii="Calibri" w:hAnsi="Calibri"/>
          <w:b w:val="false"/>
          <w:bCs w:val="false"/>
          <w:color w:val="000000"/>
          <w:sz w:val="22"/>
          <w:szCs w:val="22"/>
        </w:rPr>
        <w:t>The global workflow automation market is growing rapidly as businesses of all sizes seek to improve efficiency and reduce operational costs. Despite the availability of several automation tools, no single platform successfully combines visual workflow building, deep AI integration, and accessible pricing in one product.</w:t>
      </w:r>
    </w:p>
    <w:p>
      <w:pPr>
        <w:pStyle w:val="Normal"/>
        <w:spacing w:before="100" w:after="100"/>
        <w:rPr/>
      </w:pPr>
      <w:r>
        <w:rPr/>
      </w:r>
    </w:p>
    <w:p>
      <w:pPr>
        <w:pStyle w:val="Normal"/>
        <w:spacing w:before="80" w:after="80"/>
        <w:jc w:val="left"/>
        <w:rPr/>
      </w:pPr>
      <w:r>
        <w:rPr>
          <w:rFonts w:eastAsia="Calibri" w:cs="Calibri" w:ascii="Calibri" w:hAnsi="Calibri"/>
          <w:b w:val="false"/>
          <w:bCs w:val="false"/>
          <w:color w:val="000000"/>
          <w:sz w:val="22"/>
          <w:szCs w:val="22"/>
        </w:rPr>
        <w:t>NexFlow presents a strong business case based on the following factors:</w:t>
      </w:r>
    </w:p>
    <w:p>
      <w:pPr>
        <w:pStyle w:val="Normal"/>
        <w:spacing w:before="100" w:after="100"/>
        <w:rPr/>
      </w:pPr>
      <w:r>
        <w:rPr/>
      </w:r>
    </w:p>
    <w:p>
      <w:pPr>
        <w:pStyle w:val="Normal"/>
        <w:spacing w:before="240" w:after="120"/>
        <w:rPr/>
      </w:pPr>
      <w:r>
        <w:rPr>
          <w:rFonts w:eastAsia="Calibri" w:cs="Calibri" w:ascii="Calibri" w:hAnsi="Calibri"/>
          <w:b/>
          <w:bCs/>
          <w:color w:val="1E1B4B"/>
          <w:sz w:val="26"/>
          <w:szCs w:val="26"/>
        </w:rPr>
        <w:t>2.1 Market Opportunity</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A large and growing segment of small businesses, freelancers, and developers are actively looking for affordable automation solutions.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The increasing adoption of AI tools creates demand for platforms that integrate AI natively into automation workflows.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Existing platforms leave a clear gap for a product that is simultaneously visual, intelligent, and affordable.</w:t>
      </w:r>
    </w:p>
    <w:p>
      <w:pPr>
        <w:pStyle w:val="Normal"/>
        <w:spacing w:before="100" w:after="100"/>
        <w:rPr/>
      </w:pPr>
      <w:r>
        <w:rPr/>
      </w:r>
    </w:p>
    <w:p>
      <w:pPr>
        <w:pStyle w:val="Normal"/>
        <w:spacing w:before="240" w:after="120"/>
        <w:rPr/>
      </w:pPr>
      <w:r>
        <w:rPr>
          <w:rFonts w:eastAsia="Calibri" w:cs="Calibri" w:ascii="Calibri" w:hAnsi="Calibri"/>
          <w:b/>
          <w:bCs/>
          <w:color w:val="1E1B4B"/>
          <w:sz w:val="26"/>
          <w:szCs w:val="26"/>
        </w:rPr>
        <w:t>2.2 Value Proposition</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Visual drag-and-drop canvas accessible to non-technical users.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Native integration with three leading AI providers — OpenAI, Anthropic Claude, and Google Gemini.</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A Free Tier that reduces barriers to adoption, supported by a paid subscription model for sustainability.</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No server setup or technical configuration required — fully cloud-based SaaS product.</w:t>
      </w:r>
    </w:p>
    <w:p>
      <w:pPr>
        <w:pStyle w:val="Normal"/>
        <w:spacing w:before="100" w:after="100"/>
        <w:rPr/>
      </w:pPr>
      <w:r>
        <w:rPr/>
      </w:r>
    </w:p>
    <w:p>
      <w:pPr>
        <w:pStyle w:val="Normal"/>
        <w:spacing w:before="240" w:after="120"/>
        <w:rPr/>
      </w:pPr>
      <w:r>
        <w:rPr>
          <w:rFonts w:eastAsia="Calibri" w:cs="Calibri" w:ascii="Calibri" w:hAnsi="Calibri"/>
          <w:b/>
          <w:bCs/>
          <w:color w:val="1E1B4B"/>
          <w:sz w:val="26"/>
          <w:szCs w:val="26"/>
        </w:rPr>
        <w:t>2.3 Revenue Model</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Free Tier: Limited workflow executions per month to attract users.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Pro Plan: Unlimited executions, advanced nodes, and priority support.</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Business Plan: Team collaboration, custom integrations, and dedicated infrastructure.</w:t>
      </w:r>
    </w:p>
    <w:p>
      <w:pPr>
        <w:pStyle w:val="Normal"/>
        <w:pBdr>
          <w:bottom w:val="single" w:sz="6" w:space="0" w:color="E5E7EB"/>
        </w:pBdr>
        <w:spacing w:before="160" w:after="160"/>
        <w:rPr/>
      </w:pPr>
      <w:r>
        <w:rPr/>
      </w:r>
    </w:p>
    <w:p>
      <w:pPr>
        <w:pStyle w:val="Normal"/>
        <w:spacing w:before="320" w:after="160"/>
        <w:rPr/>
      </w:pPr>
      <w:r>
        <w:rPr>
          <w:rFonts w:eastAsia="Calibri" w:cs="Calibri" w:ascii="Calibri" w:hAnsi="Calibri"/>
          <w:b/>
          <w:bCs/>
          <w:color w:val="2E74B5"/>
          <w:sz w:val="32"/>
          <w:szCs w:val="32"/>
        </w:rPr>
        <w:t>3. Scope</w:t>
      </w:r>
    </w:p>
    <w:p>
      <w:pPr>
        <w:pStyle w:val="Normal"/>
        <w:spacing w:before="240" w:after="120"/>
        <w:rPr/>
      </w:pPr>
      <w:r>
        <w:rPr>
          <w:rFonts w:eastAsia="Calibri" w:cs="Calibri" w:ascii="Calibri" w:hAnsi="Calibri"/>
          <w:b/>
          <w:bCs/>
          <w:color w:val="1E1B4B"/>
          <w:sz w:val="26"/>
          <w:szCs w:val="26"/>
        </w:rPr>
        <w:t>3.1 In Scope</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Visual drag-and-drop workflow canvas built with React Flow.</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Trigger Nodes: Manual, Schedule/Cron, and Webhook.</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Execution Nodes: OpenAI, Anthropic Claude, Google Gemini, Slack, Discord, Google Forms, and GitHub.</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User authentication via Email/Password, GitHub OAuth, and Google OAuth using Better Auth.</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Background workflow execution using Inngest with retry and scheduling support.</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SaaS monetization system with Free Tier, Subscriptions, and Paywalls via Polar.sh.</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Execution history dashboard and workflow management interface.</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Production error monitoring via Sentry.</w:t>
      </w:r>
    </w:p>
    <w:p>
      <w:pPr>
        <w:pStyle w:val="Normal"/>
        <w:spacing w:before="100" w:after="100"/>
        <w:rPr/>
      </w:pPr>
      <w:r>
        <w:rPr/>
      </w:r>
    </w:p>
    <w:p>
      <w:pPr>
        <w:pStyle w:val="Normal"/>
        <w:spacing w:before="240" w:after="120"/>
        <w:rPr/>
      </w:pPr>
      <w:r>
        <w:rPr>
          <w:rFonts w:eastAsia="Calibri" w:cs="Calibri" w:ascii="Calibri" w:hAnsi="Calibri"/>
          <w:b/>
          <w:bCs/>
          <w:color w:val="1E1B4B"/>
          <w:sz w:val="26"/>
          <w:szCs w:val="26"/>
        </w:rPr>
        <w:t>3.2 Out of Scope</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Mobile application — the platform is web-based only.</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Self-hosted deployment — NexFlow operates exclusively as a cloud-based SaaS product.</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Custom AI model training — NexFlow consumes existing AI APIs rather than building its own models.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Enterprise features such as multi-tenant management and advanced role-based access control.</w:t>
      </w:r>
    </w:p>
    <w:p>
      <w:pPr>
        <w:pStyle w:val="Normal"/>
        <w:pBdr>
          <w:bottom w:val="single" w:sz="6" w:space="0" w:color="E5E7EB"/>
        </w:pBdr>
        <w:spacing w:before="160" w:after="160"/>
        <w:rPr/>
      </w:pPr>
      <w:r>
        <w:rPr/>
      </w:r>
    </w:p>
    <w:p>
      <w:pPr>
        <w:pStyle w:val="Normal"/>
        <w:spacing w:before="320" w:after="160"/>
        <w:rPr/>
      </w:pPr>
      <w:r>
        <w:rPr>
          <w:rFonts w:eastAsia="Calibri" w:cs="Calibri" w:ascii="Calibri" w:hAnsi="Calibri"/>
          <w:b/>
          <w:bCs/>
          <w:color w:val="2E74B5"/>
          <w:sz w:val="32"/>
          <w:szCs w:val="32"/>
        </w:rPr>
        <w:t>4. Goals</w:t>
      </w:r>
    </w:p>
    <w:p>
      <w:pPr>
        <w:pStyle w:val="Normal"/>
        <w:spacing w:before="80" w:after="80"/>
        <w:jc w:val="left"/>
        <w:rPr/>
      </w:pPr>
      <w:r>
        <w:rPr>
          <w:rFonts w:eastAsia="Calibri" w:cs="Calibri" w:ascii="Calibri" w:hAnsi="Calibri"/>
          <w:b w:val="false"/>
          <w:bCs w:val="false"/>
          <w:color w:val="000000"/>
          <w:sz w:val="22"/>
          <w:szCs w:val="22"/>
        </w:rPr>
        <w:t>The primary goals of NexFlow are defined as follows:</w:t>
      </w:r>
    </w:p>
    <w:p>
      <w:pPr>
        <w:pStyle w:val="Normal"/>
        <w:spacing w:before="100" w:after="100"/>
        <w:rPr/>
      </w:pPr>
      <w:r>
        <w:rPr/>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To build a visual drag-and-drop workflow canvas that allows users to create and manage automated workflows without writing code.</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To integrate multiple AI providers — OpenAI, Anthropic Claude, and Google Gemini — as executable nodes that bring intelligent processing into any workflow.</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To develop a reliable background execution engine using Inngest that runs workflows automatically based on triggers such as schedules, webhooks, and form submissions.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To deliver a complete SaaS product with a full authentication system, third-party service integrations, and a monetization layer supporting Free Tier and paid Subscription plans.</w:t>
      </w:r>
    </w:p>
    <w:p>
      <w:pPr>
        <w:pStyle w:val="Normal"/>
        <w:spacing w:before="60" w:after="60"/>
        <w:ind w:left="360" w:hanging="260"/>
        <w:rPr/>
      </w:pPr>
      <w:r>
        <w:rPr>
          <w:rFonts w:eastAsia="Calibri" w:cs="Calibri" w:ascii="Calibri" w:hAnsi="Calibri"/>
          <w:b/>
          <w:bCs/>
          <w:color w:val="2E74B5"/>
          <w:sz w:val="22"/>
          <w:szCs w:val="22"/>
        </w:rPr>
        <w:t xml:space="preserve">•  </w:t>
      </w:r>
      <w:r>
        <w:rPr>
          <w:rFonts w:eastAsia="Calibri" w:cs="Calibri" w:ascii="Calibri" w:hAnsi="Calibri"/>
          <w:color w:val="000000"/>
          <w:sz w:val="22"/>
          <w:szCs w:val="22"/>
        </w:rPr>
        <w:t>To ensure production-grade reliability through real-time error monitoring with Sentry and automated AI-powered code reviews via CodeRabbit.</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639</Words>
  <Characters>3858</Characters>
  <CharactersWithSpaces>4483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2026-05-12T22:57:18Z</dcterms:created>
  <dc:creator>Un-named</dc:creator>
  <dc:description/>
  <dc:language>en-US</dc:language>
  <cp:lastModifiedBy/>
  <dcterms:modified xsi:type="dcterms:W3CDTF">2026-05-13T02:11:20Z</dcterms:modified>
  <cp:revision>2</cp:revision>
  <dc:subject/>
  <dc:title/>
</cp:coreProperties>
</file>