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A78D6"/>
          <w:sz w:val="56"/>
        </w:rPr>
        <w:t>ChurnSight</w:t>
      </w:r>
      <w:r>
        <w:rPr>
          <w:color w:val="0B0B0B"/>
          <w:sz w:val="30"/>
        </w:rPr>
        <w:t xml:space="preserve">  —  Customer Churn Predictor &amp; Analyst</w:t>
      </w:r>
    </w:p>
    <w:p>
      <w:r>
        <w:rPr>
          <w:color w:val="898781"/>
          <w:sz w:val="19"/>
        </w:rPr>
        <w:t>Model training &amp; evaluation documentation  ·  Telco customer dataset  ·  scikit-learn, seed 42</w:t>
      </w:r>
    </w:p>
    <w:p>
      <w:pPr>
        <w:pStyle w:val="Heading1"/>
      </w:pPr>
      <w:r>
        <w:t>About the Project</w:t>
      </w:r>
    </w:p>
    <w:p>
      <w:r>
        <w:t>ChurnSight is a churn-prediction system built on a telecom customer dataset. It trains a machine-learning model that scores every customer's probability of leaving, explains which attributes push that risk up or down, and exposes the model as a callable function so applications can query individual customers, hypothetical profiles, and what-if scenarios. This document covers the data work and the model: what was wrong with the data and how it was fixed, why this model was chosen, how it was evaluated, and what the results say.</w:t>
      </w:r>
    </w:p>
    <w:p>
      <w:pPr>
        <w:pStyle w:val="Heading1"/>
      </w:pPr>
      <w:r>
        <w:t>The Dataset</w:t>
      </w:r>
    </w:p>
    <w:p>
      <w:r>
        <w:t>The dataset contains 7,043 customers of a telecom provider with 21 columns: demographics (gender, senior-citizen status, partner, dependents), subscribed services (phone, internet, security, backup, streaming), account attributes (tenure in months, contract type, payment method, monthly and total charges) and the churn label. 26.5% of customers churned — a 1 : 2.8 class imbalance that directly shaped the evaluation-metric choice. The strongest visible pattern: month-to-month customers churn at 42.7%, one-year at 11.3%, two-year at 2.8%.</w:t>
      </w:r>
    </w:p>
    <w:p>
      <w:r>
        <w:drawing>
          <wp:inline xmlns:a="http://schemas.openxmlformats.org/drawingml/2006/main" xmlns:pic="http://schemas.openxmlformats.org/drawingml/2006/picture">
            <wp:extent cx="5669280" cy="1744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 Cleaning — What We Found and Fixed</w:t>
      </w:r>
    </w:p>
    <w:p>
      <w:pPr>
        <w:pStyle w:val="ListBullet"/>
      </w:pPr>
      <w:r>
        <w:rPr>
          <w:b/>
          <w:color w:val="0B0B0B"/>
        </w:rPr>
        <w:t xml:space="preserve">TotalCharges arrived as text. </w:t>
      </w:r>
      <w:r>
        <w:t>11 values contain a single space instead of a number — exactly the tenure-0, never-billed customers (all non-churned). Fixed by imputing 0.0 (the true amount billed so far, not a statistical guess) and keeping all rows so every count matches the source file.</w:t>
      </w:r>
    </w:p>
    <w:p>
      <w:pPr>
        <w:pStyle w:val="ListBullet"/>
      </w:pPr>
      <w:r>
        <w:rPr>
          <w:b/>
          <w:color w:val="0B0B0B"/>
        </w:rPr>
        <w:t xml:space="preserve">SeniorCitizen was encoded 0/1. </w:t>
      </w:r>
      <w:r>
        <w:t>Every other binary column uses Yes/No; normalized to Yes/No for consistency. Lossless.</w:t>
      </w:r>
    </w:p>
    <w:p>
      <w:pPr>
        <w:pStyle w:val="ListBullet"/>
      </w:pPr>
      <w:r>
        <w:rPr>
          <w:b/>
          <w:color w:val="0B0B0B"/>
        </w:rPr>
        <w:t xml:space="preserve">Everything else audited clean. </w:t>
      </w:r>
      <w:r>
        <w:t>No duplicates, no stray whitespace, no impossible values, service-flag structure fully consistent, and TotalCharges agrees with tenure × MonthlyCharges for every row.</w:t>
      </w:r>
    </w:p>
    <w:p>
      <w:r>
        <w:t>customerID is kept for lookups but excluded from model features, and TotalCharges is excluded as well — it is almost exactly tenure × MonthlyCharges (correlation 0.9996), which destabilizes coefficients and would make what-if scenarios internally inconsistent.</w:t>
      </w:r>
    </w:p>
    <w:p>
      <w:pPr>
        <w:pStyle w:val="Heading1"/>
      </w:pPr>
      <w:r>
        <w:t>The Trained Model — and Why This One</w:t>
      </w:r>
    </w:p>
    <w:p>
      <w:r>
        <w:t>The model is a scikit-learn pipeline: one-hot encoding for 15 categorical features, standardization for tenure and MonthlyCharges, and a logistic-regression classifier (regularization strength chosen by 5-fold stratified cross-validation). Logistic regression was chosen over gradient-boosted trees because it slightly wins on this dataset while giving exact per-customer explanations (each feature's push on the score) with zero extra dependencies — and calibrated probabilities, which matter because the score itself is shown to users. Class imbalance is handled by stratified splits and minority-focused metrics rather than class re-weighting, which would distort the predicted probabilities.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Model (5-fold CV on training split)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PR-AUC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ROC-AUC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Majority baseline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0.2654 ± 0.0001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0.5000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Logistic regression (C=0.1)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0.6599 ± 0.0189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0.8448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Hist gradient boosting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0.6486 ± 0.0212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0.8355</w:t>
            </w:r>
          </w:p>
        </w:tc>
      </w:tr>
    </w:tbl>
    <w:p>
      <w:pPr>
        <w:pStyle w:val="Heading1"/>
      </w:pPr>
      <w:r>
        <w:t>Evaluation Metric — Choice and Justification</w:t>
      </w:r>
    </w:p>
    <w:p>
      <w:pPr>
        <w:pStyle w:val="ListBullet"/>
      </w:pPr>
      <w:r>
        <w:rPr>
          <w:b/>
          <w:color w:val="0B0B0B"/>
        </w:rPr>
        <w:t xml:space="preserve">Accuracy — rejected. </w:t>
      </w:r>
      <w:r>
        <w:t>With 26.5% churn, predicting "nobody churns" scores 73.5% while being useless.</w:t>
      </w:r>
    </w:p>
    <w:p>
      <w:pPr>
        <w:pStyle w:val="ListBullet"/>
      </w:pPr>
      <w:r>
        <w:rPr>
          <w:b/>
          <w:color w:val="0B0B0B"/>
        </w:rPr>
        <w:t xml:space="preserve">PR-AUC — primary. </w:t>
      </w:r>
      <w:r>
        <w:t>Measures how well the churners (the minority class we care about) are ranked; gives no credit for confidently ranking easy non-churners.</w:t>
      </w:r>
    </w:p>
    <w:p>
      <w:pPr>
        <w:pStyle w:val="ListBullet"/>
      </w:pPr>
      <w:r>
        <w:rPr>
          <w:b/>
          <w:color w:val="0B0B0B"/>
        </w:rPr>
        <w:t xml:space="preserve">ROC-AUC — secondary. </w:t>
      </w:r>
      <w:r>
        <w:t>The standard comparison number for this dataset; a sanity anchor.</w:t>
      </w:r>
    </w:p>
    <w:p>
      <w:pPr>
        <w:pStyle w:val="ListBullet"/>
      </w:pPr>
      <w:r>
        <w:rPr>
          <w:b/>
          <w:color w:val="0B0B0B"/>
        </w:rPr>
        <w:t xml:space="preserve">Recall &amp; lift @ top-decile — operational. </w:t>
      </w:r>
      <w:r>
        <w:t>A retention team has a contact budget: "if we can call 10% of customers, how many churners are on the list?"</w:t>
      </w:r>
    </w:p>
    <w:p>
      <w:pPr>
        <w:pStyle w:val="ListBullet"/>
      </w:pPr>
      <w:r>
        <w:rPr>
          <w:b/>
          <w:color w:val="0B0B0B"/>
        </w:rPr>
        <w:t xml:space="preserve">Brier score &amp; calibration — trust. </w:t>
      </w:r>
      <w:r>
        <w:t>Predicted probabilities are shown to people, so 0.8 must actually mean about 80%.</w:t>
      </w:r>
    </w:p>
    <w:p>
      <w:pPr>
        <w:pStyle w:val="Heading1"/>
      </w:pPr>
      <w:r>
        <w:t>Results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Metric (holdout, 20%)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Value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PR-AUC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0.6305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vs 0.2654 for a no-skill ranker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ROC-AUC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0.8395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strong separation for a linear model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Precision @ top-10%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0.7357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73.6% of the top decile truly churn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Lift @ top-10%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2.77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2.77× better than contacting at random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Brier score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0.1389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well-calibrated probabilities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272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7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83280" cy="25819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5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B0B0B"/>
        </w:rPr>
        <w:t xml:space="preserve">Reading the results. </w:t>
      </w:r>
      <w:r>
        <w:t>The coefficients confirm the exploratory analysis — short tenure, month-to-month contracts, fiber-optic internet and electronic-check payment drive churn; long contracts and tenure protect against it. The calibration curve tracks the diagonal, so the probabilities can be quoted as-is. Decision: ship the logistic-regression pipeline as the served model.</w:t>
      </w:r>
    </w:p>
    <w:p>
      <w:pPr>
        <w:pStyle w:val="Heading1"/>
      </w:pPr>
      <w:r>
        <w:t>Conclusion</w:t>
      </w:r>
    </w:p>
    <w:p>
      <w:r>
        <w:t>The dataset needed only two documented fixes, verified by a full audit that found nothing else wrong. A deliberately simple, fully explainable model matches gradient boosting on ranking quality (PR-AUC 0.6305, ROC-AUC 0.8395 on holdout), captures 2.77× more churners than random outreach in its top decile, and produces calibrated, per-customer-explainable risk scores. Every number in this document is recomputed from the dataset with a fixed seed, and the full narrative with runnable code lives in notebooks/churn_eda_and_model.ipynb.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52514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0B0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0B0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