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cx-engine-fixture"/>
    <w:p>
      <w:pPr>
        <w:pStyle w:val="Heading1"/>
      </w:pPr>
      <w:r>
        <w:t xml:space="preserve">DOCX Engine Fixture</w:t>
      </w:r>
    </w:p>
    <w:p>
      <w:pPr>
        <w:pStyle w:val="FirstParagraph"/>
      </w:pPr>
      <w:r>
        <w:t xml:space="preserve">Pandoc converts this document to GitHub flavored markdown.</w:t>
      </w:r>
    </w:p>
    <w:p>
      <w:pPr>
        <w:pStyle w:val="BodyText"/>
      </w:pPr>
      <w:r>
        <w:t xml:space="preserve">Mathematical notation such as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x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must survive.</w:t>
      </w:r>
    </w:p>
    <w:p>
      <w:pPr>
        <w:pStyle w:val="BodyText"/>
      </w:pPr>
      <w:r>
        <w:t xml:space="preserve">Inline shell variables such as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are code spans and must never be rewritten as math, and currency like $5.00 stays escaped.</w:t>
      </w:r>
    </w:p>
    <w:p>
      <w:pPr>
        <w:pStyle w:val="BodyText"/>
      </w:pPr>
      <w:r>
        <w:t xml:space="preserve">Second paragraph with a display formula: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2026-08-08T20:00:13Z</dcterms:created>
  <dcterms:modified xsi:type="dcterms:W3CDTF">2026-08-08T20:00:13Z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