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A97BE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A97BE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A97BE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Schakelaar op bord vervangen door type IP2X</w:t>
            </w:r>
          </w:p>
        </w:tc>
      </w:tr>
      <w:tr w:rsidR="004C1595" w:rsidRPr="00A97BE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A97BE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A97BE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A97BE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A97BE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A97BE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A97BE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A97BE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A97BE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A97BE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Opvang van stoom condensaten dient herzien te worden.</w:t>
            </w:r>
          </w:p>
        </w:tc>
      </w:tr>
      <w:tr w:rsidR="0032138D" w:rsidRPr="00A97BE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A97BE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A97BE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A97BE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A97BE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A97BE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A97BE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A97BE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A97BE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proofErr w:type="spellStart"/>
            <w:r>
              <w:t>Verlichting</w:t>
            </w:r>
            <w:proofErr w:type="spellEnd"/>
            <w:r>
              <w:t xml:space="preserve"> in </w:t>
            </w:r>
            <w:proofErr w:type="spellStart"/>
            <w:r>
              <w:t>bord</w:t>
            </w:r>
            <w:proofErr w:type="spellEnd"/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A97BEE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300A77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Central bediening voor verlichting </w:t>
            </w:r>
            <w:r>
              <w:rPr>
                <w:sz w:val="19"/>
                <w:szCs w:val="19"/>
                <w:lang w:val="nl-BE"/>
              </w:rPr>
              <w:t>aanduiden en kleurcodering resp</w:t>
            </w:r>
            <w:r w:rsidRPr="00300A77">
              <w:rPr>
                <w:sz w:val="19"/>
                <w:szCs w:val="19"/>
                <w:lang w:val="nl-BE"/>
              </w:rPr>
              <w:t>ecteren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A97BE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</w:t>
            </w:r>
            <w:r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A97BE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Beter bevestigen van bekabeling aan kabelbanen.</w:t>
            </w:r>
          </w:p>
        </w:tc>
      </w:tr>
      <w:tr w:rsidR="009D5853" w:rsidRPr="00A97BE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A97BEE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A97BE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A97BE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A97BE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A97BE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A97BE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34FD" w:rsidRDefault="009F34FD">
      <w:r>
        <w:separator/>
      </w:r>
    </w:p>
  </w:endnote>
  <w:endnote w:type="continuationSeparator" w:id="0">
    <w:p w:rsidR="009F34FD" w:rsidRDefault="009F3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A97BEE" w:rsidRPr="00A97BEE">
      <w:rPr>
        <w:rFonts w:asciiTheme="majorHAnsi" w:eastAsiaTheme="majorEastAsia" w:hAnsiTheme="majorHAnsi" w:cstheme="majorBidi"/>
        <w:noProof/>
      </w:rPr>
      <w:t>13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34FD" w:rsidRDefault="009F34FD">
      <w:r>
        <w:separator/>
      </w:r>
    </w:p>
  </w:footnote>
  <w:footnote w:type="continuationSeparator" w:id="0">
    <w:p w:rsidR="009F34FD" w:rsidRDefault="009F34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</w:t>
    </w:r>
    <w:r w:rsidR="00300A77">
      <w:rPr>
        <w:b/>
        <w:sz w:val="28"/>
        <w:szCs w:val="28"/>
        <w:lang w:val="nl-BE"/>
      </w:rPr>
      <w:t>050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B050 -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B050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SICVI-865455010-897</_dlc_DocId>
    <_dlc_DocIdUrl xmlns="5920fc89-9b9e-4ed2-9bc3-359895254a97">
      <Url>https://cargillonline.sharepoint.com/sites/VilvoordeSiteManagement/VAIS/_layouts/15/DocIdRedir.aspx?ID=SICVI-865455010-897</Url>
      <Description>SICVI-865455010-897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897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42D98E6-E385-4F4A-AE7B-0582B2F903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BD367-806D-4308-9BFF-B15A79605637}"/>
</file>

<file path=customXml/itemProps3.xml><?xml version="1.0" encoding="utf-8"?>
<ds:datastoreItem xmlns:ds="http://schemas.openxmlformats.org/officeDocument/2006/customXml" ds:itemID="{04C47B12-9C1C-4E2A-8CCD-5CCEF759E1AA}"/>
</file>

<file path=customXml/itemProps4.xml><?xml version="1.0" encoding="utf-8"?>
<ds:datastoreItem xmlns:ds="http://schemas.openxmlformats.org/officeDocument/2006/customXml" ds:itemID="{9C0A2827-B599-42D6-B7E5-A0506F2C1EC6}"/>
</file>

<file path=customXml/itemProps5.xml><?xml version="1.0" encoding="utf-8"?>
<ds:datastoreItem xmlns:ds="http://schemas.openxmlformats.org/officeDocument/2006/customXml" ds:itemID="{E86511A3-8B55-4F5E-AA86-ACB9D6BEC0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3758</Words>
  <Characters>20671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3</cp:revision>
  <dcterms:created xsi:type="dcterms:W3CDTF">2015-11-03T13:40:00Z</dcterms:created>
  <dcterms:modified xsi:type="dcterms:W3CDTF">2015-11-04T11:26:00Z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a7ea3abc-9387-4b6f-801d-d325563a8d71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https://cargillonline.sharepoint.com/sites/VilvoordeSiteManagement/VAIS/_layouts/15/wrkstat.aspx?List=aba5a46e-1a19-46c2-9d5f-86063d1c04f3&amp;WorkflowInstanceName=a1846f99-2f94-41a0-ba30-36a72791ec0b, Done</vt:lpwstr>
  </property>
</Properties>
</file>