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21A6212F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A79E72B" w14:textId="1CA47ED7" w:rsidR="00E51F7F" w:rsidRPr="00460ABB" w:rsidRDefault="00E51F7F" w:rsidP="00DD757D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14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وطيران مسيرة استطلاع معادية أعلى موقع 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قيادة مجموعة اللواء والحركة إلى الموقع البديل</w:t>
            </w:r>
          </w:p>
        </w:tc>
      </w:tr>
      <w:tr w:rsidR="00460ABB" w:rsidRPr="00460ABB" w14:paraId="43BFC440" w14:textId="77777777" w:rsidTr="001C33F9">
        <w:trPr>
          <w:trHeight w:val="2826"/>
        </w:trPr>
        <w:tc>
          <w:tcPr>
            <w:tcW w:w="483" w:type="dxa"/>
            <w:shd w:val="clear" w:color="auto" w:fill="FFFFFF" w:themeFill="background1"/>
          </w:tcPr>
          <w:p w14:paraId="7D53C344" w14:textId="77777777" w:rsidR="00E51F7F" w:rsidRPr="00460ABB" w:rsidRDefault="00E51F7F" w:rsidP="00E51F7F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176F494" w14:textId="1A1C450B" w:rsidR="00E51F7F" w:rsidRPr="00460ABB" w:rsidRDefault="001C33F9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1200</w:t>
            </w:r>
          </w:p>
        </w:tc>
        <w:tc>
          <w:tcPr>
            <w:tcW w:w="3291" w:type="dxa"/>
            <w:shd w:val="clear" w:color="auto" w:fill="FFFFFF" w:themeFill="background1"/>
          </w:tcPr>
          <w:p w14:paraId="1B918266" w14:textId="77777777" w:rsidR="00E51F7F" w:rsidRPr="00460ABB" w:rsidRDefault="00E51F7F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844321C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B4338B6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4CE35E1B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99E104B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FE3E8F5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756CE56E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6DAA9269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35DEE4B9" w14:textId="77777777" w:rsidTr="001C33F9">
        <w:trPr>
          <w:trHeight w:val="1755"/>
        </w:trPr>
        <w:tc>
          <w:tcPr>
            <w:tcW w:w="483" w:type="dxa"/>
            <w:shd w:val="clear" w:color="auto" w:fill="FFFFFF" w:themeFill="background1"/>
          </w:tcPr>
          <w:p w14:paraId="2ED899B4" w14:textId="77777777" w:rsidR="00E51F7F" w:rsidRPr="00460ABB" w:rsidRDefault="00E51F7F" w:rsidP="00E51F7F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68D48AF" w14:textId="77777777" w:rsidR="00E51F7F" w:rsidRPr="00460ABB" w:rsidRDefault="00E51F7F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352A478D" w14:textId="77777777" w:rsidR="00E51F7F" w:rsidRPr="00460ABB" w:rsidRDefault="00E51F7F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أعلى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موقع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قيادة مجموعة اللواء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highlight w:val="yellow"/>
                <w:rtl/>
                <w:lang w:bidi="ar-AE"/>
              </w:rPr>
              <w:t>مما يتطلب الحركة إلى الموقع البديل</w:t>
            </w:r>
          </w:p>
        </w:tc>
        <w:tc>
          <w:tcPr>
            <w:tcW w:w="2160" w:type="dxa"/>
            <w:shd w:val="clear" w:color="auto" w:fill="FFFFFF" w:themeFill="background1"/>
          </w:tcPr>
          <w:p w14:paraId="3207CE3B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السيطرة العليا</w:t>
            </w:r>
          </w:p>
          <w:p w14:paraId="315BD817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الوحدة المتأثرة بالمعضلة</w:t>
            </w:r>
          </w:p>
          <w:p w14:paraId="707F7763" w14:textId="07BC4BE1" w:rsidR="00DD757D" w:rsidRPr="00460ABB" w:rsidRDefault="00DD757D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513F584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49BEC02A" w14:textId="77777777" w:rsidR="00E51F7F" w:rsidRPr="00460ABB" w:rsidRDefault="00E51F7F" w:rsidP="00E51F7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7C4565" w14:textId="77777777" w:rsidR="007A0B69" w:rsidRDefault="007A0B69">
      <w:r>
        <w:separator/>
      </w:r>
    </w:p>
  </w:endnote>
  <w:endnote w:type="continuationSeparator" w:id="0">
    <w:p w14:paraId="75FE4836" w14:textId="77777777" w:rsidR="007A0B69" w:rsidRDefault="007A0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3CB9AB" w14:textId="77777777" w:rsidR="007A0B69" w:rsidRDefault="007A0B69">
      <w:r>
        <w:separator/>
      </w:r>
    </w:p>
  </w:footnote>
  <w:footnote w:type="continuationSeparator" w:id="0">
    <w:p w14:paraId="635585AF" w14:textId="77777777" w:rsidR="007A0B69" w:rsidRDefault="007A0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69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B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678892A-0D96-445C-811F-6E482C8C3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