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990041" w:rsidRPr="00BA0892" w14:paraId="220DC094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2DE37C2" w14:textId="74E0CBF1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8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وهجوم جوي معادي على قيادة كتيبة الإسناد الإداري (مركز السيطرة الخلفي)</w:t>
            </w:r>
          </w:p>
        </w:tc>
      </w:tr>
      <w:tr w:rsidR="00990041" w:rsidRPr="00BA0892" w14:paraId="26A4F1FC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04A1C2F7" w14:textId="77777777" w:rsidR="00990041" w:rsidRPr="00BA0892" w:rsidRDefault="00990041" w:rsidP="0099004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CC13600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0730</w:t>
            </w:r>
          </w:p>
        </w:tc>
        <w:tc>
          <w:tcPr>
            <w:tcW w:w="3291" w:type="dxa"/>
            <w:shd w:val="clear" w:color="auto" w:fill="FFFFFF" w:themeFill="background1"/>
          </w:tcPr>
          <w:p w14:paraId="2B4187A7" w14:textId="77777777" w:rsidR="00990041" w:rsidRPr="00BA0892" w:rsidRDefault="00990041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طائرة مقاتلة معادية نوع (ميراج)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BFDC97E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227A69D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62FA595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CF02915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3464F04F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1F63CCD6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52B5E1D1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990041" w:rsidRPr="00BA0892" w14:paraId="0A6103E2" w14:textId="77777777" w:rsidTr="003639ED">
        <w:trPr>
          <w:trHeight w:val="3112"/>
        </w:trPr>
        <w:tc>
          <w:tcPr>
            <w:tcW w:w="483" w:type="dxa"/>
            <w:shd w:val="clear" w:color="auto" w:fill="FFFFFF" w:themeFill="background1"/>
          </w:tcPr>
          <w:p w14:paraId="20E408F8" w14:textId="77777777" w:rsidR="00990041" w:rsidRPr="00BA0892" w:rsidRDefault="00990041" w:rsidP="0099004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738E350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  <w:p w14:paraId="0C75705F" w14:textId="77777777" w:rsidR="00990041" w:rsidRPr="00BA0892" w:rsidRDefault="00990041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على أن يكون الفاصل الزمني بين الهجوم الجوي الأول والثاني 20 دقيقة بحد أقصى</w:t>
            </w:r>
          </w:p>
        </w:tc>
        <w:tc>
          <w:tcPr>
            <w:tcW w:w="3291" w:type="dxa"/>
            <w:shd w:val="clear" w:color="auto" w:fill="FFFFFF" w:themeFill="background1"/>
          </w:tcPr>
          <w:p w14:paraId="1064AD1A" w14:textId="77777777" w:rsidR="00990041" w:rsidRPr="00BA0892" w:rsidRDefault="00990041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جوي معادي بطائرة (ميراج) على قيادة كتيبة الإسناد الإداري أثناء التقدم للتماس نتج عنه تدمير آلية تتطلب إنقاذ وإصابة عدد (1) إصابة حرجة </w:t>
            </w:r>
            <w:r w:rsidRPr="002F4E09">
              <w:rPr>
                <w:rFonts w:ascii="Arial" w:hAnsi="Arial" w:cs="Arial"/>
                <w:color w:val="000000" w:themeColor="text1"/>
                <w:sz w:val="26"/>
                <w:szCs w:val="26"/>
                <w:highlight w:val="green"/>
                <w:rtl/>
                <w:lang w:bidi="ar-AE"/>
              </w:rPr>
              <w:t>تتطلب إخلاء جوي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015187F4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 الإسناد الإداري</w:t>
            </w:r>
          </w:p>
          <w:p w14:paraId="2FD95663" w14:textId="77777777" w:rsidR="00990041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3FD3D707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3CECFC53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A98D6F7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طلعة جوية من السيطرة العليا لفريق القوات الجوية</w:t>
            </w:r>
          </w:p>
          <w:p w14:paraId="047BA145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15E677E3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فريق تمثيل الإصابات</w:t>
            </w:r>
          </w:p>
          <w:p w14:paraId="4591EC32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0A1F24DE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67D5FEEF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17A21010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3F4EE53E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50BD548A" w14:textId="77777777" w:rsidR="00990041" w:rsidRPr="00BA0892" w:rsidRDefault="00990041" w:rsidP="0099004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40F84" w14:textId="77777777" w:rsidR="00F87A1C" w:rsidRDefault="00F87A1C">
      <w:r>
        <w:separator/>
      </w:r>
    </w:p>
  </w:endnote>
  <w:endnote w:type="continuationSeparator" w:id="0">
    <w:p w14:paraId="78CFD759" w14:textId="77777777" w:rsidR="00F87A1C" w:rsidRDefault="00F8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3A065F" w14:textId="77777777" w:rsidR="00F87A1C" w:rsidRDefault="00F87A1C">
      <w:r>
        <w:separator/>
      </w:r>
    </w:p>
  </w:footnote>
  <w:footnote w:type="continuationSeparator" w:id="0">
    <w:p w14:paraId="7FFDEDAC" w14:textId="77777777" w:rsidR="00F87A1C" w:rsidRDefault="00F87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12A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87A1C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026377C-D652-495C-831C-048F1F801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