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right"/>
        <w:bidi/>
      </w:pPr>
      <w:r>
        <w:rPr>
          <w:rFonts w:ascii="Traditional Arabic" w:hAnsi="Traditional Arabic" w:cs="Traditional Arabic"/>
          <w:b w:val="0"/>
          <w:color w:val="5A5046"/>
          <w:sz w:val="22"/>
          <w:rtl/>
        </w:rPr>
        <w:t>وزارة / القوات — نظام إدارة التمارين</w:t>
      </w:r>
    </w:p>
    <w:p>
      <w:pPr>
        <w:spacing w:after="360" w:before="0" w:line="360" w:lineRule="auto"/>
        <w:jc w:val="right"/>
        <w:bidi/>
      </w:pPr>
      <w:r>
        <w:rPr>
          <w:rFonts w:ascii="Traditional Arabic" w:hAnsi="Traditional Arabic" w:cs="Traditional Arabic"/>
          <w:b/>
          <w:color w:val="8B4513"/>
          <w:sz w:val="24"/>
          <w:rtl/>
        </w:rPr>
        <w:t>مساحة المحللين</w:t>
      </w:r>
    </w:p>
    <w:p>
      <w:pPr>
        <w:spacing w:after="200" w:before="160" w:line="360" w:lineRule="auto"/>
        <w:jc w:val="right"/>
        <w:bidi/>
      </w:pPr>
      <w:r>
        <w:rPr>
          <w:rFonts w:ascii="Traditional Arabic" w:hAnsi="Traditional Arabic" w:cs="Traditional Arabic"/>
          <w:b/>
          <w:color w:val="8B4513"/>
          <w:sz w:val="44"/>
          <w:rtl/>
        </w:rPr>
        <w:t>آلية معايير التقييم</w:t>
        <w:br/>
        <w:t>واحتساب النتيجة النهائية</w:t>
      </w:r>
    </w:p>
    <w:p>
      <w:pPr>
        <w:spacing w:after="120" w:before="0" w:line="360" w:lineRule="auto"/>
        <w:jc w:val="right"/>
        <w:bidi/>
      </w:pPr>
      <w:r>
        <w:rPr>
          <w:rFonts w:ascii="Traditional Arabic" w:hAnsi="Traditional Arabic" w:cs="Traditional Arabic"/>
          <w:b w:val="0"/>
          <w:color w:val="5A5046"/>
          <w:sz w:val="24"/>
          <w:rtl/>
        </w:rPr>
        <w:t>وثيقة مراجعة مهنية للمنهجية المعتمدة في النظام</w:t>
      </w:r>
    </w:p>
    <w:p>
      <w:pPr>
        <w:spacing w:after="360" w:before="0" w:line="360" w:lineRule="auto"/>
        <w:jc w:val="right"/>
        <w:bidi/>
      </w:pPr>
      <w:r>
        <w:rPr>
          <w:rFonts w:ascii="Traditional Arabic" w:hAnsi="Traditional Arabic" w:cs="Traditional Arabic"/>
          <w:b w:val="0"/>
          <w:color w:val="5A5046"/>
          <w:sz w:val="20"/>
          <w:rtl/>
        </w:rPr>
        <w:t>الاتجاه: من اليمين إلى اليسار  •  للاستخدام الداخلي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7F0E4" w:val="clear"/>
            <w:tcBorders>
              <w:top w:val="single" w:sz="8" w:color="C4A990"/>
              <w:left w:val="single" w:sz="8" w:color="C4A990"/>
              <w:bottom w:val="single" w:sz="8" w:color="C4A990"/>
              <w:right w:val="single" w:sz="8" w:color="C4A990"/>
            </w:tcBorders>
          </w:tcPr>
          <w:p>
            <w:pPr>
              <w:spacing w:after="80" w:before="80" w:line="360" w:lineRule="auto"/>
              <w:jc w:val="right"/>
              <w:bidi/>
            </w:pPr>
            <w:r>
              <w:rPr>
                <w:rFonts w:ascii="Traditional Arabic" w:hAnsi="Traditional Arabic" w:cs="Traditional Arabic"/>
                <w:b/>
                <w:color w:val="8B4513"/>
                <w:sz w:val="24"/>
                <w:rtl/>
              </w:rPr>
              <w:t>الغرض من الوثيقة</w:t>
            </w:r>
          </w:p>
          <w:p>
            <w:pPr>
              <w:spacing w:after="80" w:before="0" w:line="360" w:lineRule="auto"/>
              <w:jc w:val="right"/>
              <w:bidi/>
            </w:pPr>
            <w:r>
              <w:rPr>
                <w:rFonts w:ascii="Traditional Arabic" w:hAnsi="Traditional Arabic" w:cs="Traditional Arabic"/>
                <w:b w:val="0"/>
                <w:color w:val="5A5046"/>
                <w:sz w:val="22"/>
                <w:rtl/>
              </w:rPr>
              <w:t>توثيق مسار معايير التقييم، طريقة إدخال المعايير حسب المرحلة، حساب تعدد القوائم لنفس الوحدة، ثم آلية احتساب النتيجة النهائية على مستوى المرحلة ومستوى الوحدة.</w:t>
            </w:r>
          </w:p>
        </w:tc>
      </w:tr>
    </w:tbl>
    <w:p/>
    <w:p>
      <w:pPr>
        <w:spacing w:after="200" w:before="320" w:line="360" w:lineRule="auto"/>
        <w:jc w:val="right"/>
        <w:bidi/>
        <w:pBdr>
          <w:bottom w:val="single" w:sz="18" w:space="6" w:color="8B4513"/>
        </w:pBdr>
      </w:pPr>
      <w:r>
        <w:rPr>
          <w:rFonts w:ascii="Traditional Arabic" w:hAnsi="Traditional Arabic" w:cs="Traditional Arabic"/>
          <w:b/>
          <w:color w:val="8B4513"/>
          <w:sz w:val="30"/>
          <w:rtl/>
        </w:rPr>
        <w:t>محتويات الوثيقة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1.  مسار الدخول والشاشة الرئيسية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2.  أعمدة جدول توزيع النسبة المئوية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3.  خطوات إدخال المعايير حسب المرحلة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4.  اشتراطات التشغيل وتأكيد التفعيل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5.  حساب عدة قوائم لنفس الوحدة والمرحلة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6.  مثال رقمي توضيحي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7.  احتساب النتيجة النهائية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8.  جدول ملخص سريع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9.  خلاصة للمراجع</w:t>
      </w:r>
    </w:p>
    <w:p>
      <w:pPr>
        <w:spacing w:after="200" w:before="320" w:line="360" w:lineRule="auto"/>
        <w:jc w:val="right"/>
        <w:bidi/>
        <w:pBdr>
          <w:bottom w:val="single" w:sz="18" w:space="6" w:color="8B4513"/>
        </w:pBdr>
      </w:pPr>
      <w:r>
        <w:rPr>
          <w:rFonts w:ascii="Traditional Arabic" w:hAnsi="Traditional Arabic" w:cs="Traditional Arabic"/>
          <w:b/>
          <w:color w:val="8B4513"/>
          <w:sz w:val="30"/>
          <w:rtl/>
        </w:rPr>
        <w:t>1. مسار الدخول والشاشة الرئيسية</w:t>
      </w:r>
    </w:p>
    <w:p>
      <w:pPr>
        <w:spacing w:after="160" w:before="0" w:line="360" w:lineRule="auto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يتم الوصول إلى الشاشة عبر المسار التالي: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1.  الصفحة الرئيسية ← بطاقة المحللين ← ابدأ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2.  أدوات المحللين ← معايير التقييم</w:t>
      </w:r>
    </w:p>
    <w:p>
      <w:pPr>
        <w:spacing w:after="160" w:before="120" w:line="360" w:lineRule="auto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تظهر صفحة بعنوان «توزيع النسبة المئوية الإجمالية للتقييم»، وتعرض صفوفاً لمستويات الوحدات وأعمدة للمراحل التشغيلية.</w:t>
      </w:r>
    </w:p>
    <w:p>
      <w:pPr>
        <w:spacing w:after="200" w:before="320" w:line="360" w:lineRule="auto"/>
        <w:jc w:val="right"/>
        <w:bidi/>
        <w:pBdr>
          <w:bottom w:val="single" w:sz="18" w:space="6" w:color="8B4513"/>
        </w:pBdr>
      </w:pPr>
      <w:r>
        <w:rPr>
          <w:rFonts w:ascii="Traditional Arabic" w:hAnsi="Traditional Arabic" w:cs="Traditional Arabic"/>
          <w:b/>
          <w:color w:val="8B4513"/>
          <w:sz w:val="30"/>
          <w:rtl/>
        </w:rPr>
        <w:t>2. أعمدة جدول توزيع النسبة المئوية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8B4513" w:val="clear"/>
            <w:tcBorders>
              <w:top w:val="single" w:sz="8" w:color="8B4513"/>
              <w:left w:val="single" w:sz="8" w:color="8B4513"/>
              <w:bottom w:val="single" w:sz="8" w:color="8B4513"/>
              <w:right w:val="single" w:sz="8" w:color="8B4513"/>
            </w:tcBorders>
          </w:tcPr>
          <w:p>
            <w:pPr>
              <w:spacing w:after="40" w:before="40" w:line="360" w:lineRule="auto"/>
              <w:jc w:val="center"/>
              <w:bidi/>
            </w:pPr>
            <w:r/>
            <w:r>
              <w:rPr>
                <w:rFonts w:ascii="Traditional Arabic" w:hAnsi="Traditional Arabic" w:cs="Traditional Arabic"/>
                <w:b/>
                <w:color w:val="FFFFFF"/>
                <w:sz w:val="22"/>
                <w:rtl/>
              </w:rPr>
              <w:t>العمود</w:t>
            </w:r>
          </w:p>
        </w:tc>
        <w:tc>
          <w:tcPr>
            <w:tcW w:type="dxa" w:w="4819"/>
            <w:shd w:fill="8B4513" w:val="clear"/>
            <w:tcBorders>
              <w:top w:val="single" w:sz="8" w:color="8B4513"/>
              <w:left w:val="single" w:sz="8" w:color="8B4513"/>
              <w:bottom w:val="single" w:sz="8" w:color="8B4513"/>
              <w:right w:val="single" w:sz="8" w:color="8B4513"/>
            </w:tcBorders>
          </w:tcPr>
          <w:p>
            <w:pPr>
              <w:spacing w:after="40" w:before="40" w:line="360" w:lineRule="auto"/>
              <w:jc w:val="center"/>
              <w:bidi/>
            </w:pPr>
            <w:r/>
            <w:r>
              <w:rPr>
                <w:rFonts w:ascii="Traditional Arabic" w:hAnsi="Traditional Arabic" w:cs="Traditional Arabic"/>
                <w:b/>
                <w:color w:val="FFFFFF"/>
                <w:sz w:val="22"/>
                <w:rtl/>
              </w:rPr>
              <w:t>المعنى التشغيلي</w:t>
            </w:r>
          </w:p>
        </w:tc>
      </w:tr>
      <w:tr>
        <w:tc>
          <w:tcPr>
            <w:tcW w:type="dxa" w:w="481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ت</w:t>
            </w:r>
          </w:p>
        </w:tc>
        <w:tc>
          <w:tcPr>
            <w:tcW w:type="dxa" w:w="481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رقم تسلسلي للصف.</w:t>
            </w:r>
          </w:p>
        </w:tc>
      </w:tr>
      <w:tr>
        <w:tc>
          <w:tcPr>
            <w:tcW w:type="dxa" w:w="481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الوحدة</w:t>
            </w:r>
          </w:p>
        </w:tc>
        <w:tc>
          <w:tcPr>
            <w:tcW w:type="dxa" w:w="481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مستوى الوحدة من التخطيط (مثل قيادة كتيبة، سرية إشارة، مستوى لواء).</w:t>
            </w:r>
          </w:p>
        </w:tc>
      </w:tr>
      <w:tr>
        <w:tc>
          <w:tcPr>
            <w:tcW w:type="dxa" w:w="481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أعمدة المراحل</w:t>
            </w:r>
          </w:p>
        </w:tc>
        <w:tc>
          <w:tcPr>
            <w:tcW w:type="dxa" w:w="481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مجموع العلامات المخصصة للوحدة في كل مرحلة (تحضير، انفتاح، معركة تعرضية، مسارات التقييم).</w:t>
            </w:r>
          </w:p>
        </w:tc>
      </w:tr>
      <w:tr>
        <w:tc>
          <w:tcPr>
            <w:tcW w:type="dxa" w:w="481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الإجمالي</w:t>
            </w:r>
          </w:p>
        </w:tc>
        <w:tc>
          <w:tcPr>
            <w:tcW w:type="dxa" w:w="481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مجموع علامات مراحل الوحدة.</w:t>
            </w:r>
          </w:p>
        </w:tc>
      </w:tr>
      <w:tr>
        <w:tc>
          <w:tcPr>
            <w:tcW w:type="dxa" w:w="481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النسبة المئوية المخصصة</w:t>
            </w:r>
          </w:p>
        </w:tc>
        <w:tc>
          <w:tcPr>
            <w:tcW w:type="dxa" w:w="481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(إجمالي الوحدة ÷ إجمالي كل الوحدات) × 100.</w:t>
            </w:r>
          </w:p>
        </w:tc>
      </w:tr>
      <w:tr>
        <w:tc>
          <w:tcPr>
            <w:tcW w:type="dxa" w:w="481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تفاصيل / حذف</w:t>
            </w:r>
          </w:p>
        </w:tc>
        <w:tc>
          <w:tcPr>
            <w:tcW w:type="dxa" w:w="481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اختيار المرحلة لفتح جدول المعايير التفصيلي، أو حذف الوحدة.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7F0E4" w:val="clear"/>
            <w:tcBorders>
              <w:top w:val="single" w:sz="8" w:color="C4A990"/>
              <w:left w:val="single" w:sz="8" w:color="C4A990"/>
              <w:bottom w:val="single" w:sz="8" w:color="C4A990"/>
              <w:right w:val="single" w:sz="8" w:color="C4A990"/>
            </w:tcBorders>
          </w:tcPr>
          <w:p>
            <w:pPr>
              <w:spacing w:after="80" w:before="80" w:line="360" w:lineRule="auto"/>
              <w:jc w:val="right"/>
              <w:bidi/>
            </w:pPr>
            <w:r>
              <w:rPr>
                <w:rFonts w:ascii="Traditional Arabic" w:hAnsi="Traditional Arabic" w:cs="Traditional Arabic"/>
                <w:b/>
                <w:color w:val="8B4513"/>
                <w:sz w:val="24"/>
                <w:rtl/>
              </w:rPr>
              <w:t>دلالة الرمز «—»</w:t>
            </w:r>
          </w:p>
          <w:p>
            <w:pPr>
              <w:spacing w:after="80" w:before="0" w:line="360" w:lineRule="auto"/>
              <w:jc w:val="right"/>
              <w:bidi/>
            </w:pPr>
            <w:r>
              <w:rPr>
                <w:rFonts w:ascii="Traditional Arabic" w:hAnsi="Traditional Arabic" w:cs="Traditional Arabic"/>
                <w:b w:val="0"/>
                <w:color w:val="5A5046"/>
                <w:sz w:val="22"/>
                <w:rtl/>
              </w:rPr>
              <w:t>ظهور «—» في خلية مرحلة يعني أنه لم تُحفظ بعد علامات معايير لتلك الوحدة والمرحلة. هذا فراغ بيانات وليس تعطيلاً للآلية.</w:t>
            </w:r>
          </w:p>
        </w:tc>
      </w:tr>
    </w:tbl>
    <w:p/>
    <w:p>
      <w:pPr>
        <w:spacing w:after="200" w:before="320" w:line="360" w:lineRule="auto"/>
        <w:jc w:val="right"/>
        <w:bidi/>
        <w:pBdr>
          <w:bottom w:val="single" w:sz="18" w:space="6" w:color="8B4513"/>
        </w:pBdr>
      </w:pPr>
      <w:r>
        <w:rPr>
          <w:rFonts w:ascii="Traditional Arabic" w:hAnsi="Traditional Arabic" w:cs="Traditional Arabic"/>
          <w:b/>
          <w:color w:val="8B4513"/>
          <w:sz w:val="30"/>
          <w:rtl/>
        </w:rPr>
        <w:t>3. خطوات إدخال المعايير حسب المرحلة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1.  في صف الوحدة المطلوبة افتح القائمة «— اختر المرحلة —».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2.  اختر المرحلة (تحضير / انفتاح / معركة تعرضية / مسارات التقييم).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3.  ينتقل النظام إلى صفحة جدول المرحلة الخاصة بتلك الوحدة.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4.  تظهر بنود المعايير من عناوين قوائم التقييم المنشورة في التخطيط لنفس الوحدة والمرحلة.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5.  أدخل «العلامة المخصصة» لكل صف (لكل قائمة).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6.  تُحسب النسبة داخل المرحلة تلقائياً لكل صف.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7.  اضغط «حفظ وعودة» للرجوع إلى جدول التوزيع.</w:t>
      </w:r>
    </w:p>
    <w:p>
      <w:pPr>
        <w:spacing w:after="160" w:before="160" w:line="360" w:lineRule="auto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بعد الحفظ تمتلئ خلية المرحلة في الجدول العام بمجموع العلامات. يُكرَّر الإجراء لكل وحدة ولكل مرحلة حسب الحاجة.</w:t>
      </w:r>
    </w:p>
    <w:p>
      <w:pPr>
        <w:spacing w:after="200" w:before="320" w:line="360" w:lineRule="auto"/>
        <w:jc w:val="right"/>
        <w:bidi/>
        <w:pBdr>
          <w:bottom w:val="single" w:sz="18" w:space="6" w:color="8B4513"/>
        </w:pBdr>
      </w:pPr>
      <w:r>
        <w:rPr>
          <w:rFonts w:ascii="Traditional Arabic" w:hAnsi="Traditional Arabic" w:cs="Traditional Arabic"/>
          <w:b/>
          <w:color w:val="8B4513"/>
          <w:sz w:val="30"/>
          <w:rtl/>
        </w:rPr>
        <w:t>4. اشتراطات التشغيل وتأكيد التفعيل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•  وجود تمرين حالي في مساحة العمل.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•  وجود مراحل تقييم في كتالوج التخطيط / بنك المعلومات.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•  وجود قوائم تقييم منشورة من التخطيط لنفس الوحدة والمرحلة؛ وإلا تظهر رسالة بعدم توفر قوائم لتلك المرحلة.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7F0E4" w:val="clear"/>
            <w:tcBorders>
              <w:top w:val="single" w:sz="8" w:color="C4A990"/>
              <w:left w:val="single" w:sz="8" w:color="C4A990"/>
              <w:bottom w:val="single" w:sz="8" w:color="C4A990"/>
              <w:right w:val="single" w:sz="8" w:color="C4A990"/>
            </w:tcBorders>
          </w:tcPr>
          <w:p>
            <w:pPr>
              <w:spacing w:after="80" w:before="80" w:line="360" w:lineRule="auto"/>
              <w:jc w:val="right"/>
              <w:bidi/>
            </w:pPr>
            <w:r>
              <w:rPr>
                <w:rFonts w:ascii="Traditional Arabic" w:hAnsi="Traditional Arabic" w:cs="Traditional Arabic"/>
                <w:b/>
                <w:color w:val="8B4513"/>
                <w:sz w:val="24"/>
                <w:rtl/>
              </w:rPr>
              <w:t>تأكيد النظام</w:t>
            </w:r>
          </w:p>
          <w:p>
            <w:pPr>
              <w:spacing w:after="80" w:before="0" w:line="360" w:lineRule="auto"/>
              <w:jc w:val="right"/>
              <w:bidi/>
            </w:pPr>
            <w:r>
              <w:rPr>
                <w:rFonts w:ascii="Traditional Arabic" w:hAnsi="Traditional Arabic" w:cs="Traditional Arabic"/>
                <w:b w:val="0"/>
                <w:color w:val="5A5046"/>
                <w:sz w:val="22"/>
                <w:rtl/>
              </w:rPr>
              <w:t>الاشتراطات أعلاه مفعّلة أصلاً في صفحة معايير التقييم. الخلايا الفارغة تعني عدم إدخال بيانات بعد، وليست غياباً للمنهجية.</w:t>
            </w:r>
          </w:p>
        </w:tc>
      </w:tr>
    </w:tbl>
    <w:p/>
    <w:p>
      <w:pPr>
        <w:spacing w:after="200" w:before="320" w:line="360" w:lineRule="auto"/>
        <w:jc w:val="right"/>
        <w:bidi/>
        <w:pBdr>
          <w:bottom w:val="single" w:sz="18" w:space="6" w:color="8B4513"/>
        </w:pBdr>
      </w:pPr>
      <w:r>
        <w:rPr>
          <w:rFonts w:ascii="Traditional Arabic" w:hAnsi="Traditional Arabic" w:cs="Traditional Arabic"/>
          <w:b/>
          <w:color w:val="8B4513"/>
          <w:sz w:val="30"/>
          <w:rtl/>
        </w:rPr>
        <w:t>5. حساب عدة قوائم لنفس الوحدة والمرحلة</w:t>
      </w:r>
    </w:p>
    <w:p>
      <w:pPr>
        <w:spacing w:after="160" w:before="0" w:line="360" w:lineRule="auto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إذا كان لمستوى وحدة واحد (مثل اللواء) في مرحلة واحدة عدة قوائم تقييم (مثال: 7 قوائم)، يعاملها النظام كالتالي: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•  كل قائمة منشورة تظهر صفاً مستقلاً في جدول تفاصيل المرحلة.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•  تُدخل علامة مخصصة لكل قائمة على حدة.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•  إجمالي المرحلة لتلك الوحدة = مجموع علامات القوائم (جمع وليس متوسطاً).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•  نسبة كل قائمة داخل المرحلة = (علامة القائمة ÷ إجمالي المرحلة) × 100.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•  في جدول التوزيع العام تظهر خلية المرحلة لذلك المستوى بنفس مجموع العلامات.</w:t>
      </w:r>
    </w:p>
    <w:p>
      <w:pPr>
        <w:spacing w:after="160" w:before="160" w:line="360" w:lineRule="auto"/>
        <w:jc w:val="right"/>
        <w:bidi/>
      </w:pPr>
      <w:r>
        <w:rPr>
          <w:rFonts w:ascii="Traditional Arabic" w:hAnsi="Traditional Arabic" w:cs="Traditional Arabic"/>
          <w:b/>
          <w:color w:val="5C4033"/>
          <w:sz w:val="24"/>
          <w:rtl/>
        </w:rPr>
        <w:t>خلاصة: القوائم المتعددة لا تُدمَج في رقم واحد قبل الإدخال؛ لكل قائمة وزنها، والحساب النهائي للمرحلة هو جمع الأوزان.</w:t>
      </w:r>
    </w:p>
    <w:p>
      <w:pPr>
        <w:spacing w:after="200" w:before="320" w:line="360" w:lineRule="auto"/>
        <w:jc w:val="right"/>
        <w:bidi/>
        <w:pBdr>
          <w:bottom w:val="single" w:sz="18" w:space="6" w:color="8B4513"/>
        </w:pBdr>
      </w:pPr>
      <w:r>
        <w:rPr>
          <w:rFonts w:ascii="Traditional Arabic" w:hAnsi="Traditional Arabic" w:cs="Traditional Arabic"/>
          <w:b/>
          <w:color w:val="8B4513"/>
          <w:sz w:val="30"/>
          <w:rtl/>
        </w:rPr>
        <w:t>6. مثال رقمي توضيحي</w:t>
      </w:r>
    </w:p>
    <w:p>
      <w:pPr>
        <w:spacing w:after="160" w:before="0" w:line="360" w:lineRule="auto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افرض علامات مخصصة لسبع قوائم في مرحلة واحدة: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8B4513" w:val="clear"/>
            <w:tcBorders>
              <w:top w:val="single" w:sz="8" w:color="8B4513"/>
              <w:left w:val="single" w:sz="8" w:color="8B4513"/>
              <w:bottom w:val="single" w:sz="8" w:color="8B4513"/>
              <w:right w:val="single" w:sz="8" w:color="8B4513"/>
            </w:tcBorders>
          </w:tcPr>
          <w:p>
            <w:pPr>
              <w:spacing w:after="40" w:before="40" w:line="360" w:lineRule="auto"/>
              <w:jc w:val="center"/>
              <w:bidi/>
            </w:pPr>
            <w:r/>
            <w:r>
              <w:rPr>
                <w:rFonts w:ascii="Traditional Arabic" w:hAnsi="Traditional Arabic" w:cs="Traditional Arabic"/>
                <w:b/>
                <w:color w:val="FFFFFF"/>
                <w:sz w:val="22"/>
                <w:rtl/>
              </w:rPr>
              <w:t>ت</w:t>
            </w:r>
          </w:p>
        </w:tc>
        <w:tc>
          <w:tcPr>
            <w:tcW w:type="dxa" w:w="2409"/>
            <w:shd w:fill="8B4513" w:val="clear"/>
            <w:tcBorders>
              <w:top w:val="single" w:sz="8" w:color="8B4513"/>
              <w:left w:val="single" w:sz="8" w:color="8B4513"/>
              <w:bottom w:val="single" w:sz="8" w:color="8B4513"/>
              <w:right w:val="single" w:sz="8" w:color="8B4513"/>
            </w:tcBorders>
          </w:tcPr>
          <w:p>
            <w:pPr>
              <w:spacing w:after="40" w:before="40" w:line="360" w:lineRule="auto"/>
              <w:jc w:val="center"/>
              <w:bidi/>
            </w:pPr>
            <w:r/>
            <w:r>
              <w:rPr>
                <w:rFonts w:ascii="Traditional Arabic" w:hAnsi="Traditional Arabic" w:cs="Traditional Arabic"/>
                <w:b/>
                <w:color w:val="FFFFFF"/>
                <w:sz w:val="22"/>
                <w:rtl/>
              </w:rPr>
              <w:t>القائمة</w:t>
            </w:r>
          </w:p>
        </w:tc>
        <w:tc>
          <w:tcPr>
            <w:tcW w:type="dxa" w:w="2409"/>
            <w:shd w:fill="8B4513" w:val="clear"/>
            <w:tcBorders>
              <w:top w:val="single" w:sz="8" w:color="8B4513"/>
              <w:left w:val="single" w:sz="8" w:color="8B4513"/>
              <w:bottom w:val="single" w:sz="8" w:color="8B4513"/>
              <w:right w:val="single" w:sz="8" w:color="8B4513"/>
            </w:tcBorders>
          </w:tcPr>
          <w:p>
            <w:pPr>
              <w:spacing w:after="40" w:before="40" w:line="360" w:lineRule="auto"/>
              <w:jc w:val="center"/>
              <w:bidi/>
            </w:pPr>
            <w:r/>
            <w:r>
              <w:rPr>
                <w:rFonts w:ascii="Traditional Arabic" w:hAnsi="Traditional Arabic" w:cs="Traditional Arabic"/>
                <w:b/>
                <w:color w:val="FFFFFF"/>
                <w:sz w:val="22"/>
                <w:rtl/>
              </w:rPr>
              <w:t>العلامة المخصصة</w:t>
            </w:r>
          </w:p>
        </w:tc>
        <w:tc>
          <w:tcPr>
            <w:tcW w:type="dxa" w:w="2409"/>
            <w:shd w:fill="8B4513" w:val="clear"/>
            <w:tcBorders>
              <w:top w:val="single" w:sz="8" w:color="8B4513"/>
              <w:left w:val="single" w:sz="8" w:color="8B4513"/>
              <w:bottom w:val="single" w:sz="8" w:color="8B4513"/>
              <w:right w:val="single" w:sz="8" w:color="8B4513"/>
            </w:tcBorders>
          </w:tcPr>
          <w:p>
            <w:pPr>
              <w:spacing w:after="40" w:before="40" w:line="360" w:lineRule="auto"/>
              <w:jc w:val="center"/>
              <w:bidi/>
            </w:pPr>
            <w:r/>
            <w:r>
              <w:rPr>
                <w:rFonts w:ascii="Traditional Arabic" w:hAnsi="Traditional Arabic" w:cs="Traditional Arabic"/>
                <w:b/>
                <w:color w:val="FFFFFF"/>
                <w:sz w:val="22"/>
                <w:rtl/>
              </w:rPr>
              <w:t>النسبة داخل المرحلة</w:t>
            </w:r>
          </w:p>
        </w:tc>
      </w:tr>
      <w:tr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1</w:t>
            </w:r>
          </w:p>
        </w:tc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قائمة 1</w:t>
            </w:r>
          </w:p>
        </w:tc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10</w:t>
            </w:r>
          </w:p>
        </w:tc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10%</w:t>
            </w:r>
          </w:p>
        </w:tc>
      </w:tr>
      <w:tr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2</w:t>
            </w:r>
          </w:p>
        </w:tc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قائمة 2</w:t>
            </w:r>
          </w:p>
        </w:tc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15</w:t>
            </w:r>
          </w:p>
        </w:tc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15%</w:t>
            </w:r>
          </w:p>
        </w:tc>
      </w:tr>
      <w:tr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3</w:t>
            </w:r>
          </w:p>
        </w:tc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قائمة 3</w:t>
            </w:r>
          </w:p>
        </w:tc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10</w:t>
            </w:r>
          </w:p>
        </w:tc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10%</w:t>
            </w:r>
          </w:p>
        </w:tc>
      </w:tr>
      <w:tr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4</w:t>
            </w:r>
          </w:p>
        </w:tc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قائمة 4</w:t>
            </w:r>
          </w:p>
        </w:tc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20</w:t>
            </w:r>
          </w:p>
        </w:tc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20%</w:t>
            </w:r>
          </w:p>
        </w:tc>
      </w:tr>
      <w:tr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5</w:t>
            </w:r>
          </w:p>
        </w:tc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قائمة 5</w:t>
            </w:r>
          </w:p>
        </w:tc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15</w:t>
            </w:r>
          </w:p>
        </w:tc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15%</w:t>
            </w:r>
          </w:p>
        </w:tc>
      </w:tr>
      <w:tr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6</w:t>
            </w:r>
          </w:p>
        </w:tc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قائمة 6</w:t>
            </w:r>
          </w:p>
        </w:tc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10</w:t>
            </w:r>
          </w:p>
        </w:tc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10%</w:t>
            </w:r>
          </w:p>
        </w:tc>
      </w:tr>
      <w:tr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7</w:t>
            </w:r>
          </w:p>
        </w:tc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قائمة 7</w:t>
            </w:r>
          </w:p>
        </w:tc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20</w:t>
            </w:r>
          </w:p>
        </w:tc>
        <w:tc>
          <w:tcPr>
            <w:tcW w:type="dxa" w:w="240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20%</w:t>
            </w:r>
          </w:p>
        </w:tc>
      </w:tr>
      <w:tr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—</w:t>
            </w:r>
          </w:p>
        </w:tc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الإجمالي</w:t>
            </w:r>
          </w:p>
        </w:tc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100</w:t>
            </w:r>
          </w:p>
        </w:tc>
        <w:tc>
          <w:tcPr>
            <w:tcW w:type="dxa" w:w="240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100%</w:t>
            </w:r>
          </w:p>
        </w:tc>
      </w:tr>
    </w:tbl>
    <w:p/>
    <w:p>
      <w:pPr>
        <w:spacing w:after="160" w:before="0" w:line="360" w:lineRule="auto"/>
        <w:jc w:val="right"/>
        <w:bidi/>
      </w:pPr>
      <w:r>
        <w:rPr>
          <w:rFonts w:ascii="Traditional Arabic" w:hAnsi="Traditional Arabic" w:cs="Traditional Arabic"/>
          <w:b w:val="0"/>
          <w:color w:val="5A5046"/>
          <w:sz w:val="24"/>
          <w:rtl/>
        </w:rPr>
        <w:t>إذا لم تُدخل علامة لقائمة معيّنة فإنها لا تدخل في المجموع حتى تُحفظ قيمة لها.</w:t>
      </w:r>
    </w:p>
    <w:p>
      <w:pPr>
        <w:spacing w:after="200" w:before="320" w:line="360" w:lineRule="auto"/>
        <w:jc w:val="right"/>
        <w:bidi/>
        <w:pBdr>
          <w:bottom w:val="single" w:sz="18" w:space="6" w:color="8B4513"/>
        </w:pBdr>
      </w:pPr>
      <w:r>
        <w:rPr>
          <w:rFonts w:ascii="Traditional Arabic" w:hAnsi="Traditional Arabic" w:cs="Traditional Arabic"/>
          <w:b/>
          <w:color w:val="8B4513"/>
          <w:sz w:val="30"/>
          <w:rtl/>
        </w:rPr>
        <w:t>7. احتساب النتيجة النهائية</w:t>
      </w:r>
    </w:p>
    <w:p>
      <w:pPr>
        <w:spacing w:after="160" w:before="0" w:line="360" w:lineRule="auto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بعد ضبط المعايير، تعتمد صفحة «التقييم نهائي» على نتائج المحكمين مع القصوى المأخوذة من معايير التقييم (ما لم تُدخل قصوى يدوية).</w:t>
      </w:r>
    </w:p>
    <w:p>
      <w:pPr>
        <w:spacing w:after="160" w:before="120" w:line="360" w:lineRule="auto"/>
        <w:jc w:val="right"/>
        <w:bidi/>
      </w:pPr>
      <w:r>
        <w:rPr>
          <w:rFonts w:ascii="Traditional Arabic" w:hAnsi="Traditional Arabic" w:cs="Traditional Arabic"/>
          <w:b/>
          <w:color w:val="5C4033"/>
          <w:sz w:val="24"/>
          <w:rtl/>
        </w:rPr>
        <w:t>الحساب يتم على مستويين معاً: المرحلة ثم مستوى الوحدة.</w:t>
      </w:r>
    </w:p>
    <w:p>
      <w:pPr>
        <w:spacing w:after="200" w:before="240" w:line="360" w:lineRule="auto"/>
        <w:jc w:val="right"/>
        <w:bidi/>
      </w:pPr>
      <w:r>
        <w:rPr>
          <w:rFonts w:ascii="Traditional Arabic" w:hAnsi="Traditional Arabic" w:cs="Traditional Arabic"/>
          <w:b/>
          <w:color w:val="5C4033"/>
          <w:sz w:val="26"/>
          <w:rtl/>
        </w:rPr>
        <w:t>7.1 داخل المرحلة (لنفس مستوى الوحدة)</w:t>
      </w:r>
    </w:p>
    <w:p>
      <w:pPr>
        <w:spacing w:after="160" w:before="0" w:line="360" w:lineRule="auto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مثال: مستوى اللواء في مرحلة التحضير وفيه سبع قوائم معبّأة من المحكمين: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•  المكتسب = مجموع درجات المحكمين في القوائم التابعة لتلك الوحدة والمرحلة.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•  القصوى = مجموع العلامات المخصصة من معايير التقييم لتلك الوحدة والمرحلة.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•  نسبة المرحلة = (المكتسب ÷ القصوى) × 100.</w:t>
      </w:r>
    </w:p>
    <w:p>
      <w:pPr>
        <w:spacing w:after="160" w:before="120" w:line="360" w:lineRule="auto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كل مرحلة لها نسبة مستقلة لنفس الوحدة.</w:t>
      </w:r>
    </w:p>
    <w:p>
      <w:pPr>
        <w:spacing w:after="200" w:before="240" w:line="360" w:lineRule="auto"/>
        <w:jc w:val="right"/>
        <w:bidi/>
      </w:pPr>
      <w:r>
        <w:rPr>
          <w:rFonts w:ascii="Traditional Arabic" w:hAnsi="Traditional Arabic" w:cs="Traditional Arabic"/>
          <w:b/>
          <w:color w:val="5C4033"/>
          <w:sz w:val="26"/>
          <w:rtl/>
        </w:rPr>
        <w:t>7.2 نتيجة مستوى الوحدة (النهائي للوحدة)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7F0E4" w:val="clear"/>
            <w:tcBorders>
              <w:top w:val="single" w:sz="8" w:color="C4A990"/>
              <w:left w:val="single" w:sz="8" w:color="C4A990"/>
              <w:bottom w:val="single" w:sz="8" w:color="C4A990"/>
              <w:right w:val="single" w:sz="8" w:color="C4A990"/>
            </w:tcBorders>
          </w:tcPr>
          <w:p>
            <w:pPr>
              <w:spacing w:after="80" w:before="80" w:line="360" w:lineRule="auto"/>
              <w:jc w:val="right"/>
              <w:bidi/>
            </w:pPr>
            <w:r>
              <w:rPr>
                <w:rFonts w:ascii="Traditional Arabic" w:hAnsi="Traditional Arabic" w:cs="Traditional Arabic"/>
                <w:b/>
                <w:color w:val="8B4513"/>
                <w:sz w:val="24"/>
                <w:rtl/>
              </w:rPr>
              <w:t>المعادلة المعتمدة</w:t>
            </w:r>
          </w:p>
          <w:p>
            <w:pPr>
              <w:spacing w:after="80" w:before="0" w:line="360" w:lineRule="auto"/>
              <w:jc w:val="right"/>
              <w:bidi/>
            </w:pPr>
            <w:r>
              <w:rPr>
                <w:rFonts w:ascii="Traditional Arabic" w:hAnsi="Traditional Arabic" w:cs="Traditional Arabic"/>
                <w:b w:val="0"/>
                <w:color w:val="5A5046"/>
                <w:sz w:val="22"/>
                <w:rtl/>
              </w:rPr>
              <w:t>نتيجة الوحدة = متوسط نسب مراحلها = (مجموع نسب المراحل ÷ عدد المراحل التي لها نسبة).</w:t>
            </w:r>
          </w:p>
        </w:tc>
      </w:tr>
    </w:tbl>
    <w:p/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•  ليست متوسطاً مرجّحاً بأوزان مختلفة بين المراحل.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•  ليست خلطاً بين مستويات وحدات مختلفة؛ كل مستوى وحدة له نتيجته الخاصة.</w:t>
      </w:r>
    </w:p>
    <w:p>
      <w:pPr>
        <w:spacing w:after="200" w:before="320" w:line="360" w:lineRule="auto"/>
        <w:jc w:val="right"/>
        <w:bidi/>
        <w:pBdr>
          <w:bottom w:val="single" w:sz="18" w:space="6" w:color="8B4513"/>
        </w:pBdr>
      </w:pPr>
      <w:r>
        <w:rPr>
          <w:rFonts w:ascii="Traditional Arabic" w:hAnsi="Traditional Arabic" w:cs="Traditional Arabic"/>
          <w:b/>
          <w:color w:val="8B4513"/>
          <w:sz w:val="30"/>
          <w:rtl/>
        </w:rPr>
        <w:t>8. جدول ملخص سريع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8B4513" w:val="clear"/>
            <w:tcBorders>
              <w:top w:val="single" w:sz="8" w:color="8B4513"/>
              <w:left w:val="single" w:sz="8" w:color="8B4513"/>
              <w:bottom w:val="single" w:sz="8" w:color="8B4513"/>
              <w:right w:val="single" w:sz="8" w:color="8B4513"/>
            </w:tcBorders>
          </w:tcPr>
          <w:p>
            <w:pPr>
              <w:spacing w:after="40" w:before="40" w:line="360" w:lineRule="auto"/>
              <w:jc w:val="center"/>
              <w:bidi/>
            </w:pPr>
            <w:r/>
            <w:r>
              <w:rPr>
                <w:rFonts w:ascii="Traditional Arabic" w:hAnsi="Traditional Arabic" w:cs="Traditional Arabic"/>
                <w:b/>
                <w:color w:val="FFFFFF"/>
                <w:sz w:val="22"/>
                <w:rtl/>
              </w:rPr>
              <w:t>المستوى</w:t>
            </w:r>
          </w:p>
        </w:tc>
        <w:tc>
          <w:tcPr>
            <w:tcW w:type="dxa" w:w="4819"/>
            <w:shd w:fill="8B4513" w:val="clear"/>
            <w:tcBorders>
              <w:top w:val="single" w:sz="8" w:color="8B4513"/>
              <w:left w:val="single" w:sz="8" w:color="8B4513"/>
              <w:bottom w:val="single" w:sz="8" w:color="8B4513"/>
              <w:right w:val="single" w:sz="8" w:color="8B4513"/>
            </w:tcBorders>
          </w:tcPr>
          <w:p>
            <w:pPr>
              <w:spacing w:after="40" w:before="40" w:line="360" w:lineRule="auto"/>
              <w:jc w:val="center"/>
              <w:bidi/>
            </w:pPr>
            <w:r/>
            <w:r>
              <w:rPr>
                <w:rFonts w:ascii="Traditional Arabic" w:hAnsi="Traditional Arabic" w:cs="Traditional Arabic"/>
                <w:b/>
                <w:color w:val="FFFFFF"/>
                <w:sz w:val="22"/>
                <w:rtl/>
              </w:rPr>
              <w:t>ماذا يُحسب؟</w:t>
            </w:r>
          </w:p>
        </w:tc>
      </w:tr>
      <w:tr>
        <w:tc>
          <w:tcPr>
            <w:tcW w:type="dxa" w:w="481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القائمة</w:t>
            </w:r>
          </w:p>
        </w:tc>
        <w:tc>
          <w:tcPr>
            <w:tcW w:type="dxa" w:w="481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نتيجة المحكم داخل قائمة التقييم.</w:t>
            </w:r>
          </w:p>
        </w:tc>
      </w:tr>
      <w:tr>
        <w:tc>
          <w:tcPr>
            <w:tcW w:type="dxa" w:w="481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المرحلة × الوحدة</w:t>
            </w:r>
          </w:p>
        </w:tc>
        <w:tc>
          <w:tcPr>
            <w:tcW w:type="dxa" w:w="481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جمع نتائج القوائم ÷ قصوى المعايير لتلك المرحلة والوحدة.</w:t>
            </w:r>
          </w:p>
        </w:tc>
      </w:tr>
      <w:tr>
        <w:tc>
          <w:tcPr>
            <w:tcW w:type="dxa" w:w="481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نتيجة الوحدة النهائية</w:t>
            </w:r>
          </w:p>
        </w:tc>
        <w:tc>
          <w:tcPr>
            <w:tcW w:type="dxa" w:w="481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متوسط نسب مراحل تلك الوحدة.</w:t>
            </w:r>
          </w:p>
        </w:tc>
      </w:tr>
      <w:tr>
        <w:tc>
          <w:tcPr>
            <w:tcW w:type="dxa" w:w="481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صفحة معايير التقييم</w:t>
            </w:r>
          </w:p>
        </w:tc>
        <w:tc>
          <w:tcPr>
            <w:tcW w:type="dxa" w:w="4819"/>
            <w:shd w:fill="FBF6F0" w:val="clear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تضبط القصوى والأوزان داخل المرحلة لكل وحدة.</w:t>
            </w:r>
          </w:p>
        </w:tc>
      </w:tr>
      <w:tr>
        <w:tc>
          <w:tcPr>
            <w:tcW w:type="dxa" w:w="481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صفحة التقييم نهائي</w:t>
            </w:r>
          </w:p>
        </w:tc>
        <w:tc>
          <w:tcPr>
            <w:tcW w:type="dxa" w:w="4819"/>
            <w:tcBorders>
              <w:top w:val="single" w:sz="8" w:color="D9C7B8"/>
              <w:left w:val="single" w:sz="8" w:color="D9C7B8"/>
              <w:bottom w:val="single" w:sz="8" w:color="D9C7B8"/>
              <w:right w:val="single" w:sz="8" w:color="D9C7B8"/>
            </w:tcBorders>
          </w:tcPr>
          <w:p>
            <w:pPr>
              <w:spacing w:after="40" w:before="40" w:line="360" w:lineRule="auto"/>
              <w:jc w:val="right"/>
              <w:bidi/>
            </w:pPr>
            <w:r/>
            <w:r>
              <w:rPr>
                <w:rFonts w:ascii="Traditional Arabic" w:hAnsi="Traditional Arabic" w:cs="Traditional Arabic"/>
                <w:b w:val="0"/>
                <w:color w:val="5C4033"/>
                <w:sz w:val="22"/>
                <w:rtl/>
              </w:rPr>
              <w:t>تعرض النتيجة لكل مستوى وحدة بعد تجميع مراحله.</w:t>
            </w:r>
          </w:p>
        </w:tc>
      </w:tr>
    </w:tbl>
    <w:p/>
    <w:p>
      <w:pPr>
        <w:spacing w:after="200" w:before="320" w:line="360" w:lineRule="auto"/>
        <w:jc w:val="right"/>
        <w:bidi/>
        <w:pBdr>
          <w:bottom w:val="single" w:sz="18" w:space="6" w:color="8B4513"/>
        </w:pBdr>
      </w:pPr>
      <w:r>
        <w:rPr>
          <w:rFonts w:ascii="Traditional Arabic" w:hAnsi="Traditional Arabic" w:cs="Traditional Arabic"/>
          <w:b/>
          <w:color w:val="8B4513"/>
          <w:sz w:val="30"/>
          <w:rtl/>
        </w:rPr>
        <w:t>9. خلاصة للمراجع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1.  آلية معايير التقييم مفعّلة في صفحة التوزيع مع اختيار المرحلة للتفاصيل.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2.  عند تعدد القوائم لنفس الوحدة والمرحلة يُحسب مجموع العلامات، ثم تُشتق النسب داخل المرحلة من هذا المجموع.</w:t>
      </w:r>
    </w:p>
    <w:p>
      <w:pPr>
        <w:spacing w:after="80" w:before="0" w:line="360" w:lineRule="auto"/>
        <w:ind w:right="142"/>
        <w:jc w:val="right"/>
        <w:bidi/>
      </w:pPr>
      <w:r>
        <w:rPr>
          <w:rFonts w:ascii="Traditional Arabic" w:hAnsi="Traditional Arabic" w:cs="Traditional Arabic"/>
          <w:b w:val="0"/>
          <w:color w:val="5C4033"/>
          <w:sz w:val="24"/>
          <w:rtl/>
        </w:rPr>
        <w:t>3.  النتيجة النهائية تُبنى أولاً بنسبة كل مرحلة للوحدة، ثم تُلخَّص كنتيجة لمستوى الوحدة بمتوسط نسب مراحلها.</w:t>
      </w:r>
    </w:p>
    <w:p>
      <w:pPr>
        <w:spacing w:after="80" w:before="400" w:line="360" w:lineRule="auto"/>
        <w:jc w:val="right"/>
        <w:bidi/>
      </w:pPr>
      <w:r>
        <w:rPr>
          <w:rFonts w:ascii="Traditional Arabic" w:hAnsi="Traditional Arabic" w:cs="Traditional Arabic"/>
          <w:b w:val="0"/>
          <w:color w:val="5A5046"/>
          <w:sz w:val="20"/>
          <w:rtl/>
        </w:rPr>
        <w:t>— نهاية الوثيقة —</w:t>
      </w:r>
    </w:p>
    <w:p>
      <w:pPr>
        <w:spacing w:after="160" w:before="0" w:line="360" w:lineRule="auto"/>
        <w:jc w:val="right"/>
        <w:bidi/>
      </w:pPr>
      <w:r>
        <w:rPr>
          <w:rFonts w:ascii="Traditional Arabic" w:hAnsi="Traditional Arabic" w:cs="Traditional Arabic"/>
          <w:b w:val="0"/>
          <w:color w:val="5A5046"/>
          <w:sz w:val="20"/>
          <w:rtl/>
        </w:rPr>
        <w:t>يُنصح بمراجعة الأرقام على تمرين تجريبي بعد إدخال علامات مرحلة واحدة على الأقل.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360" w:lineRule="auto"/>
      <w:jc w:val="center"/>
      <w:bidi/>
    </w:pPr>
    <w:r>
      <w:rPr>
        <w:rFonts w:ascii="Traditional Arabic" w:hAnsi="Traditional Arabic" w:cs="Traditional Arabic"/>
        <w:b w:val="0"/>
        <w:color w:val="5A5046"/>
        <w:sz w:val="18"/>
        <w:rtl/>
      </w:rPr>
      <w:t xml:space="preserve">صفحة </w:t>
    </w:r>
    <w:r>
      <w:rPr>
        <w:rFonts w:ascii="Traditional Arabic" w:hAnsi="Traditional Arabic" w:cs="Traditional Arabic"/>
        <w:b w:val="0"/>
        <w:color w:val="5A5046"/>
        <w:sz w:val="18"/>
        <w:rtl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360" w:lineRule="auto"/>
      <w:jc w:val="right"/>
      <w:bidi/>
    </w:pPr>
    <w:r>
      <w:rPr>
        <w:rFonts w:ascii="Traditional Arabic" w:hAnsi="Traditional Arabic" w:cs="Traditional Arabic"/>
        <w:b w:val="0"/>
        <w:color w:val="5A5046"/>
        <w:sz w:val="18"/>
        <w:rtl/>
      </w:rPr>
      <w:t>نظام إدارة التمارين  |  وثيقة مراجعة داخلية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itional Arabic" w:hAnsi="Traditional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