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290D8A1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A7FC40B" w14:textId="7B0B477D" w:rsidR="00C35ABD" w:rsidRPr="00460ABB" w:rsidRDefault="00C35ABD" w:rsidP="009D23E7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AA142A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24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قصف مدفعي معادي على السرية/</w:t>
            </w:r>
            <w:r w:rsidR="00972C34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كتيبة المدفعية</w:t>
            </w:r>
          </w:p>
        </w:tc>
      </w:tr>
      <w:tr w:rsidR="00460ABB" w:rsidRPr="00460ABB" w14:paraId="6A95B9B2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9D34B10" w14:textId="77777777" w:rsidR="00C35ABD" w:rsidRPr="00460ABB" w:rsidRDefault="00C35ABD" w:rsidP="00C35ABD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9F395F5" w14:textId="336BD075" w:rsidR="00C35ABD" w:rsidRPr="00460ABB" w:rsidRDefault="00B2412E" w:rsidP="009D23E7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1815</w:t>
            </w:r>
          </w:p>
        </w:tc>
        <w:tc>
          <w:tcPr>
            <w:tcW w:w="3291" w:type="dxa"/>
            <w:shd w:val="clear" w:color="auto" w:fill="auto"/>
          </w:tcPr>
          <w:p w14:paraId="30CC961F" w14:textId="2268F638" w:rsidR="00C35ABD" w:rsidRPr="00460ABB" w:rsidRDefault="00C35ABD" w:rsidP="009D23E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قصف مدفعي معادي على موقع السرية/</w:t>
            </w:r>
            <w:r w:rsidR="00972C34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كتيبة المدفعية </w:t>
            </w:r>
            <w:r w:rsidR="00C5191E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عدد (1) فرد بجرح غائر يتطلب أيقاف النزيف باستخدام الضمادة</w:t>
            </w:r>
            <w:r w:rsidR="00C5191E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وتدخل المسعف المقاتل وإخلاء أرضي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تتطلب تدخل المسعف المقاتل وإخلاء أرضي وتدمير ناقلة ذخيرة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3A7ECFE" w14:textId="27026B0F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573CBE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كتيبة المدفعية</w:t>
            </w:r>
          </w:p>
          <w:p w14:paraId="4C3B9BEC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25D989CC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25882184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27A8696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618A2D30" w14:textId="25BB5948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1F5CD3AF" w14:textId="7E448BC3" w:rsidR="004F706F" w:rsidRPr="00460ABB" w:rsidRDefault="004F706F" w:rsidP="004F706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0CF47EA8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1AAB9BF2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الحماية</w:t>
            </w:r>
          </w:p>
          <w:p w14:paraId="448A4D22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القصف المعاكس</w:t>
            </w:r>
          </w:p>
          <w:p w14:paraId="08BDF05D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إعادة التنظيم</w:t>
            </w:r>
          </w:p>
          <w:p w14:paraId="79BADF8C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2A4D369F" w14:textId="77777777" w:rsidR="00C35ABD" w:rsidRPr="00460ABB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الاستعواض</w:t>
            </w:r>
          </w:p>
          <w:p w14:paraId="111EEDCE" w14:textId="6F353665" w:rsidR="004F706F" w:rsidRPr="00460ABB" w:rsidRDefault="004F706F" w:rsidP="004F706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الجروح الغائرة وإيقاف النزيف باستخدام الضمادة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D114F" w14:textId="77777777" w:rsidR="00E67D27" w:rsidRDefault="00E67D27">
      <w:r>
        <w:separator/>
      </w:r>
    </w:p>
  </w:endnote>
  <w:endnote w:type="continuationSeparator" w:id="0">
    <w:p w14:paraId="717B30B2" w14:textId="77777777" w:rsidR="00E67D27" w:rsidRDefault="00E6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9645F" w14:textId="77777777" w:rsidR="00E67D27" w:rsidRDefault="00E67D27">
      <w:r>
        <w:separator/>
      </w:r>
    </w:p>
  </w:footnote>
  <w:footnote w:type="continuationSeparator" w:id="0">
    <w:p w14:paraId="78E90206" w14:textId="77777777" w:rsidR="00E67D27" w:rsidRDefault="00E67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DB3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67D27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13CFE60-4D90-432C-8D69-51F91688B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