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rPr>
          <w:rFonts w:ascii="Calibri" w:hAnsi="Calibri"/>
          <w:b/>
          <w:i w:val="0"/>
          <w:color w:val="1F3864"/>
          <w:sz w:val="40"/>
          <w:spacing w:val="60"/>
        </w:rPr>
        <w:t>AHMAD ANIS</w:t>
      </w:r>
    </w:p>
    <w:p>
      <w:pPr>
        <w:spacing w:after="20" w:before="0" w:line="240" w:lineRule="auto"/>
        <w:jc w:val="center"/>
      </w:pPr>
      <w:r>
        <w:rPr>
          <w:rFonts w:ascii="Calibri" w:hAnsi="Calibri"/>
          <w:b w:val="0"/>
          <w:i w:val="0"/>
          <w:color w:val="505050"/>
          <w:sz w:val="23"/>
        </w:rPr>
        <w:t>Senior Business Analyst, Credit Loss Forecast</w:t>
      </w:r>
    </w:p>
    <w:p>
      <w:pPr>
        <w:spacing w:after="80" w:before="0" w:line="240" w:lineRule="auto"/>
        <w:jc w:val="center"/>
        <w:pBdr>
          <w:bottom w:val="single" w:sz="8" w:space="2" w:color="1F3864"/>
        </w:pBdr>
      </w:pPr>
      <w:r>
        <w:rPr>
          <w:rFonts w:ascii="Calibri" w:hAnsi="Calibri"/>
          <w:b w:val="0"/>
          <w:i w:val="0"/>
          <w:color w:val="505050"/>
          <w:sz w:val="19"/>
        </w:rPr>
        <w:t>Ahmadanis3620@gmail.com  |  (216) 860-8518  |  linkedin.com/in/ahmadanis3620  |  Columbus, OH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SUMMARY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20"/>
        </w:rPr>
        <w:t>Technical business analyst with 6+ years leading systems analysis across enterprise platforms, translating business need into technical requirements and integration-aware solution design. Comfortable across SAP, SQL Server, Snowflake and Informatica, performing impact and scope analysis over integrated systems before build. Forecast accuracy improved 25% at Bath &amp; Body Works and 20% at GSK through statistical modelling and structured performance review. Analysis behind $10M in annual transportation savings and a $50M logistics cost reduction, presented directly to senior leadership. M.S. Information Systems; B.E. Industrial Engineering.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CORE COMPETENCIES</w:t>
      </w:r>
    </w:p>
    <w:p>
      <w:pPr>
        <w:spacing w:after="60" w:before="0" w:line="240" w:lineRule="auto"/>
      </w:pPr>
      <w:r>
        <w:rPr>
          <w:rFonts w:ascii="Calibri" w:hAnsi="Calibri"/>
          <w:b w:val="0"/>
          <w:i w:val="0"/>
          <w:sz w:val="19"/>
        </w:rPr>
        <w:t>Systems &amp; Integration Impact Analysis  ·  ERP (SAP) Implementation Support  ·  Solution Documentation  ·  Forecasting &amp; Predictive Modeling  ·  Statistical Analysis &amp; Regression  ·  Capacity &amp; Scenario Modeling  ·  Cost-Benefit &amp; Margin Analysis  ·  Financial Reporting &amp; Reconciliation  ·  Requirements Elicitation &amp; Documentation  ·  User Stories &amp; Acceptance Criteria  ·  UAT &amp; Business Acceptance Testing  ·  Test Case Authoring &amp; QA Partnership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TECHNICAL SKILLS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Analytics &amp; Querying: </w:t>
      </w:r>
      <w:r>
        <w:rPr>
          <w:rFonts w:ascii="Calibri" w:hAnsi="Calibri"/>
          <w:sz w:val="20"/>
        </w:rPr>
        <w:t>SQL (advanced), Python (Pandas, NumPy, Scikit-learn), Excel (advanced), SAS, VBA, PowerShell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Enterprise Platforms: </w:t>
      </w:r>
      <w:r>
        <w:rPr>
          <w:rFonts w:ascii="Calibri" w:hAnsi="Calibri"/>
          <w:sz w:val="20"/>
        </w:rPr>
        <w:t>SAP (SD, MM, CRM, PP, WLM), SQL Server, Snowflake, Informatica, WMS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BI &amp; Visualization: </w:t>
      </w:r>
      <w:r>
        <w:rPr>
          <w:rFonts w:ascii="Calibri" w:hAnsi="Calibri"/>
          <w:sz w:val="20"/>
        </w:rPr>
        <w:t>Power BI (DAX, Power Query), Tableau, SSRS, executive dashboards, KPI scorecards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Business Analysis: </w:t>
      </w:r>
      <w:r>
        <w:rPr>
          <w:rFonts w:ascii="Calibri" w:hAnsi="Calibri"/>
          <w:sz w:val="20"/>
        </w:rPr>
        <w:t>Requirements elicitation, functional &amp; non-functional specs, user stories, acceptance criteria, process flows (Visio), current/future-state and gap analysis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ETL pipeline development, Informatica, large-dataset cleaning &amp; processing, data modeling, database design, system integration</w:t>
      </w:r>
    </w:p>
    <w:p>
      <w:pPr>
        <w:spacing w:after="20" w:before="0" w:line="240" w:lineRule="auto"/>
      </w:pPr>
      <w:r>
        <w:rPr>
          <w:rFonts w:ascii="Calibri" w:hAnsi="Calibri"/>
          <w:b/>
          <w:sz w:val="20"/>
        </w:rPr>
        <w:t xml:space="preserve">Cloud &amp; Delivery: </w:t>
      </w:r>
      <w:r>
        <w:rPr>
          <w:rFonts w:ascii="Calibri" w:hAnsi="Calibri"/>
          <w:sz w:val="20"/>
        </w:rPr>
        <w:t>Cloud platforms (AWS/Azure/GCP), CI/CD pipelines, Snowflake, SQL Server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PROFESSIONAL EXPERIENCE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Senior Data Analyst / Business Analyst  |  Bath &amp; Body Works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Columbus, OH  ·  May 2022 – Present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Built analytical models for the transportation function that exposed critical deficiencies in the bidding process, delivering recommendations worth $10M in annual cost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Engineered and deployed interactive Power BI dashboards integrating disparate enterprise data sources, cutting reporting time 30% and generating $20,000 in annual savings.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Lead a monthly executive reporting cadence, presenting dashboard-driven insight on performance, risks and trends to align senior leadership on priorities.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Developed SQL and Python analyses across large-scale sales datasets to surface demand-supply imbalances, improving forecast accuracy 25% and informing inventory and capacity decisions.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Elicit business, functional and non-functional requirements from non-technical stakeholders and translate them into documented specifications, user stories and acceptance criteria.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Analyze current- and future-state business processes to identify gaps, dependencies and improvement opportunities ahead of build.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Build and automate Python and SQL data pipelines and reporting applications released through CI/CD practices on cloud infrastructure.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Execute SQL against backend databases for extraction, validation and reconciliation, confirming delivered data matches documented requirements before release.</w:t>
      </w:r>
    </w:p>
    <w:p>
      <w:pPr>
        <w:spacing w:before="100" w:after="0" w:line="240" w:lineRule="auto"/>
      </w:pPr>
      <w:r>
        <w:rPr>
          <w:rFonts w:ascii="Calibri" w:hAnsi="Calibri"/>
          <w:b/>
          <w:sz w:val="21"/>
        </w:rPr>
        <w:t>Data Analyst &amp; Reporting Engineer  |  GlaxoSmithKline</w:t>
      </w:r>
    </w:p>
    <w:p>
      <w:pPr>
        <w:spacing w:after="40" w:before="0" w:line="240" w:lineRule="auto"/>
      </w:pPr>
      <w:r>
        <w:rPr>
          <w:rFonts w:ascii="Calibri" w:hAnsi="Calibri"/>
          <w:b w:val="0"/>
          <w:i/>
          <w:color w:val="505050"/>
          <w:sz w:val="19"/>
        </w:rPr>
        <w:t>Karachi, Pakistan  ·  July 2018 – December 2020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Conducted cost-benefit and root cause analysis in SQL, Power BI and Tableau across pharmaceutical operations, identifying inefficiencies that drove a $50M reduction in logistics costs.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Led migration of manual data processes into SAP, applying master data management and validation controls to achieve 100% data integrity and cut data entry errors 40%.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Delivered capacity planning and rough-cut capacity models supporting production and distribution planning, contributing to a 15% improvement in profit margins.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Established a standardized Informatica ETL operating procedure for product data ingestion into SAP, creating consistent, auditable and lineage-traceable data flows across business functions.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Integrated SSRS with SQL Server and Excel to automate reporting pipelines, eliminating manual reporting effort and improving data accessibility for business and IT teams.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Performed impact and scope analysis across supported applications and integrations, identifying systems impacts, dependencies and requirement gaps before build.</w:t>
      </w:r>
    </w:p>
    <w:p>
      <w:pPr>
        <w:pStyle w:val="ListBullet"/>
        <w:spacing w:after="40" w:before="0" w:line="240" w:lineRule="auto"/>
        <w:ind w:left="259" w:hanging="187"/>
      </w:pPr>
      <w:r>
        <w:rPr>
          <w:rFonts w:ascii="Calibri" w:hAnsi="Calibri"/>
          <w:sz w:val="20"/>
        </w:rPr>
        <w:t>Improved demand forecast accuracy 20% through recurring performance reviews with planners and business subject-matter experts, using statistical models and historical trend analysis.</w:t>
      </w:r>
    </w:p>
    <w:p>
      <w:pPr>
        <w:spacing w:after="60" w:before="160" w:line="240" w:lineRule="auto"/>
        <w:pBdr>
          <w:bottom w:val="single" w:sz="6" w:space="2" w:color="BFBFBF"/>
        </w:pBdr>
      </w:pPr>
      <w:r>
        <w:rPr>
          <w:rFonts w:ascii="Calibri" w:hAnsi="Calibri"/>
          <w:b/>
          <w:i w:val="0"/>
          <w:color w:val="1F3864"/>
          <w:sz w:val="21"/>
          <w:spacing w:val="30"/>
        </w:rPr>
        <w:t>EDUCATION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M.S. Information Systems  |  Cleveland State University, Cleveland, OH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2021 – 2022  ·  GPA 3.62  ·  Data Analysis · SQL · Machine Learning &amp; AI · Enterprise Databases · Project Management</w:t>
      </w:r>
    </w:p>
    <w:p>
      <w:pPr>
        <w:spacing w:before="60" w:after="0" w:line="240" w:lineRule="auto"/>
      </w:pPr>
      <w:r>
        <w:rPr>
          <w:rFonts w:ascii="Calibri" w:hAnsi="Calibri"/>
          <w:b/>
          <w:sz w:val="20"/>
        </w:rPr>
        <w:t>B.E. Industrial Engineering  |  National University of Sciences &amp; Technology, Pakistan</w:t>
      </w:r>
    </w:p>
    <w:p>
      <w:pPr>
        <w:spacing w:after="40" w:before="0" w:line="240" w:lineRule="auto"/>
      </w:pPr>
      <w:r>
        <w:rPr>
          <w:rFonts w:ascii="Calibri" w:hAnsi="Calibri"/>
          <w:b w:val="0"/>
          <w:i w:val="0"/>
          <w:color w:val="505050"/>
          <w:sz w:val="19"/>
        </w:rPr>
        <w:t>2014 – 2018  ·  GPA 3.2  ·  Probability &amp; Statistics · Operations Research · SQL · ERP/SAP · Risk Management · Data Governance</w:t>
      </w:r>
    </w:p>
    <w:sectPr w:rsidR="00FC693F" w:rsidRPr="0006063C" w:rsidSect="00034616">
      <w:pgSz w:w="12240" w:h="15840"/>
      <w:pgMar w:top="720" w:right="936" w:bottom="72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