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 Regulatory Reporting Solutions (Remote)</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modeling through dashboards and executive reporting. Advanced SQL and Python with Power BI and Tableau — dashboards that cut reporting time 30% and KPI frameworks presented monthly to senior leadership. Writes user stories and acceptance criteria, authors test cases, partners with QA through defect triage, and drives UAT and business acceptance to formal sign-off. Managed 1,000+ pharmaceutical SKUs across East and West Africa and drove a $50M logistics cost reduction through cost-benefit and root cause analysis.</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operational &amp; executive reporting  ·  healthcare data  ·  solution documentation  ·  regulatory &amp; compliance reporting  ·  data validation  ·  auditability &amp; controls  ·  Excel (advanced)  ·  SharePoint  ·  reconciliation  ·  pharmaceutical operations  ·  claims data  ·  healthcare payer systems</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BI &amp; Visualization: </w:t>
      </w:r>
      <w:r>
        <w:rPr>
          <w:rFonts w:ascii="Calibri" w:hAnsi="Calibri"/>
          <w:sz w:val="20"/>
        </w:rPr>
        <w:t>operational &amp; executive reporting, Power BI (DAX, Power Query), Tableau, SSRS, dashboards, KPI design &amp; monitoring</w:t>
      </w:r>
    </w:p>
    <w:p>
      <w:pPr>
        <w:spacing w:after="20" w:before="0" w:line="240" w:lineRule="auto"/>
      </w:pPr>
      <w:r>
        <w:rPr>
          <w:rFonts w:ascii="Calibri" w:hAnsi="Calibri"/>
          <w:b/>
          <w:sz w:val="20"/>
        </w:rPr>
        <w:t xml:space="preserve">Domain Expertise: </w:t>
      </w:r>
      <w:r>
        <w:rPr>
          <w:rFonts w:ascii="Calibri" w:hAnsi="Calibri"/>
          <w:sz w:val="20"/>
        </w:rPr>
        <w:t>healthcare data, pharmaceutical operations, claims data, healthcare payer systems</w:t>
      </w:r>
    </w:p>
    <w:p>
      <w:pPr>
        <w:spacing w:after="20" w:before="0" w:line="240" w:lineRule="auto"/>
      </w:pPr>
      <w:r>
        <w:rPr>
          <w:rFonts w:ascii="Calibri" w:hAnsi="Calibri"/>
          <w:b/>
          <w:sz w:val="20"/>
        </w:rPr>
        <w:t xml:space="preserve">Business Analysis: </w:t>
      </w:r>
      <w:r>
        <w:rPr>
          <w:rFonts w:ascii="Calibri" w:hAnsi="Calibri"/>
          <w:sz w:val="20"/>
        </w:rPr>
        <w:t>solution documentation</w:t>
      </w:r>
    </w:p>
    <w:p>
      <w:pPr>
        <w:spacing w:after="20" w:before="0" w:line="240" w:lineRule="auto"/>
      </w:pPr>
      <w:r>
        <w:rPr>
          <w:rFonts w:ascii="Calibri" w:hAnsi="Calibri"/>
          <w:b/>
          <w:sz w:val="20"/>
        </w:rPr>
        <w:t xml:space="preserve">Data Governance: </w:t>
      </w:r>
      <w:r>
        <w:rPr>
          <w:rFonts w:ascii="Calibri" w:hAnsi="Calibri"/>
          <w:sz w:val="20"/>
        </w:rPr>
        <w:t>regulatory &amp; compliance reporting, auditability &amp; controls</w:t>
      </w:r>
    </w:p>
    <w:p>
      <w:pPr>
        <w:spacing w:after="20" w:before="0" w:line="240" w:lineRule="auto"/>
      </w:pPr>
      <w:r>
        <w:rPr>
          <w:rFonts w:ascii="Calibri" w:hAnsi="Calibri"/>
          <w:b/>
          <w:sz w:val="20"/>
        </w:rPr>
        <w:t xml:space="preserve">Testing &amp; Quality: </w:t>
      </w:r>
      <w:r>
        <w:rPr>
          <w:rFonts w:ascii="Calibri" w:hAnsi="Calibri"/>
          <w:sz w:val="20"/>
        </w:rPr>
        <w:t>data validation</w:t>
      </w:r>
    </w:p>
    <w:p>
      <w:pPr>
        <w:spacing w:after="20" w:before="0" w:line="240" w:lineRule="auto"/>
      </w:pPr>
      <w:r>
        <w:rPr>
          <w:rFonts w:ascii="Calibri" w:hAnsi="Calibri"/>
          <w:b/>
          <w:sz w:val="20"/>
        </w:rPr>
        <w:t xml:space="preserve">Languages &amp; Querying: </w:t>
      </w:r>
      <w:r>
        <w:rPr>
          <w:rFonts w:ascii="Calibri" w:hAnsi="Calibri"/>
          <w:sz w:val="20"/>
        </w:rPr>
        <w:t>Excel (advanced), SQL (advanced), Python (Pandas, NumPy, Scikit-learn), VBA</w:t>
      </w:r>
    </w:p>
    <w:p>
      <w:pPr>
        <w:spacing w:after="20" w:before="0" w:line="240" w:lineRule="auto"/>
      </w:pPr>
      <w:r>
        <w:rPr>
          <w:rFonts w:ascii="Calibri" w:hAnsi="Calibri"/>
          <w:b/>
          <w:sz w:val="20"/>
        </w:rPr>
        <w:t xml:space="preserve">Delivery &amp; Tools: </w:t>
      </w:r>
      <w:r>
        <w:rPr>
          <w:rFonts w:ascii="Calibri" w:hAnsi="Calibri"/>
          <w:sz w:val="20"/>
        </w:rPr>
        <w:t>SharePoint, Agile/Scrum, Waterfall, JIRA, Confluence, stakeholder management</w:t>
      </w:r>
    </w:p>
    <w:p>
      <w:pPr>
        <w:spacing w:after="20" w:before="0" w:line="240" w:lineRule="auto"/>
      </w:pPr>
      <w:r>
        <w:rPr>
          <w:rFonts w:ascii="Calibri" w:hAnsi="Calibri"/>
          <w:b/>
          <w:sz w:val="20"/>
        </w:rPr>
        <w:t xml:space="preserve">Analytics &amp; Modeling: </w:t>
      </w:r>
      <w:r>
        <w:rPr>
          <w:rFonts w:ascii="Calibri" w:hAnsi="Calibri"/>
          <w:sz w:val="20"/>
        </w:rPr>
        <w:t>reconciliation, forecasting, statistical analysis, root cause analysis</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