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Consultant, IT Product/Implementation Business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Business analyst with 6+ years acting as the bridge between business partners and technical teams, translating business need into requirements that hold through design, build, testing and release. Writes user stories and acceptance criteria, authors test cases, partners with QA through defect triage, and drives UAT and business acceptance to formal sign-off. Managed 1,000+ pharmaceutical SKUs across East and West Africa and drove a $50M logistics cost reduction through cost-benefit and root cause analysis. Advanced SQL and Python with Power BI and Tableau — dashboards that cut reporting time 30% and KPI frameworks presented monthly to senior leadership.</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healthcare data  ·  solution documentation  ·  QA partnership  ·  functional requirements  ·  requirements elicitation  ·  requirements traceability  ·  full SDLC  ·  test case authoring  ·  stakeholder management  ·  Excel (advanced)  ·  user stories  ·  acceptance criteria  ·  process flows &amp; mapping (Visio)  ·  use cases</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Business Analysis: </w:t>
      </w:r>
      <w:r>
        <w:rPr>
          <w:rFonts w:ascii="Calibri" w:hAnsi="Calibri"/>
          <w:sz w:val="20"/>
        </w:rPr>
        <w:t>solution documentation, functional requirements, requirements elicitation, requirements traceability, full SDLC, user stories, acceptance criteria, process flows &amp; mapping (Visio), use cases</w:t>
      </w:r>
    </w:p>
    <w:p>
      <w:pPr>
        <w:spacing w:after="20" w:before="0" w:line="240" w:lineRule="auto"/>
      </w:pPr>
      <w:r>
        <w:rPr>
          <w:rFonts w:ascii="Calibri" w:hAnsi="Calibri"/>
          <w:b/>
          <w:sz w:val="20"/>
        </w:rPr>
        <w:t xml:space="preserve">Domain Expertise: </w:t>
      </w:r>
      <w:r>
        <w:rPr>
          <w:rFonts w:ascii="Calibri" w:hAnsi="Calibri"/>
          <w:sz w:val="20"/>
        </w:rPr>
        <w:t>healthcare data</w:t>
      </w:r>
    </w:p>
    <w:p>
      <w:pPr>
        <w:spacing w:after="20" w:before="0" w:line="240" w:lineRule="auto"/>
      </w:pPr>
      <w:r>
        <w:rPr>
          <w:rFonts w:ascii="Calibri" w:hAnsi="Calibri"/>
          <w:b/>
          <w:sz w:val="20"/>
        </w:rPr>
        <w:t xml:space="preserve">Testing &amp; Quality: </w:t>
      </w:r>
      <w:r>
        <w:rPr>
          <w:rFonts w:ascii="Calibri" w:hAnsi="Calibri"/>
          <w:sz w:val="20"/>
        </w:rPr>
        <w:t>QA partnership, test case authoring, test planning</w:t>
      </w:r>
    </w:p>
    <w:p>
      <w:pPr>
        <w:spacing w:after="20" w:before="0" w:line="240" w:lineRule="auto"/>
      </w:pPr>
      <w:r>
        <w:rPr>
          <w:rFonts w:ascii="Calibri" w:hAnsi="Calibri"/>
          <w:b/>
          <w:sz w:val="20"/>
        </w:rPr>
        <w:t xml:space="preserve">Delivery &amp; Tools: </w:t>
      </w:r>
      <w:r>
        <w:rPr>
          <w:rFonts w:ascii="Calibri" w:hAnsi="Calibri"/>
          <w:sz w:val="20"/>
        </w:rPr>
        <w:t>stakeholder management, Agile, PowerPoint &amp; executive presentation, Agile/Scrum, Waterfall, JIRA, Confluence</w:t>
      </w:r>
    </w:p>
    <w:p>
      <w:pPr>
        <w:spacing w:after="20" w:before="0" w:line="240" w:lineRule="auto"/>
      </w:pPr>
      <w:r>
        <w:rPr>
          <w:rFonts w:ascii="Calibri" w:hAnsi="Calibri"/>
          <w:b/>
          <w:sz w:val="20"/>
        </w:rPr>
        <w:t xml:space="preserve">Languages &amp; Querying: </w:t>
      </w:r>
      <w:r>
        <w:rPr>
          <w:rFonts w:ascii="Calibri" w:hAnsi="Calibri"/>
          <w:sz w:val="20"/>
        </w:rPr>
        <w:t>Excel (advanced), SQL (advanced), Python (Pandas, NumPy, Scikit-learn), VBA</w:t>
      </w:r>
    </w:p>
    <w:p>
      <w:pPr>
        <w:spacing w:after="20" w:before="0" w:line="240" w:lineRule="auto"/>
      </w:pPr>
      <w:r>
        <w:rPr>
          <w:rFonts w:ascii="Calibri" w:hAnsi="Calibri"/>
          <w:b/>
          <w:sz w:val="20"/>
        </w:rPr>
        <w:t xml:space="preserve">Data Engineering: </w:t>
      </w:r>
      <w:r>
        <w:rPr>
          <w:rFonts w:ascii="Calibri" w:hAnsi="Calibri"/>
          <w:sz w:val="20"/>
        </w:rPr>
        <w:t>system &amp; data integration, ETL pipeline development, Informatica, data modeling</w:t>
      </w:r>
    </w:p>
    <w:p>
      <w:pPr>
        <w:spacing w:after="20" w:before="0" w:line="240" w:lineRule="auto"/>
      </w:pPr>
      <w:r>
        <w:rPr>
          <w:rFonts w:ascii="Calibri" w:hAnsi="Calibri"/>
          <w:b/>
          <w:sz w:val="20"/>
        </w:rPr>
        <w:t xml:space="preserve">Data Governance: </w:t>
      </w:r>
      <w:r>
        <w:rPr>
          <w:rFonts w:ascii="Calibri" w:hAnsi="Calibri"/>
          <w:sz w:val="20"/>
        </w:rPr>
        <w:t>auditability &amp; controls</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Author test scenarios and detailed test cases aligned to documented requirements, partner with QA through execution and defect triage, and support business acceptance sign-off.</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