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 w:line="240" w:lineRule="auto"/>
        <w:jc w:val="center"/>
      </w:pPr>
      <w:r>
        <w:rPr>
          <w:rFonts w:ascii="Calibri" w:hAnsi="Calibri"/>
          <w:b/>
          <w:i w:val="0"/>
          <w:color w:val="1F3864"/>
          <w:sz w:val="40"/>
          <w:spacing w:val="60"/>
        </w:rPr>
        <w:t>AHMAD ANIS</w:t>
      </w:r>
    </w:p>
    <w:p>
      <w:pPr>
        <w:spacing w:after="20" w:before="0" w:line="240" w:lineRule="auto"/>
        <w:jc w:val="center"/>
      </w:pPr>
      <w:r>
        <w:rPr>
          <w:rFonts w:ascii="Calibri" w:hAnsi="Calibri"/>
          <w:b w:val="0"/>
          <w:i w:val="0"/>
          <w:color w:val="505050"/>
          <w:sz w:val="23"/>
        </w:rPr>
        <w:t>Business Analyst III - AMZ10666414</w:t>
      </w:r>
    </w:p>
    <w:p>
      <w:pPr>
        <w:spacing w:after="80" w:before="0" w:line="240" w:lineRule="auto"/>
        <w:jc w:val="center"/>
        <w:pBdr>
          <w:bottom w:val="single" w:sz="8" w:space="2" w:color="1F3864"/>
        </w:pBdr>
      </w:pPr>
      <w:r>
        <w:rPr>
          <w:rFonts w:ascii="Calibri" w:hAnsi="Calibri"/>
          <w:b w:val="0"/>
          <w:i w:val="0"/>
          <w:color w:val="505050"/>
          <w:sz w:val="19"/>
        </w:rPr>
        <w:t>Ahmadanis3620@gmail.com  |  (216) 860-8518  |  linkedin.com/in/ahmadanis3620  |  Columbus, OH</w:t>
      </w:r>
    </w:p>
    <w:p>
      <w:pPr>
        <w:spacing w:after="60" w:before="140" w:line="240" w:lineRule="auto"/>
        <w:pBdr>
          <w:bottom w:val="single" w:sz="6" w:space="2" w:color="BFBFBF"/>
        </w:pBdr>
      </w:pPr>
      <w:r>
        <w:rPr>
          <w:rFonts w:ascii="Calibri" w:hAnsi="Calibri"/>
          <w:b/>
          <w:i w:val="0"/>
          <w:color w:val="1F3864"/>
          <w:sz w:val="21"/>
          <w:spacing w:val="30"/>
        </w:rPr>
        <w:t>PROFESSIONAL SUMMARY</w:t>
      </w:r>
    </w:p>
    <w:p>
      <w:pPr>
        <w:spacing w:after="60" w:before="0" w:line="240" w:lineRule="auto"/>
      </w:pPr>
      <w:r>
        <w:rPr>
          <w:rFonts w:ascii="Calibri" w:hAnsi="Calibri"/>
          <w:b w:val="0"/>
          <w:i w:val="0"/>
          <w:sz w:val="20"/>
        </w:rPr>
        <w:t>Analyst with 6+ years applying forecasting, regression and statistical modeling to large operational datasets, with measurable and repeatable accuracy gains. Forecast accuracy improved 25% at Bath &amp; Body Works and 20% at GSK through statistical modeling and structured performance review. Advanced SQL and Python with Power BI and Tableau — dashboards that cut reporting time 30% and KPI frameworks presented monthly to senior leadership. Python and SQL pipelines released through CI/CD practices, plus Informatica ETL standards that keep data flows consistent and auditable.</w:t>
      </w:r>
    </w:p>
    <w:p>
      <w:pPr>
        <w:spacing w:after="60" w:before="140" w:line="240" w:lineRule="auto"/>
        <w:pBdr>
          <w:bottom w:val="single" w:sz="6" w:space="2" w:color="BFBFBF"/>
        </w:pBdr>
      </w:pPr>
      <w:r>
        <w:rPr>
          <w:rFonts w:ascii="Calibri" w:hAnsi="Calibri"/>
          <w:b/>
          <w:i w:val="0"/>
          <w:color w:val="1F3864"/>
          <w:sz w:val="21"/>
          <w:spacing w:val="30"/>
        </w:rPr>
        <w:t>CORE COMPETENCIES</w:t>
      </w:r>
    </w:p>
    <w:p>
      <w:pPr>
        <w:spacing w:after="60" w:before="0" w:line="240" w:lineRule="auto"/>
      </w:pPr>
      <w:r>
        <w:rPr>
          <w:rFonts w:ascii="Calibri" w:hAnsi="Calibri"/>
          <w:b w:val="0"/>
          <w:i w:val="0"/>
          <w:sz w:val="19"/>
        </w:rPr>
        <w:t>statistical analysis  ·  process &amp; reporting automation  ·  forecasting  ·  SQL (advanced)  ·  operational &amp; executive reporting  ·  business intelligence  ·  ETL pipeline development  ·  Python (Pandas, NumPy, Scikit-learn)  ·  SAS  ·  Excel (advanced)  ·  KPI design &amp; monitoring  ·  business requirements gathering  ·  data validation  ·  data integrity</w:t>
      </w:r>
    </w:p>
    <w:p>
      <w:pPr>
        <w:spacing w:after="60" w:before="140" w:line="240" w:lineRule="auto"/>
        <w:pBdr>
          <w:bottom w:val="single" w:sz="6" w:space="2" w:color="BFBFBF"/>
        </w:pBdr>
      </w:pPr>
      <w:r>
        <w:rPr>
          <w:rFonts w:ascii="Calibri" w:hAnsi="Calibri"/>
          <w:b/>
          <w:i w:val="0"/>
          <w:color w:val="1F3864"/>
          <w:sz w:val="21"/>
          <w:spacing w:val="30"/>
        </w:rPr>
        <w:t>TECHNICAL SKILLS</w:t>
      </w:r>
    </w:p>
    <w:p>
      <w:pPr>
        <w:spacing w:after="20" w:before="0" w:line="240" w:lineRule="auto"/>
      </w:pPr>
      <w:r>
        <w:rPr>
          <w:rFonts w:ascii="Calibri" w:hAnsi="Calibri"/>
          <w:b/>
          <w:sz w:val="20"/>
        </w:rPr>
        <w:t xml:space="preserve">Analytics &amp; Modeling: </w:t>
      </w:r>
      <w:r>
        <w:rPr>
          <w:rFonts w:ascii="Calibri" w:hAnsi="Calibri"/>
          <w:sz w:val="20"/>
        </w:rPr>
        <w:t>statistical analysis, forecasting, predictive modeling, regression analysis, root cause analysis</w:t>
      </w:r>
    </w:p>
    <w:p>
      <w:pPr>
        <w:spacing w:after="20" w:before="0" w:line="240" w:lineRule="auto"/>
      </w:pPr>
      <w:r>
        <w:rPr>
          <w:rFonts w:ascii="Calibri" w:hAnsi="Calibri"/>
          <w:b/>
          <w:sz w:val="20"/>
        </w:rPr>
        <w:t xml:space="preserve">Languages &amp; Querying: </w:t>
      </w:r>
      <w:r>
        <w:rPr>
          <w:rFonts w:ascii="Calibri" w:hAnsi="Calibri"/>
          <w:sz w:val="20"/>
        </w:rPr>
        <w:t>SQL (advanced), Python (Pandas, NumPy, Scikit-learn), SAS, Excel (advanced), VBA</w:t>
      </w:r>
    </w:p>
    <w:p>
      <w:pPr>
        <w:spacing w:after="20" w:before="0" w:line="240" w:lineRule="auto"/>
      </w:pPr>
      <w:r>
        <w:rPr>
          <w:rFonts w:ascii="Calibri" w:hAnsi="Calibri"/>
          <w:b/>
          <w:sz w:val="20"/>
        </w:rPr>
        <w:t xml:space="preserve">BI &amp; Visualization: </w:t>
      </w:r>
      <w:r>
        <w:rPr>
          <w:rFonts w:ascii="Calibri" w:hAnsi="Calibri"/>
          <w:sz w:val="20"/>
        </w:rPr>
        <w:t>operational &amp; executive reporting, business intelligence, KPI design &amp; monitoring, Power BI (DAX, Power Query), Tableau, SSRS, dashboards</w:t>
      </w:r>
    </w:p>
    <w:p>
      <w:pPr>
        <w:spacing w:after="20" w:before="0" w:line="240" w:lineRule="auto"/>
      </w:pPr>
      <w:r>
        <w:rPr>
          <w:rFonts w:ascii="Calibri" w:hAnsi="Calibri"/>
          <w:b/>
          <w:sz w:val="20"/>
        </w:rPr>
        <w:t xml:space="preserve">Data Engineering: </w:t>
      </w:r>
      <w:r>
        <w:rPr>
          <w:rFonts w:ascii="Calibri" w:hAnsi="Calibri"/>
          <w:sz w:val="20"/>
        </w:rPr>
        <w:t>process &amp; reporting automation, ETL pipeline development, Informatica, data modeling, system &amp; data integration</w:t>
      </w:r>
    </w:p>
    <w:p>
      <w:pPr>
        <w:spacing w:after="20" w:before="0" w:line="240" w:lineRule="auto"/>
      </w:pPr>
      <w:r>
        <w:rPr>
          <w:rFonts w:ascii="Calibri" w:hAnsi="Calibri"/>
          <w:b/>
          <w:sz w:val="20"/>
        </w:rPr>
        <w:t xml:space="preserve">Business Analysis: </w:t>
      </w:r>
      <w:r>
        <w:rPr>
          <w:rFonts w:ascii="Calibri" w:hAnsi="Calibri"/>
          <w:sz w:val="20"/>
        </w:rPr>
        <w:t>business requirements gathering</w:t>
      </w:r>
    </w:p>
    <w:p>
      <w:pPr>
        <w:spacing w:after="20" w:before="0" w:line="240" w:lineRule="auto"/>
      </w:pPr>
      <w:r>
        <w:rPr>
          <w:rFonts w:ascii="Calibri" w:hAnsi="Calibri"/>
          <w:b/>
          <w:sz w:val="20"/>
        </w:rPr>
        <w:t xml:space="preserve">Testing &amp; Quality: </w:t>
      </w:r>
      <w:r>
        <w:rPr>
          <w:rFonts w:ascii="Calibri" w:hAnsi="Calibri"/>
          <w:sz w:val="20"/>
        </w:rPr>
        <w:t>data validation</w:t>
      </w:r>
    </w:p>
    <w:p>
      <w:pPr>
        <w:spacing w:after="20" w:before="0" w:line="240" w:lineRule="auto"/>
      </w:pPr>
      <w:r>
        <w:rPr>
          <w:rFonts w:ascii="Calibri" w:hAnsi="Calibri"/>
          <w:b/>
          <w:sz w:val="20"/>
        </w:rPr>
        <w:t xml:space="preserve">Data Governance: </w:t>
      </w:r>
      <w:r>
        <w:rPr>
          <w:rFonts w:ascii="Calibri" w:hAnsi="Calibri"/>
          <w:sz w:val="20"/>
        </w:rPr>
        <w:t>data integrity</w:t>
      </w:r>
    </w:p>
    <w:p>
      <w:pPr>
        <w:spacing w:after="20" w:before="0" w:line="240" w:lineRule="auto"/>
      </w:pPr>
      <w:r>
        <w:rPr>
          <w:rFonts w:ascii="Calibri" w:hAnsi="Calibri"/>
          <w:b/>
          <w:sz w:val="20"/>
        </w:rPr>
        <w:t xml:space="preserve">Delivery &amp; Tools: </w:t>
      </w:r>
      <w:r>
        <w:rPr>
          <w:rFonts w:ascii="Calibri" w:hAnsi="Calibri"/>
          <w:sz w:val="20"/>
        </w:rPr>
        <w:t>stakeholder management, Agile/Scrum, Waterfall, JIRA, Confluence</w:t>
      </w:r>
    </w:p>
    <w:p>
      <w:pPr>
        <w:spacing w:after="60" w:before="140" w:line="240" w:lineRule="auto"/>
        <w:pBdr>
          <w:bottom w:val="single" w:sz="6" w:space="2" w:color="BFBFBF"/>
        </w:pBdr>
      </w:pPr>
      <w:r>
        <w:rPr>
          <w:rFonts w:ascii="Calibri" w:hAnsi="Calibri"/>
          <w:b/>
          <w:i w:val="0"/>
          <w:color w:val="1F3864"/>
          <w:sz w:val="21"/>
          <w:spacing w:val="30"/>
        </w:rPr>
        <w:t>PROFESSIONAL EXPERIENCE</w:t>
      </w:r>
    </w:p>
    <w:p>
      <w:pPr>
        <w:spacing w:before="100" w:after="0" w:line="240" w:lineRule="auto"/>
      </w:pPr>
      <w:r>
        <w:rPr>
          <w:rFonts w:ascii="Calibri" w:hAnsi="Calibri"/>
          <w:b/>
          <w:sz w:val="21"/>
        </w:rPr>
        <w:t>Senior Data Analyst / Business Analyst  |  Bath &amp; Body Works</w:t>
      </w:r>
    </w:p>
    <w:p>
      <w:pPr>
        <w:spacing w:after="40" w:before="0" w:line="240" w:lineRule="auto"/>
      </w:pPr>
      <w:r>
        <w:rPr>
          <w:rFonts w:ascii="Calibri" w:hAnsi="Calibri"/>
          <w:b w:val="0"/>
          <w:i/>
          <w:color w:val="505050"/>
          <w:sz w:val="19"/>
        </w:rPr>
        <w:t>Columbus, OH  ·  May 2022 – Present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Developed SQL and Python analyses across large-scale sales datasets to surface demand-supply imbalances, improving forecast accuracy 25% and informing inventory and capacity decisions.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Engineered and deployed interactive Power BI dashboards integrating disparate enterprise data sources, cutting reporting time 30% and generating $20,000 in annual savings.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Build and automate Python and SQL data pipelines and reporting applications released through CI/CD practices on cloud infrastructure.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Lead a monthly executive reporting cadence, presenting dashboard-driven insight on performance, risks and trends to align senior leadership on priorities.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Execute SQL against backend databases for extraction, validation and reconciliation, confirming delivered data matches documented requirements before release.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Built analytical models for the transportation function that exposed critical deficiencies in the bidding process, delivering recommendations worth $10M in annual cost savings.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Designed a carton-sizing optimization model that saved 200 man-hours per month through data-driven change to inventory processes.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Partnered with product and operations teams to turn analysis into process improvements, contributing to a $10,000 monthly labor cost reduction.</w:t>
      </w:r>
    </w:p>
    <w:p>
      <w:pPr>
        <w:spacing w:before="100" w:after="0" w:line="240" w:lineRule="auto"/>
      </w:pPr>
      <w:r>
        <w:rPr>
          <w:rFonts w:ascii="Calibri" w:hAnsi="Calibri"/>
          <w:b/>
          <w:sz w:val="21"/>
        </w:rPr>
        <w:t>Data Analyst &amp; Reporting Engineer  |  GlaxoSmithKline</w:t>
      </w:r>
    </w:p>
    <w:p>
      <w:pPr>
        <w:spacing w:after="40" w:before="0" w:line="240" w:lineRule="auto"/>
      </w:pPr>
      <w:r>
        <w:rPr>
          <w:rFonts w:ascii="Calibri" w:hAnsi="Calibri"/>
          <w:b w:val="0"/>
          <w:i/>
          <w:color w:val="505050"/>
          <w:sz w:val="19"/>
        </w:rPr>
        <w:t>Karachi, Pakistan  ·  July 2018 – December 2020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Integrated SSRS with SQL Server and Excel to automate reporting pipelines, eliminating manual reporting effort and improving data accessibility for business and IT teams.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Conducted cost-benefit and root cause analysis in SQL, Power BI and Tableau across pharmaceutical operations, identifying inefficiencies that drove a $50M reduction in logistics costs.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Improved demand forecast accuracy 20% through recurring performance reviews with planners and business subject-matter experts, using statistical models and historical trend analysis.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Managed and analyzed data for 1,000+ pharmaceutical SKUs across East and West Africa, building reporting infrastructure to monitor supply-demand balance and flag inventory risk in real time.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Established a standardized Informatica ETL operating procedure for product data ingestion into SAP, creating consistent, auditable and lineage-traceable data flows across business functions.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Led migration of manual data processes into SAP, applying master data management and validation controls to achieve 100% data integrity and cut data entry errors 40%.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Coordinated data collection across markets, updating collection tools and processes to yield statistically reliable and informative data for program assessment.</w:t>
      </w:r>
    </w:p>
    <w:p>
      <w:pPr>
        <w:spacing w:after="60" w:before="140" w:line="240" w:lineRule="auto"/>
        <w:pBdr>
          <w:bottom w:val="single" w:sz="6" w:space="2" w:color="BFBFBF"/>
        </w:pBdr>
      </w:pPr>
      <w:r>
        <w:rPr>
          <w:rFonts w:ascii="Calibri" w:hAnsi="Calibri"/>
          <w:b/>
          <w:i w:val="0"/>
          <w:color w:val="1F3864"/>
          <w:sz w:val="21"/>
          <w:spacing w:val="30"/>
        </w:rPr>
        <w:t>EDUCATION</w:t>
      </w:r>
    </w:p>
    <w:p>
      <w:pPr>
        <w:spacing w:before="60" w:after="0" w:line="240" w:lineRule="auto"/>
      </w:pPr>
      <w:r>
        <w:rPr>
          <w:rFonts w:ascii="Calibri" w:hAnsi="Calibri"/>
          <w:b/>
          <w:sz w:val="20"/>
        </w:rPr>
        <w:t>M.S. Information Systems  |  Cleveland State University, Cleveland, OH</w:t>
      </w:r>
    </w:p>
    <w:p>
      <w:pPr>
        <w:spacing w:after="40" w:before="0" w:line="240" w:lineRule="auto"/>
      </w:pPr>
      <w:r>
        <w:rPr>
          <w:rFonts w:ascii="Calibri" w:hAnsi="Calibri"/>
          <w:b w:val="0"/>
          <w:i w:val="0"/>
          <w:color w:val="505050"/>
          <w:sz w:val="19"/>
        </w:rPr>
        <w:t>2021 – 2022  ·  GPA 3.62  ·  Data Analysis · SQL · Machine Learning &amp; AI · Enterprise Databases · Project Management</w:t>
      </w:r>
    </w:p>
    <w:p>
      <w:pPr>
        <w:spacing w:before="60" w:after="0" w:line="240" w:lineRule="auto"/>
      </w:pPr>
      <w:r>
        <w:rPr>
          <w:rFonts w:ascii="Calibri" w:hAnsi="Calibri"/>
          <w:b/>
          <w:sz w:val="20"/>
        </w:rPr>
        <w:t>B.E. Industrial Engineering  |  National University of Sciences &amp; Technology, Pakistan</w:t>
      </w:r>
    </w:p>
    <w:p>
      <w:pPr>
        <w:spacing w:after="40" w:before="0" w:line="240" w:lineRule="auto"/>
      </w:pPr>
      <w:r>
        <w:rPr>
          <w:rFonts w:ascii="Calibri" w:hAnsi="Calibri"/>
          <w:b w:val="0"/>
          <w:i w:val="0"/>
          <w:color w:val="505050"/>
          <w:sz w:val="19"/>
        </w:rPr>
        <w:t>2014 – 2018  ·  GPA 3.2  ·  Probability &amp; Statistics · Operations Research · SQL · ERP/SAP · Risk Management · Data Governance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