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 Fuse Billing Operations</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modeling through dashboards and executive reporting. Advanced SQL and Python with Power BI and Tableau — dashboards that cut reporting time 30% and KPI frameworks presented monthly to senior leadership. Writes user stories and acceptance criteria, authors test cases, partners with QA through defect triage, and drives UAT and business acceptance to formal sign-off. Forecast accuracy improved 25% at Bath &amp; Body Works and 20% at GSK through statistical modeling and structured performance review.</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Excel (advanced)  ·  SQL (advanced)  ·  stakeholder management  ·  root cause analysis  ·  healthcare data  ·  VBA  ·  Tableau  ·  data visualization  ·  operational &amp; executive reporting  ·  business intelligence  ·  defect triage &amp; root cause  ·  cloud platforms (AWS/Azure/GCP)  ·  cross-functional collaboration  ·  reconciliation</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Languages &amp; Querying: </w:t>
      </w:r>
      <w:r>
        <w:rPr>
          <w:rFonts w:ascii="Calibri" w:hAnsi="Calibri"/>
          <w:sz w:val="20"/>
        </w:rPr>
        <w:t>Excel (advanced), SQL (advanced), VBA, Python (Pandas, NumPy, Scikit-learn)</w:t>
      </w:r>
    </w:p>
    <w:p>
      <w:pPr>
        <w:spacing w:after="20" w:before="0" w:line="240" w:lineRule="auto"/>
      </w:pPr>
      <w:r>
        <w:rPr>
          <w:rFonts w:ascii="Calibri" w:hAnsi="Calibri"/>
          <w:b/>
          <w:sz w:val="20"/>
        </w:rPr>
        <w:t xml:space="preserve">BI &amp; Visualization: </w:t>
      </w:r>
      <w:r>
        <w:rPr>
          <w:rFonts w:ascii="Calibri" w:hAnsi="Calibri"/>
          <w:sz w:val="20"/>
        </w:rPr>
        <w:t>Tableau, data visualization, operational &amp; executive reporting, business intelligence, Power BI (DAX, Power Query), SSRS, dashboards, KPI design &amp; monitoring</w:t>
      </w:r>
    </w:p>
    <w:p>
      <w:pPr>
        <w:spacing w:after="20" w:before="0" w:line="240" w:lineRule="auto"/>
      </w:pPr>
      <w:r>
        <w:rPr>
          <w:rFonts w:ascii="Calibri" w:hAnsi="Calibri"/>
          <w:b/>
          <w:sz w:val="20"/>
        </w:rPr>
        <w:t xml:space="preserve">Delivery &amp; Tools: </w:t>
      </w:r>
      <w:r>
        <w:rPr>
          <w:rFonts w:ascii="Calibri" w:hAnsi="Calibri"/>
          <w:sz w:val="20"/>
        </w:rPr>
        <w:t>stakeholder management, cross-functional collaboration, Agile/Scrum, Waterfall, JIRA, Confluence</w:t>
      </w:r>
    </w:p>
    <w:p>
      <w:pPr>
        <w:spacing w:after="20" w:before="0" w:line="240" w:lineRule="auto"/>
      </w:pPr>
      <w:r>
        <w:rPr>
          <w:rFonts w:ascii="Calibri" w:hAnsi="Calibri"/>
          <w:b/>
          <w:sz w:val="20"/>
        </w:rPr>
        <w:t xml:space="preserve">Analytics &amp; Modeling: </w:t>
      </w:r>
      <w:r>
        <w:rPr>
          <w:rFonts w:ascii="Calibri" w:hAnsi="Calibri"/>
          <w:sz w:val="20"/>
        </w:rPr>
        <w:t>root cause analysis, reconciliation, forecasting, statistical analysis</w:t>
      </w:r>
    </w:p>
    <w:p>
      <w:pPr>
        <w:spacing w:after="20" w:before="0" w:line="240" w:lineRule="auto"/>
      </w:pPr>
      <w:r>
        <w:rPr>
          <w:rFonts w:ascii="Calibri" w:hAnsi="Calibri"/>
          <w:b/>
          <w:sz w:val="20"/>
        </w:rPr>
        <w:t xml:space="preserve">Domain Expertise: </w:t>
      </w:r>
      <w:r>
        <w:rPr>
          <w:rFonts w:ascii="Calibri" w:hAnsi="Calibri"/>
          <w:sz w:val="20"/>
        </w:rPr>
        <w:t>healthcare data, financial reporting</w:t>
      </w:r>
    </w:p>
    <w:p>
      <w:pPr>
        <w:spacing w:after="20" w:before="0" w:line="240" w:lineRule="auto"/>
      </w:pPr>
      <w:r>
        <w:rPr>
          <w:rFonts w:ascii="Calibri" w:hAnsi="Calibri"/>
          <w:b/>
          <w:sz w:val="20"/>
        </w:rPr>
        <w:t xml:space="preserve">Testing &amp; Quality: </w:t>
      </w:r>
      <w:r>
        <w:rPr>
          <w:rFonts w:ascii="Calibri" w:hAnsi="Calibri"/>
          <w:sz w:val="20"/>
        </w:rPr>
        <w:t>defect triage &amp; root cause</w:t>
      </w:r>
    </w:p>
    <w:p>
      <w:pPr>
        <w:spacing w:after="20" w:before="0" w:line="240" w:lineRule="auto"/>
      </w:pPr>
      <w:r>
        <w:rPr>
          <w:rFonts w:ascii="Calibri" w:hAnsi="Calibri"/>
          <w:b/>
          <w:sz w:val="20"/>
        </w:rPr>
        <w:t xml:space="preserve">Data Engineering: </w:t>
      </w:r>
      <w:r>
        <w:rPr>
          <w:rFonts w:ascii="Calibri" w:hAnsi="Calibri"/>
          <w:sz w:val="20"/>
        </w:rPr>
        <w:t>cloud platforms (AWS/Azure/GCP), ETL pipeline development, Informatica, data modeling, system &amp; data integration</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