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Business Analyst - Reconciliation and Payment Team</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Advanced SQL and Python with Power BI and Tableau — dashboards that cut reporting time 30% and KPI frameworks presented monthly to senior leadership. Delivered a full SAP migration at 100% data integrity with a 40% drop in data entry errors, under documented quality controls and auditable, lineage-traceable data flows.</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solution documentation  ·  UAT / user acceptance testing  ·  cross-functional collaboration  ·  healthcare data  ·  operational &amp; executive reporting  ·  test planning  ·  defect triage &amp; root cause  ·  platform migration  ·  auditability &amp; controls  ·  SAFe  ·  stakeholder management  ·  reconciliation  ·  Excel (advanced)  ·  dashboards</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Testing &amp; Quality: </w:t>
      </w:r>
      <w:r>
        <w:rPr>
          <w:rFonts w:ascii="Calibri" w:hAnsi="Calibri"/>
          <w:sz w:val="20"/>
        </w:rPr>
        <w:t>UAT / user acceptance testing, test planning, defect triage &amp; root cause</w:t>
      </w:r>
    </w:p>
    <w:p>
      <w:pPr>
        <w:spacing w:after="20" w:before="0" w:line="240" w:lineRule="auto"/>
      </w:pPr>
      <w:r>
        <w:rPr>
          <w:rFonts w:ascii="Calibri" w:hAnsi="Calibri"/>
          <w:b/>
          <w:sz w:val="20"/>
        </w:rPr>
        <w:t xml:space="preserve">Delivery &amp; Tools: </w:t>
      </w:r>
      <w:r>
        <w:rPr>
          <w:rFonts w:ascii="Calibri" w:hAnsi="Calibri"/>
          <w:sz w:val="20"/>
        </w:rPr>
        <w:t>cross-functional collaboration, SAFe, stakeholder management, Agile/Scrum, Waterfall, JIRA, Confluence</w:t>
      </w:r>
    </w:p>
    <w:p>
      <w:pPr>
        <w:spacing w:after="20" w:before="0" w:line="240" w:lineRule="auto"/>
      </w:pPr>
      <w:r>
        <w:rPr>
          <w:rFonts w:ascii="Calibri" w:hAnsi="Calibri"/>
          <w:b/>
          <w:sz w:val="20"/>
        </w:rPr>
        <w:t xml:space="preserve">Business Analysis: </w:t>
      </w:r>
      <w:r>
        <w:rPr>
          <w:rFonts w:ascii="Calibri" w:hAnsi="Calibri"/>
          <w:sz w:val="20"/>
        </w:rPr>
        <w:t>solution documentation, future-state design</w:t>
      </w:r>
    </w:p>
    <w:p>
      <w:pPr>
        <w:spacing w:after="20" w:before="0" w:line="240" w:lineRule="auto"/>
      </w:pPr>
      <w:r>
        <w:rPr>
          <w:rFonts w:ascii="Calibri" w:hAnsi="Calibri"/>
          <w:b/>
          <w:sz w:val="20"/>
        </w:rPr>
        <w:t xml:space="preserve">BI &amp; Visualization: </w:t>
      </w:r>
      <w:r>
        <w:rPr>
          <w:rFonts w:ascii="Calibri" w:hAnsi="Calibri"/>
          <w:sz w:val="20"/>
        </w:rPr>
        <w:t>operational &amp; executive reporting, dashboards, Power BI (DAX, Power Query), Tableau, SSRS, KPI design &amp; monitoring</w:t>
      </w:r>
    </w:p>
    <w:p>
      <w:pPr>
        <w:spacing w:after="20" w:before="0" w:line="240" w:lineRule="auto"/>
      </w:pPr>
      <w:r>
        <w:rPr>
          <w:rFonts w:ascii="Calibri" w:hAnsi="Calibri"/>
          <w:b/>
          <w:sz w:val="20"/>
        </w:rPr>
        <w:t xml:space="preserve">Data Governance: </w:t>
      </w:r>
      <w:r>
        <w:rPr>
          <w:rFonts w:ascii="Calibri" w:hAnsi="Calibri"/>
          <w:sz w:val="20"/>
        </w:rPr>
        <w:t>auditability &amp; controls, governance catalog tooling</w:t>
      </w:r>
    </w:p>
    <w:p>
      <w:pPr>
        <w:spacing w:after="20" w:before="0" w:line="240" w:lineRule="auto"/>
      </w:pPr>
      <w:r>
        <w:rPr>
          <w:rFonts w:ascii="Calibri" w:hAnsi="Calibri"/>
          <w:b/>
          <w:sz w:val="20"/>
        </w:rPr>
        <w:t xml:space="preserve">Domain Expertise: </w:t>
      </w:r>
      <w:r>
        <w:rPr>
          <w:rFonts w:ascii="Calibri" w:hAnsi="Calibri"/>
          <w:sz w:val="20"/>
        </w:rPr>
        <w:t>healthcare data</w:t>
      </w:r>
    </w:p>
    <w:p>
      <w:pPr>
        <w:spacing w:after="20" w:before="0" w:line="240" w:lineRule="auto"/>
      </w:pPr>
      <w:r>
        <w:rPr>
          <w:rFonts w:ascii="Calibri" w:hAnsi="Calibri"/>
          <w:b/>
          <w:sz w:val="20"/>
        </w:rPr>
        <w:t xml:space="preserve">Data Engineering: </w:t>
      </w:r>
      <w:r>
        <w:rPr>
          <w:rFonts w:ascii="Calibri" w:hAnsi="Calibri"/>
          <w:sz w:val="20"/>
        </w:rPr>
        <w:t>platform migration, ETL pipeline development, Informatica, data modeling, system &amp; data integration</w:t>
      </w:r>
    </w:p>
    <w:p>
      <w:pPr>
        <w:spacing w:after="20" w:before="0" w:line="240" w:lineRule="auto"/>
      </w:pPr>
      <w:r>
        <w:rPr>
          <w:rFonts w:ascii="Calibri" w:hAnsi="Calibri"/>
          <w:b/>
          <w:sz w:val="20"/>
        </w:rPr>
        <w:t xml:space="preserve">Analytics &amp; Modeling: </w:t>
      </w:r>
      <w:r>
        <w:rPr>
          <w:rFonts w:ascii="Calibri" w:hAnsi="Calibri"/>
          <w:sz w:val="20"/>
        </w:rPr>
        <w:t>reconciliation, forecasting, statistical analysis, root cause analysis</w:t>
      </w:r>
    </w:p>
    <w:p>
      <w:pPr>
        <w:spacing w:after="20" w:before="0" w:line="240" w:lineRule="auto"/>
      </w:pPr>
      <w:r>
        <w:rPr>
          <w:rFonts w:ascii="Calibri" w:hAnsi="Calibri"/>
          <w:b/>
          <w:sz w:val="20"/>
        </w:rPr>
        <w:t xml:space="preserve">Languages &amp; Querying: </w:t>
      </w:r>
      <w:r>
        <w:rPr>
          <w:rFonts w:ascii="Calibri" w:hAnsi="Calibri"/>
          <w:sz w:val="20"/>
        </w:rPr>
        <w:t>Excel (advanced), SQL (advanced), Python (Pandas, NumPy, Scikit-learn), VBA</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Own data quality and governance processes across cross-functional analytics initiatives, maintaining review controls, ownership clarity and standards adoption that keep enterprise reporting trusted.</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