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Sr. SAP Vistex 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Technical business analyst with 6+ years leading systems analysis across enterprise platforms, translating business need into technical requirements and integration-aware design. Works across SAP, SQL Server, Snowflake and Informatica, running impact and scope analysis over integrated systems before build. Writes user stories and acceptance criteria, authors test cases, partners with QA through defect triage, and drives UAT and business acceptance to formal sign-off. Managed 1,000+ pharmaceutical SKUs across East and West Africa and drove a $50M logistics cost reduction through cost-benefit and root cause analysis.</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SAP (SD, MM, CRM, PP, WLM)  ·  healthcare data  ·  system &amp; data integration  ·  operational &amp; executive reporting  ·  functional requirements  ·  requirements traceability  ·  solution documentation  ·  QA partnership  ·  defect triage &amp; root cause  ·  data validation  ·  stakeholder management  ·  SQL &amp; Python analysis</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w:t>
      </w:r>
    </w:p>
    <w:p>
      <w:pPr>
        <w:spacing w:after="20" w:before="0" w:line="240" w:lineRule="auto"/>
      </w:pPr>
      <w:r>
        <w:rPr>
          <w:rFonts w:ascii="Calibri" w:hAnsi="Calibri"/>
          <w:b/>
          <w:sz w:val="20"/>
        </w:rPr>
        <w:t xml:space="preserve">Domain Expertise: </w:t>
      </w:r>
      <w:r>
        <w:rPr>
          <w:rFonts w:ascii="Calibri" w:hAnsi="Calibri"/>
          <w:sz w:val="20"/>
        </w:rPr>
        <w:t>healthcare data</w:t>
      </w:r>
    </w:p>
    <w:p>
      <w:pPr>
        <w:spacing w:after="20" w:before="0" w:line="240" w:lineRule="auto"/>
      </w:pPr>
      <w:r>
        <w:rPr>
          <w:rFonts w:ascii="Calibri" w:hAnsi="Calibri"/>
          <w:b/>
          <w:sz w:val="20"/>
        </w:rPr>
        <w:t xml:space="preserve">Business Analysis: </w:t>
      </w:r>
      <w:r>
        <w:rPr>
          <w:rFonts w:ascii="Calibri" w:hAnsi="Calibri"/>
          <w:sz w:val="20"/>
        </w:rPr>
        <w:t>functional requirements, requirements traceability, solution documentation</w:t>
      </w:r>
    </w:p>
    <w:p>
      <w:pPr>
        <w:spacing w:after="20" w:before="0" w:line="240" w:lineRule="auto"/>
      </w:pPr>
      <w:r>
        <w:rPr>
          <w:rFonts w:ascii="Calibri" w:hAnsi="Calibri"/>
          <w:b/>
          <w:sz w:val="20"/>
        </w:rPr>
        <w:t xml:space="preserve">Testing &amp; Quality: </w:t>
      </w:r>
      <w:r>
        <w:rPr>
          <w:rFonts w:ascii="Calibri" w:hAnsi="Calibri"/>
          <w:sz w:val="20"/>
        </w:rPr>
        <w:t>QA partnership, defect triage &amp; root cause, data validation</w:t>
      </w:r>
    </w:p>
    <w:p>
      <w:pPr>
        <w:spacing w:after="20" w:before="0" w:line="240" w:lineRule="auto"/>
      </w:pPr>
      <w:r>
        <w:rPr>
          <w:rFonts w:ascii="Calibri" w:hAnsi="Calibri"/>
          <w:b/>
          <w:sz w:val="20"/>
        </w:rPr>
        <w:t xml:space="preserve">Data Engineering: </w:t>
      </w:r>
      <w:r>
        <w:rPr>
          <w:rFonts w:ascii="Calibri" w:hAnsi="Calibri"/>
          <w:sz w:val="20"/>
        </w:rPr>
        <w:t>system &amp; data integration, ETL pipeline development, Informatica, data modeling</w:t>
      </w:r>
    </w:p>
    <w:p>
      <w:pPr>
        <w:spacing w:after="20" w:before="0" w:line="240" w:lineRule="auto"/>
      </w:pPr>
      <w:r>
        <w:rPr>
          <w:rFonts w:ascii="Calibri" w:hAnsi="Calibri"/>
          <w:b/>
          <w:sz w:val="20"/>
        </w:rPr>
        <w:t xml:space="preserve">BI &amp; Visualization: </w:t>
      </w:r>
      <w:r>
        <w:rPr>
          <w:rFonts w:ascii="Calibri" w:hAnsi="Calibri"/>
          <w:sz w:val="20"/>
        </w:rPr>
        <w:t>operational &amp; executive reporting, Power BI (DAX, Power Query), Tableau, SSRS, dashboards, KPI design &amp; monitoring</w:t>
      </w:r>
    </w:p>
    <w:p>
      <w:pPr>
        <w:spacing w:after="20" w:before="0" w:line="240" w:lineRule="auto"/>
      </w:pPr>
      <w:r>
        <w:rPr>
          <w:rFonts w:ascii="Calibri" w:hAnsi="Calibri"/>
          <w:b/>
          <w:sz w:val="20"/>
        </w:rPr>
        <w:t xml:space="preserve">Delivery &amp; Tools: </w:t>
      </w:r>
      <w:r>
        <w:rPr>
          <w:rFonts w:ascii="Calibri" w:hAnsi="Calibri"/>
          <w:sz w:val="20"/>
        </w:rPr>
        <w:t>stakeholder management, Agile/Scrum, Waterfall, JIRA, Confluence</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