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38A1" w14:textId="58C9E802" w:rsidR="003E7AAD" w:rsidRDefault="000925B9" w:rsidP="003E7AAD">
      <w:pPr>
        <w:pStyle w:val="Heading1"/>
        <w:spacing w:before="0" w:after="0" w:line="360" w:lineRule="auto"/>
        <w:jc w:val="center"/>
      </w:pPr>
      <w:r w:rsidRPr="003E7AAD">
        <w:t>C</w:t>
      </w:r>
      <w:r>
        <w:t>HAPTER ONE</w:t>
      </w:r>
    </w:p>
    <w:p w14:paraId="00BB3A2D" w14:textId="3E7DCFA7" w:rsidR="00BB1F59" w:rsidRDefault="003E7AAD" w:rsidP="003E7AAD">
      <w:pPr>
        <w:pStyle w:val="Heading1"/>
        <w:spacing w:before="0" w:after="0" w:line="360" w:lineRule="auto"/>
        <w:jc w:val="center"/>
        <w:rPr>
          <w:sz w:val="32"/>
          <w:szCs w:val="32"/>
        </w:rPr>
      </w:pPr>
      <w:r w:rsidRPr="003E7AAD">
        <w:rPr>
          <w:sz w:val="32"/>
          <w:szCs w:val="32"/>
        </w:rPr>
        <w:t>Introduction</w:t>
      </w:r>
    </w:p>
    <w:p w14:paraId="0CA35BC7" w14:textId="77777777" w:rsidR="00681515" w:rsidRDefault="00681515" w:rsidP="00681515">
      <w:pPr>
        <w:jc w:val="both"/>
        <w:rPr>
          <w:rFonts w:eastAsiaTheme="majorEastAsia"/>
          <w:b/>
          <w:bCs/>
        </w:rPr>
      </w:pPr>
    </w:p>
    <w:p w14:paraId="70A8B5D1" w14:textId="77777777" w:rsidR="0078558D" w:rsidRPr="0078558D" w:rsidRDefault="0078558D" w:rsidP="0078558D">
      <w:pPr>
        <w:jc w:val="both"/>
        <w:rPr>
          <w:rFonts w:eastAsiaTheme="majorEastAsia"/>
        </w:rPr>
      </w:pPr>
      <w:r w:rsidRPr="0078558D">
        <w:rPr>
          <w:rFonts w:eastAsiaTheme="majorEastAsia"/>
        </w:rPr>
        <w:t>Diabetes mellitus has become one of the most pressing chronic disease challenges of the twenty-first century. Its global scale, the severity of its long-term complications, and the consistent failure of conventional screening to detect it early enough to prevent irreversible harm have created a clear clinical need for intelligent, accessible prediction systems [1], [3]. This project addresses that need by constructing a complete machine learning pipeline, from raw behavioral survey data to a deployed web application, that identifies individuals at high risk of diabetes with a clinically mandated minimum recall of 90 percent.</w:t>
      </w:r>
    </w:p>
    <w:p w14:paraId="13540E69" w14:textId="77777777" w:rsidR="0078558D" w:rsidRPr="0078558D" w:rsidRDefault="0078558D" w:rsidP="0078558D">
      <w:pPr>
        <w:jc w:val="both"/>
        <w:rPr>
          <w:rFonts w:eastAsiaTheme="majorEastAsia"/>
        </w:rPr>
      </w:pPr>
      <w:r w:rsidRPr="0078558D">
        <w:rPr>
          <w:rFonts w:eastAsiaTheme="majorEastAsia"/>
        </w:rPr>
        <w:t>The convergence of large-scale behavioral health datasets, mature gradient boosting algorithms, and lightweight deployment platforms has made population-level early detection not only theoretically possible but practically achievable. However, realizing that possibility demands more than selecting a well-performing model on a benchmark dataset. It demands confronting the statistical pathology of class imbalance, respecting the clinical asymmetry between the two types of prediction error, and engineering a system whose design constraints are defined by medical necessity rather than academic convention [4], [9], [34].</w:t>
      </w:r>
    </w:p>
    <w:p w14:paraId="3B2161C6" w14:textId="77777777" w:rsidR="00CF0BAA" w:rsidRPr="004154E1" w:rsidRDefault="00CF0BAA" w:rsidP="00CF0BAA">
      <w:pPr>
        <w:jc w:val="both"/>
        <w:rPr>
          <w:rFonts w:eastAsiaTheme="majorEastAsia"/>
        </w:rPr>
      </w:pPr>
    </w:p>
    <w:p w14:paraId="37C50D28" w14:textId="2506C161" w:rsidR="00681515" w:rsidRPr="00A2202D" w:rsidRDefault="00681515" w:rsidP="00681515">
      <w:pPr>
        <w:pStyle w:val="Heading2"/>
      </w:pPr>
      <w:r w:rsidRPr="00A2202D">
        <w:t>1.1 Background and Motivation</w:t>
      </w:r>
    </w:p>
    <w:p w14:paraId="208BF9D6" w14:textId="31D8AA88" w:rsidR="00CF0BAA" w:rsidRDefault="0078558D" w:rsidP="0078558D">
      <w:pPr>
        <w:jc w:val="both"/>
      </w:pPr>
      <w:r w:rsidRPr="0078558D">
        <w:t>Understanding why a machine learning approach to diabetes prediction is both necessary and timely requires examining four interconnected dimensions: the current epidemiological scale of the disease and its projected trajectory, the economic and social consequences that accumulate when diagnosis arrives too late, the specific capabilities that artificial intelligence brings to chronic disease risk assessment, and the clinical argument for shifting from reactive confirmation-based screening toward proactive population-level prediction. Each of these dimensions is examined in the subsections that follow, and together they establish the evidence base from which every subsequent design decision in this project is derived [1], [4], [7].</w:t>
      </w:r>
    </w:p>
    <w:p w14:paraId="1C25E1DE" w14:textId="557CE078" w:rsidR="00A2202D" w:rsidRDefault="00A2202D" w:rsidP="00A2202D">
      <w:pPr>
        <w:pStyle w:val="Heading2"/>
        <w:ind w:left="720"/>
        <w:rPr>
          <w:sz w:val="28"/>
          <w:szCs w:val="28"/>
        </w:rPr>
      </w:pPr>
      <w:r w:rsidRPr="00A2202D">
        <w:rPr>
          <w:sz w:val="28"/>
          <w:szCs w:val="28"/>
        </w:rPr>
        <w:t>1.1.1 Global Burden of Diabetes Mellitus</w:t>
      </w:r>
    </w:p>
    <w:p w14:paraId="44466FEE" w14:textId="77777777" w:rsidR="00A82EDA" w:rsidRPr="00A82EDA" w:rsidRDefault="00A82EDA" w:rsidP="00A82EDA">
      <w:pPr>
        <w:ind w:left="720"/>
        <w:jc w:val="both"/>
      </w:pPr>
      <w:r w:rsidRPr="00A82EDA">
        <w:t xml:space="preserve">Diabetes mellitus is a group of chronic metabolic disorders characterized by persistent hyperglycemia resulting from defects in insulin secretion, insulin action, or both [2]. The World Health Organization recognizes three primary clinical forms: Type 1, arising from autoimmune destruction of pancreatic beta cells; Type 2, driven by progressive insulin resistance combined with declining beta-cell secretory capacity; and gestational diabetes, which emerges during pregnancy and significantly elevates the mother's lifetime risk of developing Type 2 diabetes [2]. Type 2 accounts for over 90 percent of all diagnosed cases </w:t>
      </w:r>
      <w:r w:rsidRPr="00A82EDA">
        <w:lastRenderedPageBreak/>
        <w:t>worldwide, and its deep connection to modifiable behavioral and metabolic risk factors makes it the most amenable to prediction and early intervention [2], [3].</w:t>
      </w:r>
    </w:p>
    <w:p w14:paraId="5D40D1C1" w14:textId="77777777" w:rsidR="00A82EDA" w:rsidRPr="00A82EDA" w:rsidRDefault="00A82EDA" w:rsidP="00A82EDA">
      <w:pPr>
        <w:ind w:left="720"/>
        <w:jc w:val="both"/>
      </w:pPr>
      <w:r w:rsidRPr="00A82EDA">
        <w:t>The scale of the epidemic is severe. The International Diabetes Federation reported 537 million adults living with diabetes in 2021, a global prevalence of 10.5 percent, with projections reaching 643 million by 2030 and 784 million by 2045 [1]. More than three-quarters of those affected reside in low- and middle-income countries, where healthcare infrastructure is least equipped to absorb the growing burden [1], [2]. This geographic concentration creates an urgent need for scalable, low-barrier risk identification tools that do not depend on laboratory access or specialist clinical personnel [8].</w:t>
      </w:r>
    </w:p>
    <w:p w14:paraId="1ABBC038" w14:textId="77777777" w:rsidR="00A82EDA" w:rsidRPr="00A82EDA" w:rsidRDefault="00A82EDA" w:rsidP="00A82EDA">
      <w:pPr>
        <w:ind w:left="720"/>
        <w:jc w:val="both"/>
      </w:pPr>
      <w:r w:rsidRPr="00A82EDA">
        <w:t xml:space="preserve">Long-term complications of uncontrolled diabetes, including cardiovascular disease, nephropathy, retinopathy, and lower limb amputation, represent the primary clinical consequence of late or missed diagnosis [3]. </w:t>
      </w:r>
      <w:proofErr w:type="gramStart"/>
      <w:r w:rsidRPr="00A82EDA">
        <w:t>The majority of</w:t>
      </w:r>
      <w:proofErr w:type="gramEnd"/>
      <w:r w:rsidRPr="00A82EDA">
        <w:t xml:space="preserve"> these outcomes are preventable if risk is identified early and appropriate intervention is initiated during the prediabetic phase, reinforcing the case for prediction systems that operate upstream of conventional diagnostic pathways [6], [3].</w:t>
      </w:r>
    </w:p>
    <w:p w14:paraId="466CEA3A" w14:textId="77777777" w:rsidR="0078558D" w:rsidRDefault="0078558D" w:rsidP="0078558D">
      <w:pPr>
        <w:ind w:left="720"/>
        <w:jc w:val="both"/>
      </w:pPr>
    </w:p>
    <w:p w14:paraId="2F475852" w14:textId="4C5A493E" w:rsidR="00A2202D" w:rsidRDefault="00A2202D" w:rsidP="00A2202D">
      <w:pPr>
        <w:pStyle w:val="Heading2"/>
        <w:ind w:left="720"/>
        <w:rPr>
          <w:sz w:val="28"/>
          <w:szCs w:val="28"/>
        </w:rPr>
      </w:pPr>
      <w:r w:rsidRPr="00A2202D">
        <w:rPr>
          <w:sz w:val="28"/>
          <w:szCs w:val="28"/>
        </w:rPr>
        <w:t>1.1.2 Economic and Social Impact</w:t>
      </w:r>
    </w:p>
    <w:p w14:paraId="72CFCBEF" w14:textId="77777777" w:rsidR="00A82EDA" w:rsidRPr="00A82EDA" w:rsidRDefault="00A82EDA" w:rsidP="00A82EDA">
      <w:pPr>
        <w:ind w:left="720"/>
        <w:jc w:val="both"/>
      </w:pPr>
      <w:r w:rsidRPr="00A82EDA">
        <w:t>The economic consequences of diabetes mirror its epidemiological trajectory. Direct global healthcare expenditure attributable to the disease reached 966 billion United States dollars in 2021, approximately 9 percent of all adult healthcare spending worldwide [1]. This figure excludes the substantial indirect costs arising from premature mortality, lost productivity, and the early exit of working-age adults from the workforce due to disability [1], [3].</w:t>
      </w:r>
    </w:p>
    <w:p w14:paraId="28CF8F21" w14:textId="77777777" w:rsidR="00A82EDA" w:rsidRPr="00A82EDA" w:rsidRDefault="00A82EDA" w:rsidP="00A82EDA">
      <w:pPr>
        <w:ind w:left="720"/>
        <w:jc w:val="both"/>
      </w:pPr>
      <w:r w:rsidRPr="00A82EDA">
        <w:t>At the individual level, the burden extends well beyond financial cost. Diabetes is the leading nontraumatic cause of lower limb amputation, the most common cause of acquired blindness in working-age adults, and the primary driver of end-stage renal disease in most high-prevalence populations [3]. Each of these outcomes represents a profound disruption of personal autonomy and quality of life, with cascading effects on family stability and caregiver burden [2], [3].</w:t>
      </w:r>
    </w:p>
    <w:p w14:paraId="3DB2AFD8" w14:textId="77777777" w:rsidR="00A82EDA" w:rsidRPr="00A82EDA" w:rsidRDefault="00A82EDA" w:rsidP="00A82EDA">
      <w:pPr>
        <w:ind w:left="720"/>
        <w:jc w:val="both"/>
      </w:pPr>
      <w:r w:rsidRPr="00A82EDA">
        <w:t xml:space="preserve">The critical insight from this economic picture is that </w:t>
      </w:r>
      <w:proofErr w:type="gramStart"/>
      <w:r w:rsidRPr="00A82EDA">
        <w:t>the majority of</w:t>
      </w:r>
      <w:proofErr w:type="gramEnd"/>
      <w:r w:rsidRPr="00A82EDA">
        <w:t xml:space="preserve"> these costs are not incurred during early-stage diabetes management. They are incurred during the treatment of advanced complications that could have been prevented or delayed had the risk been identified years earlier [1], [6]. Investment in early prediction infrastructure is therefore not merely a clinical priority but an economic one, with a return measured in complications avoided and hospitalizations prevented [5].</w:t>
      </w:r>
    </w:p>
    <w:p w14:paraId="64541C1C" w14:textId="77777777" w:rsidR="004C7581" w:rsidRDefault="004C7581" w:rsidP="00FF35C4">
      <w:pPr>
        <w:jc w:val="both"/>
      </w:pPr>
    </w:p>
    <w:p w14:paraId="37F98CB1" w14:textId="39BEC447" w:rsidR="00A2202D" w:rsidRDefault="00A2202D" w:rsidP="00A2202D">
      <w:pPr>
        <w:pStyle w:val="Heading2"/>
        <w:ind w:left="720"/>
        <w:rPr>
          <w:sz w:val="28"/>
          <w:szCs w:val="28"/>
        </w:rPr>
      </w:pPr>
      <w:r w:rsidRPr="00A2202D">
        <w:rPr>
          <w:sz w:val="28"/>
          <w:szCs w:val="28"/>
        </w:rPr>
        <w:lastRenderedPageBreak/>
        <w:t>1.1.3 The Role of Artificial Intelligence in Healthcare</w:t>
      </w:r>
    </w:p>
    <w:p w14:paraId="1948C22D" w14:textId="77777777" w:rsidR="00A82EDA" w:rsidRPr="00A82EDA" w:rsidRDefault="00A82EDA" w:rsidP="00A82EDA">
      <w:pPr>
        <w:ind w:left="720"/>
        <w:jc w:val="both"/>
      </w:pPr>
      <w:r w:rsidRPr="00A82EDA">
        <w:t>Machine learning has fundamentally changed what is technically possible in chronic disease risk prediction. Unlike conventional logistic regression and clinical scoring systems, modern ensemble algorithms can model complex non-linear interactions among dozens of concurrent risk factors, produce calibrated probability estimates rather than binary categorical outputs, and operate on routinely collected administrative or behavioral data without requiring laboratory tests [4], [14].</w:t>
      </w:r>
    </w:p>
    <w:p w14:paraId="174E0A66" w14:textId="77777777" w:rsidR="00A82EDA" w:rsidRPr="00A82EDA" w:rsidRDefault="00A82EDA" w:rsidP="00A82EDA">
      <w:pPr>
        <w:ind w:left="720"/>
        <w:jc w:val="both"/>
      </w:pPr>
      <w:r w:rsidRPr="00A82EDA">
        <w:t>A landmark review of artificial intelligence applications in diabetes management documented evidence supporting machine learning contributions across early diagnosis, glycemic control optimization, complication risk stratification, and remote monitoring, with gradient boosting frameworks consistently achieving the strongest performance on structured tabular clinical data [4]. The review further established that clinical adoption of AI-based tools depends not only on predictive accuracy but on the interpretability of model outputs, since clinicians require a transparent account of which features drove a risk score before they can responsibly act on it in a patient encounter [4].</w:t>
      </w:r>
    </w:p>
    <w:p w14:paraId="3C40AB4E" w14:textId="36981937" w:rsidR="004C7581" w:rsidRDefault="00A82EDA" w:rsidP="00A82EDA">
      <w:pPr>
        <w:ind w:left="720"/>
        <w:jc w:val="both"/>
      </w:pPr>
      <w:r w:rsidRPr="00A82EDA">
        <w:t>A subsequent scoping review of clinical decision support systems in diabetes care confirmed that AI-driven tools are both safe and clinically effective across diverse deployment settings, with adoption associated with significant improvements in glycemic outcomes and reductions in preventable hospitalizations [5]. These findings directly justify the Streamlit-based deployment component of the present system, which is designed to translate the trained model's predictive capacity into a form accessible to clinical practitioners without requiring any programming expertise [5].</w:t>
      </w:r>
    </w:p>
    <w:p w14:paraId="01C3D886" w14:textId="77777777" w:rsidR="00CF0BAA" w:rsidRDefault="00CF0BAA" w:rsidP="004C7581">
      <w:pPr>
        <w:ind w:left="720"/>
        <w:jc w:val="both"/>
      </w:pPr>
    </w:p>
    <w:p w14:paraId="7D63A305" w14:textId="2794980B" w:rsidR="00A2202D" w:rsidRDefault="004C7581" w:rsidP="004C7581">
      <w:pPr>
        <w:pStyle w:val="Heading2"/>
        <w:ind w:left="720"/>
        <w:rPr>
          <w:sz w:val="28"/>
          <w:szCs w:val="28"/>
        </w:rPr>
      </w:pPr>
      <w:r w:rsidRPr="004C7581">
        <w:rPr>
          <w:sz w:val="28"/>
          <w:szCs w:val="28"/>
        </w:rPr>
        <w:t>1.1.4 Need for Early Prediction Systems</w:t>
      </w:r>
    </w:p>
    <w:p w14:paraId="05545E38" w14:textId="77777777" w:rsidR="00A82EDA" w:rsidRPr="00A82EDA" w:rsidRDefault="00A82EDA" w:rsidP="00A82EDA">
      <w:pPr>
        <w:ind w:left="720"/>
        <w:jc w:val="both"/>
      </w:pPr>
      <w:r w:rsidRPr="00A82EDA">
        <w:t>The clinical case for early prediction rests on a well-documented reality: the prediabetic phase of Type 2 diabetes can persist for years without producing symptoms that would bring an individual to clinical attention [6]. Research published in The Lancet estimated that approximately half of all people currently living with diabetes worldwide remain undiagnosed at any given time, with subclinical vascular, renal, and neural damage silently accumulating throughout that period [6]. The interventions most effective at preventing irreversible complications, principally lifestyle modification, weight reduction, and pharmacological prevention, are only available to those who have already been identified as at elevated risk [3], [6].</w:t>
      </w:r>
    </w:p>
    <w:p w14:paraId="10AF4072" w14:textId="77777777" w:rsidR="00A82EDA" w:rsidRPr="00A82EDA" w:rsidRDefault="00A82EDA" w:rsidP="00A82EDA">
      <w:pPr>
        <w:ind w:left="720"/>
        <w:jc w:val="both"/>
      </w:pPr>
      <w:r w:rsidRPr="00A82EDA">
        <w:t xml:space="preserve">Conventional screening cannot close this gap at the scale the epidemic demands. Laboratory-based diagnostic tests require physical proximity to healthcare infrastructure, trained clinical personnel, and a financial mechanism covering the cost of testing, prerequisites that systematically exclude the populations in which disease burden is </w:t>
      </w:r>
      <w:r w:rsidRPr="00A82EDA">
        <w:lastRenderedPageBreak/>
        <w:t>growing most rapidly [8]. A prediction system that operates entirely on self-reported behavioral and demographic data, generates calibrated individual risk probabilities, and is accessible through a standard web browser represents a qualitatively different and far more scalable tool [5], [11].</w:t>
      </w:r>
    </w:p>
    <w:p w14:paraId="60E9037E" w14:textId="27740181" w:rsidR="00092546" w:rsidRPr="00092546" w:rsidRDefault="00A82EDA" w:rsidP="00A82EDA">
      <w:pPr>
        <w:ind w:left="720"/>
        <w:jc w:val="both"/>
      </w:pPr>
      <w:r w:rsidRPr="00A82EDA">
        <w:t>This project was designed from the outset with that deployment context as a binding constraint on every methodological decision, from data preprocessing through to threshold optimization, treating clinical utility as a first-order requirement rather than a post-hoc consideration [9], [30].</w:t>
      </w:r>
    </w:p>
    <w:p w14:paraId="100E3347" w14:textId="77777777" w:rsidR="004C7581" w:rsidRDefault="004C7581" w:rsidP="004C7581">
      <w:pPr>
        <w:ind w:left="720"/>
        <w:jc w:val="both"/>
      </w:pPr>
    </w:p>
    <w:p w14:paraId="6C246786" w14:textId="77777777" w:rsidR="004C7581" w:rsidRPr="004C7581" w:rsidRDefault="004C7581" w:rsidP="004C7581">
      <w:pPr>
        <w:pStyle w:val="Heading2"/>
      </w:pPr>
      <w:r w:rsidRPr="004C7581">
        <w:t>1.2 Problem Statement</w:t>
      </w:r>
    </w:p>
    <w:p w14:paraId="35372044" w14:textId="275587EE" w:rsidR="00092546" w:rsidRDefault="00A82EDA" w:rsidP="00A82EDA">
      <w:pPr>
        <w:pStyle w:val="Heading2"/>
        <w:jc w:val="both"/>
        <w:rPr>
          <w:rFonts w:eastAsiaTheme="minorHAnsi"/>
          <w:b w:val="0"/>
          <w:bCs w:val="0"/>
          <w:color w:val="auto"/>
          <w:sz w:val="24"/>
          <w:szCs w:val="24"/>
        </w:rPr>
      </w:pPr>
      <w:r w:rsidRPr="00A82EDA">
        <w:rPr>
          <w:rFonts w:eastAsiaTheme="minorHAnsi"/>
          <w:b w:val="0"/>
          <w:bCs w:val="0"/>
          <w:color w:val="auto"/>
          <w:sz w:val="24"/>
          <w:szCs w:val="24"/>
        </w:rPr>
        <w:t>Constructing a diabetes prediction system that performs well in clinical deployment rather than merely on academic benchmarks requires confronting three distinct but interconnected problems that most published studies in this domain address incompletely or not at all [34]. Each problem is defined in the subsections below, and each directly motivates a specific set of design choices in the pipeline described in Chapter Three.</w:t>
      </w:r>
    </w:p>
    <w:p w14:paraId="36F5FE6A" w14:textId="77777777" w:rsidR="00092546" w:rsidRDefault="00092546" w:rsidP="00092546">
      <w:pPr>
        <w:pStyle w:val="Heading2"/>
        <w:ind w:left="720"/>
        <w:rPr>
          <w:sz w:val="28"/>
          <w:szCs w:val="28"/>
        </w:rPr>
      </w:pPr>
    </w:p>
    <w:p w14:paraId="7D35DC06" w14:textId="1EDD9DA8" w:rsidR="004C7581" w:rsidRPr="004C7581" w:rsidRDefault="004C7581" w:rsidP="00092546">
      <w:pPr>
        <w:pStyle w:val="Heading2"/>
        <w:ind w:left="720"/>
        <w:rPr>
          <w:sz w:val="28"/>
          <w:szCs w:val="28"/>
        </w:rPr>
      </w:pPr>
      <w:r w:rsidRPr="004C7581">
        <w:rPr>
          <w:sz w:val="28"/>
          <w:szCs w:val="28"/>
        </w:rPr>
        <w:t>1.2.1 Limitations of Traditional Screening Methods</w:t>
      </w:r>
    </w:p>
    <w:p w14:paraId="183F175F" w14:textId="77777777" w:rsidR="00A82EDA" w:rsidRPr="00A82EDA" w:rsidRDefault="00A82EDA" w:rsidP="00A82EDA">
      <w:pPr>
        <w:ind w:left="720"/>
        <w:jc w:val="both"/>
      </w:pPr>
      <w:r w:rsidRPr="00A82EDA">
        <w:t xml:space="preserve">Conventional diabetes screening is structured to confirm disease in patients who have already </w:t>
      </w:r>
      <w:proofErr w:type="gramStart"/>
      <w:r w:rsidRPr="00A82EDA">
        <w:t>presented with</w:t>
      </w:r>
      <w:proofErr w:type="gramEnd"/>
      <w:r w:rsidRPr="00A82EDA">
        <w:t xml:space="preserve"> symptoms or known risk factors, not to proactively identify risk in asymptomatic populations [3]. The three gold-standard diagnostic tests, fasting plasma glucose, the oral glucose tolerance test, and glycated hemoglobin measurement, each require a certified clinical laboratory, trained phlebotomy personnel, and a payment mechanism that covers the cost of testing and any follow-up triggered by an abnormal result [8]. These prerequisites are not universally available, and they are substantially absent in the rural and peri-urban settings where the disease burden is growing fastest [8].</w:t>
      </w:r>
    </w:p>
    <w:p w14:paraId="47706211" w14:textId="77777777" w:rsidR="00A82EDA" w:rsidRPr="00A82EDA" w:rsidRDefault="00A82EDA" w:rsidP="00A82EDA">
      <w:pPr>
        <w:ind w:left="720"/>
        <w:jc w:val="both"/>
      </w:pPr>
      <w:r w:rsidRPr="00A82EDA">
        <w:t>Point-of-care questionnaire tools have been proposed as lower-cost alternatives, but their sensitivity degrades rapidly outside the demographic context in which they were developed, and their ordinal risk outputs provide no mechanism for continuous probability estimation or threshold adjustment to reflect deployment-specific clinical priorities [7], [34].</w:t>
      </w:r>
    </w:p>
    <w:p w14:paraId="3D6EF5C0" w14:textId="77777777" w:rsidR="00A82EDA" w:rsidRPr="00A82EDA" w:rsidRDefault="00A82EDA" w:rsidP="00A82EDA">
      <w:pPr>
        <w:ind w:left="720"/>
        <w:jc w:val="both"/>
      </w:pPr>
      <w:r w:rsidRPr="00A82EDA">
        <w:t xml:space="preserve">A machine learning system operating on self-reported behavioral survey data provides a fundamentally different operational model: one that can assess risk for any individual who can answer a structured questionnaire, without requiring physical access to healthcare infrastructure [7], [11]. The BRFSS 2015 dataset, comprising 253,680 records of self-reported health behaviors and demographic characteristics from United States adults, </w:t>
      </w:r>
      <w:r w:rsidRPr="00A82EDA">
        <w:lastRenderedPageBreak/>
        <w:t>provides the empirical foundation for constructing and validating exactly such a system [12], [13].</w:t>
      </w:r>
    </w:p>
    <w:p w14:paraId="368AF708" w14:textId="77777777" w:rsidR="004C7581" w:rsidRPr="004C7581" w:rsidRDefault="004C7581" w:rsidP="00A82EDA">
      <w:pPr>
        <w:jc w:val="both"/>
      </w:pPr>
    </w:p>
    <w:p w14:paraId="6BEE053C" w14:textId="77777777" w:rsidR="004C7581" w:rsidRPr="004C7581" w:rsidRDefault="004C7581" w:rsidP="004C7581">
      <w:pPr>
        <w:pStyle w:val="Heading2"/>
        <w:ind w:left="720"/>
        <w:rPr>
          <w:sz w:val="28"/>
          <w:szCs w:val="28"/>
        </w:rPr>
      </w:pPr>
      <w:r w:rsidRPr="004C7581">
        <w:rPr>
          <w:sz w:val="28"/>
          <w:szCs w:val="28"/>
        </w:rPr>
        <w:t>1.2.2 The Class Imbalance Challenge</w:t>
      </w:r>
    </w:p>
    <w:p w14:paraId="5CC3AAF3" w14:textId="77777777" w:rsidR="00A82EDA" w:rsidRPr="00A82EDA" w:rsidRDefault="00A82EDA" w:rsidP="00A82EDA">
      <w:pPr>
        <w:ind w:left="720"/>
        <w:jc w:val="both"/>
      </w:pPr>
      <w:r w:rsidRPr="00A82EDA">
        <w:t>The BRFSS 2015 dataset exhibits a class distribution in which non-diabetic individuals account for approximately 86 percent of all records and diabetic or prediabetic individuals account for approximately 14 percent, yielding a majority-to-minority imbalance ratio of approximately 6.1 to 1 [12]. This asymmetry creates a fundamental misalignment between the objective functions of standard classification algorithms and the clinical objective of the prediction system [9].</w:t>
      </w:r>
    </w:p>
    <w:p w14:paraId="59821FE4" w14:textId="77777777" w:rsidR="00A82EDA" w:rsidRPr="00A82EDA" w:rsidRDefault="00A82EDA" w:rsidP="00A82EDA">
      <w:pPr>
        <w:ind w:left="720"/>
        <w:jc w:val="both"/>
      </w:pPr>
      <w:r w:rsidRPr="00A82EDA">
        <w:t>Because conventional training criteria minimize aggregate prediction error across all instances, a classifier trained on this data will discover during optimization that assigning the majority class label to every instance yields an apparent accuracy of approximately 86 percent at negligible numerical cost, making the zero-discriminative-value majority-only classifier mathematically optimal under standard conditions [9], [10]. The clinical consequence is direct: a model that achieves high overall accuracy by systematically misclassifying diabetic patients generates false reassurance with real consequences, since every missed case represents an individual continuing to accumulate organ damage during precisely the period when prevention is most effective [6], [10].</w:t>
      </w:r>
    </w:p>
    <w:p w14:paraId="1FC0BDAF" w14:textId="3BFF6EDB" w:rsidR="00092546" w:rsidRPr="00092546" w:rsidRDefault="00A82EDA" w:rsidP="00A82EDA">
      <w:pPr>
        <w:ind w:left="720"/>
        <w:jc w:val="both"/>
      </w:pPr>
      <w:r w:rsidRPr="00A82EDA">
        <w:t>Addressing this required a deliberate three-layer strategy: synthetic minority oversampling at the data level [22], cost-sensitive class weighting and scale_pos_weight parameterization at the algorithm level [9], and clinically appropriate evaluation metrics combined with systematic decision threshold optimization at the assessment level [33].</w:t>
      </w:r>
    </w:p>
    <w:p w14:paraId="3AE44C27" w14:textId="77777777" w:rsidR="004C7581" w:rsidRPr="004C7581" w:rsidRDefault="004C7581" w:rsidP="004C7581">
      <w:pPr>
        <w:ind w:left="720"/>
        <w:jc w:val="both"/>
      </w:pPr>
    </w:p>
    <w:p w14:paraId="79A17D15" w14:textId="75AA9EA3" w:rsidR="004C7581" w:rsidRPr="004C7581" w:rsidRDefault="004C7581" w:rsidP="00A82EDA">
      <w:pPr>
        <w:pStyle w:val="Heading2"/>
        <w:ind w:left="720"/>
        <w:rPr>
          <w:sz w:val="28"/>
          <w:szCs w:val="28"/>
        </w:rPr>
      </w:pPr>
      <w:r w:rsidRPr="004C7581">
        <w:rPr>
          <w:sz w:val="28"/>
          <w:szCs w:val="28"/>
        </w:rPr>
        <w:t xml:space="preserve">1.2.3 </w:t>
      </w:r>
      <w:r w:rsidR="00A82EDA" w:rsidRPr="00A82EDA">
        <w:rPr>
          <w:sz w:val="28"/>
          <w:szCs w:val="28"/>
        </w:rPr>
        <w:t>The Cost of Missed Diagnoses</w:t>
      </w:r>
    </w:p>
    <w:p w14:paraId="6CA7AB54" w14:textId="77777777" w:rsidR="00A82EDA" w:rsidRPr="00A82EDA" w:rsidRDefault="00A82EDA" w:rsidP="00A82EDA">
      <w:pPr>
        <w:ind w:left="720"/>
        <w:jc w:val="both"/>
      </w:pPr>
      <w:r w:rsidRPr="00A82EDA">
        <w:t>Every binary classifier produces two types of errors: false positives, where a healthy individual is assigned the positive class label, and false negatives, where a diabetic individual is assigned the negative label [32]. In population-level diabetes screening these two error types carry fundamentally different clinical consequences, yet standard accuracy-based and even F1-based optimization frameworks treat them as equivalent [10], [31].</w:t>
      </w:r>
    </w:p>
    <w:p w14:paraId="7764B2B8" w14:textId="77777777" w:rsidR="00A82EDA" w:rsidRPr="00A82EDA" w:rsidRDefault="00A82EDA" w:rsidP="00A82EDA">
      <w:pPr>
        <w:ind w:left="720"/>
        <w:jc w:val="both"/>
      </w:pPr>
      <w:r w:rsidRPr="00A82EDA">
        <w:t>A false positive produces an unnecessary referral for confirmatory clinical testing, a temporary inconvenience with no lasting harm, since the confirmatory test will establish true negative status and the referral can be closed [30]. A false negative produces a missed diagnosis: the affected individual receives no follow-up, continues progressing without intervention, and may not receive a correct diagnosis until complications have advanced beyond the window for primary prevention [6], [3].</w:t>
      </w:r>
    </w:p>
    <w:p w14:paraId="6146BF56" w14:textId="7838EF17" w:rsidR="00092546" w:rsidRPr="00092546" w:rsidRDefault="00A82EDA" w:rsidP="00A82EDA">
      <w:pPr>
        <w:ind w:left="720"/>
        <w:jc w:val="both"/>
      </w:pPr>
      <w:r w:rsidRPr="00A82EDA">
        <w:lastRenderedPageBreak/>
        <w:t>This asymmetry mandates that Recall, the fraction of all true diabetic cases correctly identified, serve as the primary optimization criterion throughout this project. A minimum deployment Recall of 0.90 was defined as a binding constraint before any model training began, directly shaping the composite scoring function used for model selection, the optimization criterion in hyperparameter tuning, and the threshold selection procedure that ultimately identified 0.53 as the clinical deployment threshold [9], [33].</w:t>
      </w:r>
    </w:p>
    <w:p w14:paraId="2FD49638" w14:textId="77777777" w:rsidR="004C7581" w:rsidRDefault="004C7581" w:rsidP="00092546">
      <w:pPr>
        <w:jc w:val="both"/>
      </w:pPr>
    </w:p>
    <w:p w14:paraId="2F5342DC" w14:textId="77777777" w:rsidR="00092546" w:rsidRPr="004C7581" w:rsidRDefault="00092546" w:rsidP="00092546">
      <w:pPr>
        <w:jc w:val="both"/>
      </w:pPr>
    </w:p>
    <w:p w14:paraId="02335934" w14:textId="77777777" w:rsidR="004C7581" w:rsidRPr="004C7581" w:rsidRDefault="004C7581" w:rsidP="004C7581">
      <w:pPr>
        <w:pStyle w:val="Heading2"/>
      </w:pPr>
      <w:r w:rsidRPr="004C7581">
        <w:t>1.3 Research Objectives</w:t>
      </w:r>
    </w:p>
    <w:p w14:paraId="7D472167" w14:textId="273C354E" w:rsidR="004C7581" w:rsidRDefault="00EB38EF" w:rsidP="00EB38EF">
      <w:pPr>
        <w:jc w:val="both"/>
      </w:pPr>
      <w:r w:rsidRPr="00EB38EF">
        <w:t>This project pursues one overarching aim: to design, train, validate, and deploy a Smart Diabetes Monitoring and Prediction System that satisfies a binding minimum Recall of 0.90, is grounded in a reproducible machine learning pipeline, and is delivered in a form that enables clinical use without requiring programming expertise from the end user [5], [11]. The following nine objectives operationalize this aim.</w:t>
      </w:r>
    </w:p>
    <w:p w14:paraId="453214E8" w14:textId="77777777" w:rsidR="00EB38EF" w:rsidRPr="004C7581" w:rsidRDefault="00EB38EF" w:rsidP="00EB38EF">
      <w:pPr>
        <w:jc w:val="both"/>
      </w:pPr>
    </w:p>
    <w:p w14:paraId="6C4E0B96" w14:textId="77777777" w:rsidR="00EB38EF" w:rsidRDefault="00EB38EF" w:rsidP="00EB38EF">
      <w:pPr>
        <w:numPr>
          <w:ilvl w:val="0"/>
          <w:numId w:val="1"/>
        </w:numPr>
        <w:jc w:val="both"/>
      </w:pPr>
      <w:r w:rsidRPr="00EB38EF">
        <w:t>To conduct a systematic exploratory data analysis of the BRFSS 2015 dataset, characterizing variable distributions, quantifying the class imbalance ratio, and computing point-biserial correlations between each feature and the binary target to establish the empirical foundation for all preprocessing and modeling decisions [12], [13].</w:t>
      </w:r>
    </w:p>
    <w:p w14:paraId="5E156A4E" w14:textId="77777777" w:rsidR="00EB38EF" w:rsidRDefault="00EB38EF" w:rsidP="00EB38EF">
      <w:pPr>
        <w:numPr>
          <w:ilvl w:val="0"/>
          <w:numId w:val="1"/>
        </w:numPr>
        <w:jc w:val="both"/>
      </w:pPr>
      <w:r w:rsidRPr="00EB38EF">
        <w:t>To implement a preprocessing pipeline incorporating duplicate record removal, percentile-based outlier capping, stratified 80/20 train-test splitting, and RobustScaler normalization to mitigate the disproportionate influence of extreme values on gradient-based optimization [36], [25].</w:t>
      </w:r>
    </w:p>
    <w:p w14:paraId="0E9CA7CB" w14:textId="760B0963" w:rsidR="00EB38EF" w:rsidRDefault="008C2034" w:rsidP="008C2034">
      <w:pPr>
        <w:numPr>
          <w:ilvl w:val="0"/>
          <w:numId w:val="1"/>
        </w:numPr>
        <w:jc w:val="both"/>
      </w:pPr>
      <w:r w:rsidRPr="008C2034">
        <w:t>To construct a domain-informed feature engineering framework that expands the original 21 features to 45 engineered attributes</w:t>
      </w:r>
      <w:r w:rsidR="00EB38EF" w:rsidRPr="00EB38EF">
        <w:t>, including WHO-standard BMI category indicators, a composite cardiovascular and metabolic risk score, a lifestyle quality score, a healthcare access index, pairwise interaction terms, polynomial expansions of continuous risk variables, a socioeconomic proxy, and an age group stratification scheme [37], [3].</w:t>
      </w:r>
    </w:p>
    <w:p w14:paraId="69EEB559" w14:textId="77777777" w:rsidR="00EB38EF" w:rsidRDefault="00EB38EF" w:rsidP="00EB38EF">
      <w:pPr>
        <w:numPr>
          <w:ilvl w:val="0"/>
          <w:numId w:val="1"/>
        </w:numPr>
        <w:jc w:val="both"/>
      </w:pPr>
      <w:r w:rsidRPr="00EB38EF">
        <w:t>To train and evaluate seven classification algorithms, specifically Logistic Regression [21], Random Forest [17], Extra Trees [18], Gradient Boosting [19], AdaBoost [20], XGBoost [16], and LightGBM [15], across three progressive experimental phases corresponding to the original feature set, the full engineered feature space, and a reduced top-15 feature subset selected through combined MDI and Mutual Information ranking [17], [38].</w:t>
      </w:r>
    </w:p>
    <w:p w14:paraId="51164DBC" w14:textId="77777777" w:rsidR="00EB38EF" w:rsidRDefault="00EB38EF" w:rsidP="00EB38EF">
      <w:pPr>
        <w:numPr>
          <w:ilvl w:val="0"/>
          <w:numId w:val="1"/>
        </w:numPr>
        <w:jc w:val="both"/>
      </w:pPr>
      <w:r w:rsidRPr="00EB38EF">
        <w:t xml:space="preserve">To select the globally best-performing model and phase through a clinically weighted composite scoring function assigning 40 percent weight to Recall, 25 percent to F1-Score, </w:t>
      </w:r>
      <w:r w:rsidRPr="00EB38EF">
        <w:lastRenderedPageBreak/>
        <w:t>20 percent to ROC-AUC, 10 percent to MCC, and 5 percent to Balanced Accuracy [9], [43], [44].</w:t>
      </w:r>
    </w:p>
    <w:p w14:paraId="59A47F87" w14:textId="77777777" w:rsidR="00D24079" w:rsidRDefault="00D24079" w:rsidP="00D24079">
      <w:pPr>
        <w:numPr>
          <w:ilvl w:val="0"/>
          <w:numId w:val="1"/>
        </w:numPr>
        <w:jc w:val="both"/>
      </w:pPr>
      <w:r w:rsidRPr="00D24079">
        <w:t xml:space="preserve">To perform systematic hyperparameter optimization of the selected model using </w:t>
      </w:r>
      <w:proofErr w:type="spellStart"/>
      <w:r w:rsidRPr="00D24079">
        <w:t>RandomizedSearchCV</w:t>
      </w:r>
      <w:proofErr w:type="spellEnd"/>
      <w:r w:rsidRPr="00D24079">
        <w:t xml:space="preserve"> with Stratified 5-Fold Cross-Validation across an 11-parameter LightGBM search space, with Recall as the optimization criterion [15], [41], [42].</w:t>
      </w:r>
    </w:p>
    <w:p w14:paraId="3585C9D4" w14:textId="0BE1346A" w:rsidR="00EB38EF" w:rsidRDefault="00EB38EF" w:rsidP="00D24079">
      <w:pPr>
        <w:numPr>
          <w:ilvl w:val="0"/>
          <w:numId w:val="1"/>
        </w:numPr>
        <w:jc w:val="both"/>
      </w:pPr>
      <w:r w:rsidRPr="00EB38EF">
        <w:t>To implement a principled decision threshold optimization procedure evaluating model probability outputs from 0.05 to 0.95 in steps of 0.01, selecting the highest threshold satisfying the clinical deployment constraint of Recall greater than or equal to 0.90 [33], [9].</w:t>
      </w:r>
    </w:p>
    <w:p w14:paraId="38D28A8C" w14:textId="77777777" w:rsidR="00EB38EF" w:rsidRDefault="00EB38EF" w:rsidP="00EB38EF">
      <w:pPr>
        <w:numPr>
          <w:ilvl w:val="0"/>
          <w:numId w:val="1"/>
        </w:numPr>
        <w:jc w:val="both"/>
      </w:pPr>
      <w:r w:rsidRPr="00EB38EF">
        <w:t>To evaluate the final deployed system against the full suite of clinical and statistical metrics including Recall, Precision, F1-Score, Balanced Accuracy, ROC-AUC, PR-AUC, MCC, and cross-validated Recall, reporting results in terms of absolute case counts to make clinical significance concrete and transparent [31], [32], [43], [44].</w:t>
      </w:r>
    </w:p>
    <w:p w14:paraId="720DE450" w14:textId="78FDB9EC" w:rsidR="007565C9" w:rsidRPr="004C7581" w:rsidRDefault="00EB38EF" w:rsidP="00EB38EF">
      <w:pPr>
        <w:numPr>
          <w:ilvl w:val="0"/>
          <w:numId w:val="1"/>
        </w:numPr>
        <w:jc w:val="both"/>
      </w:pPr>
      <w:r w:rsidRPr="00EB38EF">
        <w:t>To package the tuned model, RobustScaler, feature engineering function, selected feature list, and deployment threshold into a unified pipeline bundle and integrate it into a Streamlit web application enabling real-time patient risk assessment without requiring programming knowledge from the end user [5], [11].</w:t>
      </w:r>
    </w:p>
    <w:p w14:paraId="7BE9A76D" w14:textId="77777777" w:rsidR="00EB38EF" w:rsidRDefault="00EB38EF" w:rsidP="004C7581">
      <w:pPr>
        <w:pStyle w:val="Heading2"/>
      </w:pPr>
    </w:p>
    <w:p w14:paraId="43D6BCC8" w14:textId="0019E16C" w:rsidR="004C7581" w:rsidRDefault="004C7581" w:rsidP="004C7581">
      <w:pPr>
        <w:pStyle w:val="Heading2"/>
      </w:pPr>
      <w:r w:rsidRPr="004C7581">
        <w:t>1.4 Scope and Limitations of the Study</w:t>
      </w:r>
    </w:p>
    <w:p w14:paraId="23A14823" w14:textId="426A68DB" w:rsidR="007565C9" w:rsidRPr="004C7581" w:rsidRDefault="00FF35C4" w:rsidP="007565C9">
      <w:pPr>
        <w:pStyle w:val="Heading2"/>
        <w:ind w:left="720"/>
        <w:rPr>
          <w:sz w:val="28"/>
          <w:szCs w:val="28"/>
        </w:rPr>
      </w:pPr>
      <w:r>
        <w:rPr>
          <w:sz w:val="28"/>
          <w:szCs w:val="28"/>
        </w:rPr>
        <w:t xml:space="preserve">1.4.1 </w:t>
      </w:r>
      <w:r w:rsidR="007565C9" w:rsidRPr="007565C9">
        <w:rPr>
          <w:sz w:val="28"/>
          <w:szCs w:val="28"/>
        </w:rPr>
        <w:t>Scope</w:t>
      </w:r>
    </w:p>
    <w:p w14:paraId="17DFB240" w14:textId="77777777" w:rsidR="00EB38EF" w:rsidRPr="00EB38EF" w:rsidRDefault="00EB38EF" w:rsidP="00EB38EF">
      <w:pPr>
        <w:ind w:left="720"/>
        <w:jc w:val="both"/>
      </w:pPr>
      <w:r w:rsidRPr="00EB38EF">
        <w:t xml:space="preserve">This project covers the complete machine learning pipeline from raw data loading through </w:t>
      </w:r>
      <w:proofErr w:type="gramStart"/>
      <w:r w:rsidRPr="00EB38EF">
        <w:t>exploratory</w:t>
      </w:r>
      <w:proofErr w:type="gramEnd"/>
      <w:r w:rsidRPr="00EB38EF">
        <w:t xml:space="preserve"> analysis, preprocessing, feature engineering, multi-algorithm multi-phase evaluation, clinically weighted model selection, hyperparameter tuning, threshold optimization, calibration assessment, and deployment packaging. The system is positioned as a population-level clinical screening tool intended to flag individuals who warrant further clinical evaluation, not as a standalone diagnostic instrument capable of replacing laboratory-confirmed diagnosis [3], [5].</w:t>
      </w:r>
    </w:p>
    <w:p w14:paraId="17266A6F" w14:textId="705BE898" w:rsidR="007565C9" w:rsidRDefault="00EB38EF" w:rsidP="00EB38EF">
      <w:pPr>
        <w:ind w:left="720"/>
        <w:jc w:val="both"/>
      </w:pPr>
      <w:r w:rsidRPr="00EB38EF">
        <w:t xml:space="preserve">The dataset is the preprocessed BRFSS 2015 survey comprising 253,680 records and 21 features with a binary target variable [12], [13]. All modeling is restricted to supervised binary classification of structured tabular data and does not extend to multi-class subtype prediction, longitudinal risk trajectory modeling, or sensor data integration. The deployment interface is a Streamlit web application intended for clinical decision support and academic </w:t>
      </w:r>
      <w:proofErr w:type="gramStart"/>
      <w:r w:rsidRPr="00EB38EF">
        <w:t>demonstration, and</w:t>
      </w:r>
      <w:proofErr w:type="gramEnd"/>
      <w:r w:rsidRPr="00EB38EF">
        <w:t xml:space="preserve"> has not been submitted for regulatory approval or formal clinical trial evaluation [5].</w:t>
      </w:r>
      <w:r w:rsidR="007565C9" w:rsidRPr="007565C9">
        <w:t xml:space="preserve"> </w:t>
      </w:r>
    </w:p>
    <w:p w14:paraId="7326B3BD" w14:textId="77777777" w:rsidR="007565C9" w:rsidRDefault="007565C9" w:rsidP="007565C9">
      <w:pPr>
        <w:jc w:val="both"/>
      </w:pPr>
    </w:p>
    <w:p w14:paraId="380B7533" w14:textId="22C466FC" w:rsidR="007565C9" w:rsidRPr="007565C9" w:rsidRDefault="00FF35C4" w:rsidP="007565C9">
      <w:pPr>
        <w:pStyle w:val="Heading2"/>
        <w:ind w:left="720"/>
        <w:rPr>
          <w:sz w:val="28"/>
          <w:szCs w:val="28"/>
        </w:rPr>
      </w:pPr>
      <w:r>
        <w:rPr>
          <w:sz w:val="28"/>
          <w:szCs w:val="28"/>
        </w:rPr>
        <w:lastRenderedPageBreak/>
        <w:t xml:space="preserve">1.4.2 </w:t>
      </w:r>
      <w:r w:rsidR="007565C9" w:rsidRPr="007565C9">
        <w:rPr>
          <w:sz w:val="28"/>
          <w:szCs w:val="28"/>
        </w:rPr>
        <w:t>Limitations</w:t>
      </w:r>
    </w:p>
    <w:p w14:paraId="7CC5EB2C" w14:textId="77777777" w:rsidR="00EB38EF" w:rsidRPr="00EB38EF" w:rsidRDefault="00EB38EF" w:rsidP="00EB38EF">
      <w:pPr>
        <w:ind w:left="720"/>
        <w:jc w:val="both"/>
      </w:pPr>
      <w:r w:rsidRPr="00EB38EF">
        <w:t>Five limitations apply to this study and must be considered when interpreting its results.</w:t>
      </w:r>
    </w:p>
    <w:p w14:paraId="4FDBF696" w14:textId="77777777" w:rsidR="00EB38EF" w:rsidRPr="00EB38EF" w:rsidRDefault="00EB38EF" w:rsidP="00EB38EF">
      <w:pPr>
        <w:ind w:left="720" w:firstLine="720"/>
        <w:jc w:val="both"/>
      </w:pPr>
      <w:r w:rsidRPr="00EB38EF">
        <w:rPr>
          <w:color w:val="4472C4" w:themeColor="accent1"/>
        </w:rPr>
        <w:t xml:space="preserve">First, </w:t>
      </w:r>
      <w:r w:rsidRPr="00EB38EF">
        <w:t>all input features are derived from self-reported telephone survey responses, introducing recall inaccuracy, social desirability effects, and systematic underreporting that may distort the true statistical relationships between features and the diabetes outcome [49].</w:t>
      </w:r>
    </w:p>
    <w:p w14:paraId="448FBF38" w14:textId="77777777" w:rsidR="00EB38EF" w:rsidRPr="00EB38EF" w:rsidRDefault="00EB38EF" w:rsidP="00EB38EF">
      <w:pPr>
        <w:ind w:left="720" w:firstLine="720"/>
        <w:jc w:val="both"/>
      </w:pPr>
      <w:r w:rsidRPr="00EB38EF">
        <w:rPr>
          <w:color w:val="4472C4" w:themeColor="accent1"/>
        </w:rPr>
        <w:t xml:space="preserve">Second, </w:t>
      </w:r>
      <w:r w:rsidRPr="00EB38EF">
        <w:t>the cross-sectional design of the BRFSS survey means each respondent contributes a single observation with no temporal follow-up, precluding any analysis of individual risk trajectories over time or any causal inference about directional relationships between measured variables and diabetes onset [12].</w:t>
      </w:r>
    </w:p>
    <w:p w14:paraId="59A7A24E" w14:textId="77777777" w:rsidR="00EB38EF" w:rsidRPr="00EB38EF" w:rsidRDefault="00EB38EF" w:rsidP="00EB38EF">
      <w:pPr>
        <w:ind w:left="720" w:firstLine="720"/>
        <w:jc w:val="both"/>
      </w:pPr>
      <w:r w:rsidRPr="00EB38EF">
        <w:rPr>
          <w:color w:val="4472C4" w:themeColor="accent1"/>
        </w:rPr>
        <w:t>Third,</w:t>
      </w:r>
      <w:r w:rsidRPr="00EB38EF">
        <w:t xml:space="preserve"> despite the application of multiple complementary imbalance mitigation strategies, the residual 6.1 to 1 majority-to-minority ratio means the model's probability estimates for the diabetic class carry greater uncertainty than those for the non-diabetic class, uncertainty not fully captured by any single scalar performance metric [9], [10].</w:t>
      </w:r>
    </w:p>
    <w:p w14:paraId="0F0A77CF" w14:textId="77777777" w:rsidR="00EB38EF" w:rsidRPr="00EB38EF" w:rsidRDefault="00EB38EF" w:rsidP="00EB38EF">
      <w:pPr>
        <w:ind w:left="720" w:firstLine="720"/>
        <w:jc w:val="both"/>
      </w:pPr>
      <w:r w:rsidRPr="00EB38EF">
        <w:rPr>
          <w:color w:val="4472C4" w:themeColor="accent1"/>
        </w:rPr>
        <w:t>Fourth,</w:t>
      </w:r>
      <w:r w:rsidRPr="00EB38EF">
        <w:t xml:space="preserve"> the engineered feature set is derived entirely from behavioral and demographic survey variables rather than directly measured biomarkers such as fasting glucose, HbA1c, and lipid panel values, which remain the clinical gold standard for diabetes risk assessment [3].</w:t>
      </w:r>
    </w:p>
    <w:p w14:paraId="1FA30223" w14:textId="77777777" w:rsidR="00EB38EF" w:rsidRPr="00EB38EF" w:rsidRDefault="00EB38EF" w:rsidP="00EB38EF">
      <w:pPr>
        <w:ind w:left="720" w:firstLine="720"/>
        <w:jc w:val="both"/>
      </w:pPr>
      <w:r w:rsidRPr="00EB38EF">
        <w:rPr>
          <w:color w:val="4472C4" w:themeColor="accent1"/>
        </w:rPr>
        <w:t>Fifth,</w:t>
      </w:r>
      <w:r w:rsidRPr="00EB38EF">
        <w:t xml:space="preserve"> all reported performance metrics are derived from a held-out test set drawn from the same BRFSS 2015 survey population, and external validation on an independent dataset from a different geographic region or survey year has not been performed, which limits the generalizability of the results [34].</w:t>
      </w:r>
    </w:p>
    <w:p w14:paraId="5B9E590A" w14:textId="65B5713C" w:rsidR="004C7581" w:rsidRDefault="004C7581" w:rsidP="007565C9">
      <w:pPr>
        <w:ind w:left="720"/>
        <w:jc w:val="both"/>
      </w:pPr>
    </w:p>
    <w:p w14:paraId="50938779" w14:textId="77777777" w:rsidR="007565C9" w:rsidRPr="004C7581" w:rsidRDefault="007565C9" w:rsidP="007565C9">
      <w:pPr>
        <w:ind w:left="720"/>
        <w:jc w:val="both"/>
      </w:pPr>
    </w:p>
    <w:p w14:paraId="64CAAED8" w14:textId="77777777" w:rsidR="004C7581" w:rsidRPr="004C7581" w:rsidRDefault="004C7581" w:rsidP="004C7581">
      <w:pPr>
        <w:pStyle w:val="Heading2"/>
      </w:pPr>
      <w:r w:rsidRPr="004C7581">
        <w:t>1.5 Research Contributions</w:t>
      </w:r>
    </w:p>
    <w:p w14:paraId="77F2C968" w14:textId="77777777" w:rsidR="00EB38EF" w:rsidRDefault="00EB38EF" w:rsidP="00EB38EF">
      <w:pPr>
        <w:jc w:val="both"/>
      </w:pPr>
      <w:r w:rsidRPr="00EB38EF">
        <w:t>This project makes six original contributions to the fields of medical machine learning, clinical decision support, and diabetes prediction research.</w:t>
      </w:r>
    </w:p>
    <w:p w14:paraId="10127B05" w14:textId="64A6D601" w:rsidR="00EB38EF" w:rsidRDefault="004C7581" w:rsidP="00EB38EF">
      <w:pPr>
        <w:ind w:left="720" w:firstLine="720"/>
        <w:jc w:val="both"/>
      </w:pPr>
      <w:r w:rsidRPr="004C7581">
        <w:rPr>
          <w:b/>
          <w:bCs/>
          <w:color w:val="4472C4" w:themeColor="accent1"/>
        </w:rPr>
        <w:t>First,</w:t>
      </w:r>
      <w:r w:rsidRPr="004C7581">
        <w:rPr>
          <w:color w:val="4472C4" w:themeColor="accent1"/>
        </w:rPr>
        <w:t xml:space="preserve"> </w:t>
      </w:r>
      <w:r w:rsidR="00EB38EF" w:rsidRPr="00EB38EF">
        <w:t>a fully reproducible, end-to-end machine learning pipeline for binary diabetes prediction on the BRFSS 2015 dataset is presented, spanning exploratory data analysis, preprocessing, domain-informed feature engineering, multi-model multi-phase training and evaluation, composite model selection, hyperparameter tuning, threshold optimization, calibration assessment, and deployment bundling. This represents one of the most methodologically comprehensive treatments of the BRFSS 2015 diabetes classification task reported in the graduation project literature [7], [12], [13].</w:t>
      </w:r>
    </w:p>
    <w:p w14:paraId="012972C9" w14:textId="3073385F" w:rsidR="00EB38EF" w:rsidRPr="004C7581" w:rsidRDefault="004C7581" w:rsidP="00527F66">
      <w:pPr>
        <w:ind w:left="720" w:firstLine="720"/>
        <w:jc w:val="both"/>
      </w:pPr>
      <w:r w:rsidRPr="004C7581">
        <w:rPr>
          <w:b/>
          <w:bCs/>
          <w:color w:val="4472C4" w:themeColor="accent1"/>
        </w:rPr>
        <w:lastRenderedPageBreak/>
        <w:t>Second,</w:t>
      </w:r>
      <w:r w:rsidR="00EB38EF">
        <w:rPr>
          <w:color w:val="4472C4" w:themeColor="accent1"/>
        </w:rPr>
        <w:t xml:space="preserve"> </w:t>
      </w:r>
      <w:r w:rsidR="00EB38EF" w:rsidRPr="00EB38EF">
        <w:t xml:space="preserve">a systematic domain-informed feature engineering framework is introduced that </w:t>
      </w:r>
      <w:r w:rsidR="00527F66" w:rsidRPr="00527F66">
        <w:t>expands the original 21 BRFSS features to 45 engineered attributes</w:t>
      </w:r>
      <w:r w:rsidR="00EB38EF" w:rsidRPr="00EB38EF">
        <w:t xml:space="preserve"> through the application of WHO-standard clinical thresholds for BMI categorization, composite risk score construction, pairwise interaction term derivation, non-linear polynomial expansion, and socioeconomic proxy variable derivation. This framework produces measurable improvements in model discriminative performance compared to the un</w:t>
      </w:r>
      <w:r w:rsidR="00BA6443">
        <w:t>en</w:t>
      </w:r>
      <w:r w:rsidR="00EB38EF" w:rsidRPr="00EB38EF">
        <w:t>gineered baseline across all seven evaluated algorithms [37], [17], [42].</w:t>
      </w:r>
    </w:p>
    <w:p w14:paraId="4F00748C" w14:textId="77777777" w:rsidR="00EB38EF" w:rsidRDefault="00EB38EF" w:rsidP="00EB38EF">
      <w:pPr>
        <w:ind w:left="720" w:firstLine="720"/>
        <w:jc w:val="both"/>
        <w:rPr>
          <w:b/>
          <w:bCs/>
          <w:color w:val="4472C4" w:themeColor="accent1"/>
        </w:rPr>
      </w:pPr>
      <w:r w:rsidRPr="00EB38EF">
        <w:rPr>
          <w:b/>
          <w:bCs/>
          <w:color w:val="4472C4" w:themeColor="accent1"/>
        </w:rPr>
        <w:t xml:space="preserve">Third, </w:t>
      </w:r>
      <w:r w:rsidRPr="00EB38EF">
        <w:t>a clinically aligned model selection and evaluation methodology is developed that replaces conventional accuracy-centric assessment with a medically weighted composite scoring function explicitly prioritizing Recall and F1-Score. This provides a principled and reproducible framework for model comparison in imbalanced medical binary classification tasks [9], [44], [34].</w:t>
      </w:r>
    </w:p>
    <w:p w14:paraId="3E5DA58F" w14:textId="66E521FD" w:rsidR="004C7581" w:rsidRPr="004C7581" w:rsidRDefault="004C7581" w:rsidP="0034206C">
      <w:pPr>
        <w:ind w:left="720" w:firstLine="720"/>
        <w:jc w:val="both"/>
      </w:pPr>
      <w:r w:rsidRPr="004C7581">
        <w:rPr>
          <w:b/>
          <w:bCs/>
          <w:color w:val="4472C4" w:themeColor="accent1"/>
        </w:rPr>
        <w:t>Fourth,</w:t>
      </w:r>
      <w:r w:rsidRPr="004C7581">
        <w:rPr>
          <w:color w:val="4472C4" w:themeColor="accent1"/>
        </w:rPr>
        <w:t xml:space="preserve"> </w:t>
      </w:r>
      <w:r w:rsidR="00EB38EF" w:rsidRPr="00EB38EF">
        <w:t xml:space="preserve">a systematic decision threshold optimization procedure is implemented and empirically validated, demonstrating that applying a deployment threshold of 0.53 to the tuned LightGBM model </w:t>
      </w:r>
      <w:r w:rsidR="0034206C" w:rsidRPr="0034206C">
        <w:t>achieves a clinical Recall of 0.9064, correctly identifying 6,362 out of 7,019 diabetic cases in the held-out test set while maintaining a ROC-AUC of 0.8186, a PR-AUC of 0.4447, a Balanced Accuracy of 0.7228, and an MCC of 0.3114</w:t>
      </w:r>
      <w:r w:rsidR="00EB38EF" w:rsidRPr="00EB38EF">
        <w:t xml:space="preserve"> [17], [33].</w:t>
      </w:r>
    </w:p>
    <w:p w14:paraId="29A522E9" w14:textId="175DD726" w:rsidR="004C7581" w:rsidRPr="004C7581" w:rsidRDefault="004C7581" w:rsidP="00E4335F">
      <w:pPr>
        <w:ind w:left="720" w:firstLine="720"/>
        <w:jc w:val="both"/>
      </w:pPr>
      <w:r w:rsidRPr="004C7581">
        <w:rPr>
          <w:b/>
          <w:bCs/>
          <w:color w:val="4472C4" w:themeColor="accent1"/>
        </w:rPr>
        <w:t>Fifth,</w:t>
      </w:r>
      <w:r w:rsidRPr="004C7581">
        <w:rPr>
          <w:color w:val="4472C4" w:themeColor="accent1"/>
        </w:rPr>
        <w:t xml:space="preserve"> </w:t>
      </w:r>
      <w:r w:rsidR="00EB38EF" w:rsidRPr="00EB38EF">
        <w:t xml:space="preserve">an empirical comparative study across seven classification algorithms and three experimental feature configurations provides strong and reproducible evidence that </w:t>
      </w:r>
      <w:r w:rsidR="00E4335F" w:rsidRPr="00E4335F">
        <w:t xml:space="preserve">LightGBM configured with </w:t>
      </w:r>
      <w:proofErr w:type="spellStart"/>
      <w:r w:rsidR="00E4335F" w:rsidRPr="00E4335F">
        <w:t>scale_pos_weight</w:t>
      </w:r>
      <w:proofErr w:type="spellEnd"/>
      <w:r w:rsidR="00E4335F" w:rsidRPr="00E4335F">
        <w:t xml:space="preserve"> tuning consistently outperforms all six competing algorithms</w:t>
      </w:r>
      <w:r w:rsidR="00EB38EF" w:rsidRPr="00EB38EF">
        <w:t xml:space="preserve"> on clinically appropriate evaluation metrics, contributing to the growing evidence supporting gradient boosting frameworks for structured healthcare tabular data [15], [16], [28], [29].</w:t>
      </w:r>
    </w:p>
    <w:p w14:paraId="3F3914D1" w14:textId="1328D764" w:rsidR="004C7581" w:rsidRPr="004C7581" w:rsidRDefault="004C7581" w:rsidP="008D5812">
      <w:pPr>
        <w:ind w:left="720" w:firstLine="720"/>
        <w:jc w:val="both"/>
      </w:pPr>
      <w:r w:rsidRPr="004C7581">
        <w:rPr>
          <w:b/>
          <w:bCs/>
          <w:color w:val="4472C4" w:themeColor="accent1"/>
        </w:rPr>
        <w:t>Sixth,</w:t>
      </w:r>
      <w:r w:rsidRPr="004C7581">
        <w:rPr>
          <w:color w:val="4472C4" w:themeColor="accent1"/>
        </w:rPr>
        <w:t xml:space="preserve"> </w:t>
      </w:r>
      <w:r w:rsidR="008D5812" w:rsidRPr="008D5812">
        <w:t>a deployment-ready pipeline bundle encapsulating the trained LightGBM model, RobustScaler, feature engineering function, top feature list, and threshold configuration is packaged and integrated into an interactive Streamlit web application, demonstrating how research-grade machine learning models can be transitioned into accessible clinical tools supporting real-time patient risk assessment without requiring technical expertise from the end user [4], [5].</w:t>
      </w:r>
    </w:p>
    <w:p w14:paraId="0BE07D68" w14:textId="1EEBC3AC" w:rsidR="004C7581" w:rsidRDefault="004C7581" w:rsidP="004C7581">
      <w:pPr>
        <w:ind w:left="720"/>
        <w:jc w:val="both"/>
      </w:pPr>
    </w:p>
    <w:p w14:paraId="5776F2D4" w14:textId="77777777" w:rsidR="005736F7" w:rsidRDefault="005736F7" w:rsidP="004C7581">
      <w:pPr>
        <w:ind w:left="720"/>
        <w:jc w:val="both"/>
      </w:pPr>
    </w:p>
    <w:p w14:paraId="03035529" w14:textId="77777777" w:rsidR="00FF35C4" w:rsidRDefault="00FF35C4" w:rsidP="004C7581">
      <w:pPr>
        <w:ind w:left="720"/>
        <w:jc w:val="both"/>
      </w:pPr>
    </w:p>
    <w:p w14:paraId="7B486459" w14:textId="77777777" w:rsidR="00FF35C4" w:rsidRPr="004C7581" w:rsidRDefault="00FF35C4" w:rsidP="004C7581">
      <w:pPr>
        <w:ind w:left="720"/>
        <w:jc w:val="both"/>
      </w:pPr>
    </w:p>
    <w:p w14:paraId="3E37AC57" w14:textId="77777777" w:rsidR="004C7581" w:rsidRPr="004C7581" w:rsidRDefault="004C7581" w:rsidP="004C7581">
      <w:pPr>
        <w:pStyle w:val="Heading2"/>
      </w:pPr>
      <w:r w:rsidRPr="004C7581">
        <w:lastRenderedPageBreak/>
        <w:t>1.6 Report Organization</w:t>
      </w:r>
    </w:p>
    <w:p w14:paraId="4015C95C" w14:textId="77777777" w:rsidR="00676D9D" w:rsidRDefault="00676D9D" w:rsidP="00676D9D">
      <w:pPr>
        <w:jc w:val="both"/>
      </w:pPr>
      <w:r w:rsidRPr="00676D9D">
        <w:t>This report is structured into five chapters that collectively form a complete and self-contained account of the design, implementation, and evaluation of the Smart Diabetes Monitoring and Prediction System. Each chapter builds logically upon the preceding one, guiding the reader from the foundational motivation of the research through to its conclusions and future directions.</w:t>
      </w:r>
    </w:p>
    <w:p w14:paraId="7C667BD9" w14:textId="4D82C192" w:rsidR="00676D9D" w:rsidRPr="00EB2AE6" w:rsidRDefault="007C2238" w:rsidP="00676D9D">
      <w:pPr>
        <w:ind w:firstLine="720"/>
        <w:jc w:val="both"/>
        <w:rPr>
          <w:b/>
          <w:bCs/>
          <w:color w:val="4472C4" w:themeColor="accent1"/>
          <w:sz w:val="28"/>
          <w:szCs w:val="28"/>
        </w:rPr>
      </w:pPr>
      <w:r w:rsidRPr="007C2238">
        <w:rPr>
          <w:b/>
          <w:bCs/>
          <w:color w:val="4472C4" w:themeColor="accent1"/>
          <w:sz w:val="28"/>
          <w:szCs w:val="28"/>
        </w:rPr>
        <w:t xml:space="preserve">Chapter </w:t>
      </w:r>
      <w:r w:rsidR="00676D9D" w:rsidRPr="00EB2AE6">
        <w:rPr>
          <w:b/>
          <w:bCs/>
          <w:color w:val="4472C4" w:themeColor="accent1"/>
          <w:sz w:val="28"/>
          <w:szCs w:val="28"/>
        </w:rPr>
        <w:t>One: Introduction</w:t>
      </w:r>
    </w:p>
    <w:p w14:paraId="5071B720" w14:textId="358B1513" w:rsidR="00EB2AE6" w:rsidRPr="007C2238" w:rsidRDefault="00676D9D" w:rsidP="00EB2AE6">
      <w:pPr>
        <w:ind w:left="720"/>
        <w:jc w:val="both"/>
      </w:pPr>
      <w:r w:rsidRPr="00676D9D">
        <w:t>The present chapter has introduced the global burden of diabetes mellitus as a chronic and rapidly escalating public health crisis, established the critical role of artificial intelligence and machine learning in transforming healthcare delivery, and articulated the specific clinical and technical problems that this project addresses. It has defined the nine research objectives pursued, delineated the scope and limitations of the study, and summarized the six original contributions that this work makes to the fields of medical machine learning and clinical decision support.</w:t>
      </w:r>
    </w:p>
    <w:p w14:paraId="369BC5CC" w14:textId="4D40EFE9" w:rsidR="00676D9D" w:rsidRPr="00EB2AE6" w:rsidRDefault="007C2238" w:rsidP="00676D9D">
      <w:pPr>
        <w:ind w:firstLine="720"/>
        <w:jc w:val="both"/>
        <w:rPr>
          <w:b/>
          <w:bCs/>
          <w:color w:val="4472C4" w:themeColor="accent1"/>
          <w:sz w:val="28"/>
          <w:szCs w:val="28"/>
        </w:rPr>
      </w:pPr>
      <w:r w:rsidRPr="007C2238">
        <w:rPr>
          <w:b/>
          <w:bCs/>
          <w:color w:val="4472C4" w:themeColor="accent1"/>
          <w:sz w:val="28"/>
          <w:szCs w:val="28"/>
        </w:rPr>
        <w:t>Chapter Two</w:t>
      </w:r>
      <w:r w:rsidR="00676D9D" w:rsidRPr="00EB2AE6">
        <w:rPr>
          <w:b/>
          <w:bCs/>
          <w:color w:val="4472C4" w:themeColor="accent1"/>
          <w:sz w:val="28"/>
          <w:szCs w:val="28"/>
        </w:rPr>
        <w:t>: Literature Review</w:t>
      </w:r>
    </w:p>
    <w:p w14:paraId="22C27E9B" w14:textId="29CC5347" w:rsidR="00676D9D" w:rsidRDefault="00676D9D" w:rsidP="00676D9D">
      <w:pPr>
        <w:ind w:left="720"/>
        <w:jc w:val="both"/>
      </w:pPr>
      <w:r>
        <w:t>E</w:t>
      </w:r>
      <w:r w:rsidRPr="00676D9D">
        <w:t>xamine the existing body of knowledge that informs and contextualizes this research. It traces the clinical and epidemiological dimensions of diabetes mellitus, reviews the evolution of machine learning applications in healthcare with particular emphasis on ensemble methods, class imbalance handling, and model interpretability, surveys previous studies on diabetes prediction using both the Pima Indians Diabetes Database and the BRFSS dataset, presents a structured comparative analysis of prior works, and concludes by identifying the specific research gaps that this project directly addresses.</w:t>
      </w:r>
    </w:p>
    <w:p w14:paraId="63CD63D8" w14:textId="34F27082" w:rsidR="00676D9D" w:rsidRPr="00EB2AE6" w:rsidRDefault="007C2238" w:rsidP="00676D9D">
      <w:pPr>
        <w:ind w:firstLine="720"/>
        <w:jc w:val="both"/>
        <w:rPr>
          <w:b/>
          <w:bCs/>
          <w:color w:val="4472C4" w:themeColor="accent1"/>
          <w:sz w:val="28"/>
          <w:szCs w:val="28"/>
        </w:rPr>
      </w:pPr>
      <w:r w:rsidRPr="007C2238">
        <w:rPr>
          <w:b/>
          <w:bCs/>
          <w:color w:val="4472C4" w:themeColor="accent1"/>
          <w:sz w:val="28"/>
          <w:szCs w:val="28"/>
        </w:rPr>
        <w:t>Chapter Three</w:t>
      </w:r>
      <w:r w:rsidR="00676D9D" w:rsidRPr="00EB2AE6">
        <w:rPr>
          <w:b/>
          <w:bCs/>
          <w:color w:val="4472C4" w:themeColor="accent1"/>
          <w:sz w:val="28"/>
          <w:szCs w:val="28"/>
        </w:rPr>
        <w:t>: Methodology</w:t>
      </w:r>
    </w:p>
    <w:p w14:paraId="6817EA79" w14:textId="61C0EB7C" w:rsidR="00676D9D" w:rsidRDefault="00676D9D" w:rsidP="00676D9D">
      <w:pPr>
        <w:ind w:left="720"/>
        <w:jc w:val="both"/>
      </w:pPr>
      <w:r>
        <w:t>D</w:t>
      </w:r>
      <w:r w:rsidRPr="00676D9D">
        <w:t>escribes the complete methodology of the project in full technical detail. It presents the system architecture and pipeline workflow, provides a thorough description of the BRFSS 2015 dataset, and documents all preprocessing steps, feature engineering decisions, feature selection procedures, model configurations, training and validation strategies, hyperparameter tuning procedures, and the full suite of evaluation metrics employed throughout the study.</w:t>
      </w:r>
    </w:p>
    <w:p w14:paraId="659B282B" w14:textId="0078B88F" w:rsidR="00676D9D" w:rsidRPr="00EB2AE6" w:rsidRDefault="007C2238" w:rsidP="00EB2AE6">
      <w:pPr>
        <w:ind w:firstLine="720"/>
        <w:jc w:val="both"/>
        <w:rPr>
          <w:b/>
          <w:bCs/>
          <w:color w:val="4472C4" w:themeColor="accent1"/>
          <w:sz w:val="28"/>
          <w:szCs w:val="28"/>
        </w:rPr>
      </w:pPr>
      <w:r w:rsidRPr="007C2238">
        <w:rPr>
          <w:b/>
          <w:bCs/>
          <w:color w:val="4472C4" w:themeColor="accent1"/>
          <w:sz w:val="28"/>
          <w:szCs w:val="28"/>
        </w:rPr>
        <w:t>Chapter Four</w:t>
      </w:r>
      <w:r w:rsidR="00676D9D" w:rsidRPr="00EB2AE6">
        <w:rPr>
          <w:b/>
          <w:bCs/>
          <w:color w:val="4472C4" w:themeColor="accent1"/>
          <w:sz w:val="28"/>
          <w:szCs w:val="28"/>
        </w:rPr>
        <w:t>: Results and Discussion</w:t>
      </w:r>
    </w:p>
    <w:p w14:paraId="7309D3E0" w14:textId="4BB3B72C" w:rsidR="00676D9D" w:rsidRDefault="00676D9D" w:rsidP="00676D9D">
      <w:pPr>
        <w:ind w:left="720"/>
        <w:jc w:val="both"/>
      </w:pPr>
      <w:r>
        <w:t>P</w:t>
      </w:r>
      <w:r w:rsidRPr="00676D9D">
        <w:t>resents and analyzes the experimental results across all four phases of model development. It reports the performance of all seven algorithms at each experimental phase, documents the effect of hyperparameter tuning, presents the threshold optimization analysis and its clinical interpretation, provides confusion matrix analysis at multiple threshold values, reports the final deployment results at threshold 0.53, and situates the findings within the context of existing literature through a structured comparison.</w:t>
      </w:r>
    </w:p>
    <w:p w14:paraId="0231BD17" w14:textId="3A8CBA1B" w:rsidR="00676D9D" w:rsidRPr="00EB2AE6" w:rsidRDefault="007C2238" w:rsidP="00EB2AE6">
      <w:pPr>
        <w:ind w:firstLine="720"/>
        <w:jc w:val="both"/>
        <w:rPr>
          <w:b/>
          <w:bCs/>
          <w:color w:val="4472C4" w:themeColor="accent1"/>
          <w:sz w:val="28"/>
          <w:szCs w:val="28"/>
        </w:rPr>
      </w:pPr>
      <w:r w:rsidRPr="007C2238">
        <w:rPr>
          <w:b/>
          <w:bCs/>
          <w:color w:val="4472C4" w:themeColor="accent1"/>
          <w:sz w:val="28"/>
          <w:szCs w:val="28"/>
        </w:rPr>
        <w:lastRenderedPageBreak/>
        <w:t>Chapter Five</w:t>
      </w:r>
      <w:r w:rsidR="00676D9D" w:rsidRPr="00EB2AE6">
        <w:rPr>
          <w:b/>
          <w:bCs/>
          <w:color w:val="4472C4" w:themeColor="accent1"/>
          <w:sz w:val="28"/>
          <w:szCs w:val="28"/>
        </w:rPr>
        <w:t xml:space="preserve">: Conclusion and Future Work  </w:t>
      </w:r>
    </w:p>
    <w:p w14:paraId="10EF04B6" w14:textId="24180ED7" w:rsidR="004C7581" w:rsidRPr="004C7581" w:rsidRDefault="00676D9D" w:rsidP="00676D9D">
      <w:pPr>
        <w:ind w:left="720"/>
        <w:jc w:val="both"/>
      </w:pPr>
      <w:r>
        <w:t>C</w:t>
      </w:r>
      <w:r w:rsidRPr="00676D9D">
        <w:t>oncludes the report with a summary of the principal findings and contributions, an honest assessment of the study's limitations, and a set of prioritized recommendations for future work, including advanced imbalance handling techniques, Bayesian hyperparameter optimization, longitudinal data integration, external dataset validation, and formal clinical evaluation of the deployed system.</w:t>
      </w:r>
    </w:p>
    <w:sectPr w:rsidR="004C7581" w:rsidRPr="004C758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040D4" w14:textId="77777777" w:rsidR="00F77E45" w:rsidRDefault="00F77E45" w:rsidP="003E7AAD">
      <w:pPr>
        <w:spacing w:after="0" w:line="240" w:lineRule="auto"/>
      </w:pPr>
      <w:r>
        <w:separator/>
      </w:r>
    </w:p>
  </w:endnote>
  <w:endnote w:type="continuationSeparator" w:id="0">
    <w:p w14:paraId="7B657B00" w14:textId="77777777" w:rsidR="00F77E45" w:rsidRDefault="00F77E45" w:rsidP="003E7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865988"/>
      <w:docPartObj>
        <w:docPartGallery w:val="Page Numbers (Bottom of Page)"/>
        <w:docPartUnique/>
      </w:docPartObj>
    </w:sdtPr>
    <w:sdtEndPr>
      <w:rPr>
        <w:noProof/>
      </w:rPr>
    </w:sdtEndPr>
    <w:sdtContent>
      <w:p w14:paraId="16DA8BF9" w14:textId="6B81DFC6" w:rsidR="00A2202D" w:rsidRDefault="00A220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5AF366" w14:textId="77777777" w:rsidR="00A2202D" w:rsidRDefault="00A22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19EC" w14:textId="77777777" w:rsidR="00F77E45" w:rsidRDefault="00F77E45" w:rsidP="003E7AAD">
      <w:pPr>
        <w:spacing w:after="0" w:line="240" w:lineRule="auto"/>
      </w:pPr>
      <w:r>
        <w:separator/>
      </w:r>
    </w:p>
  </w:footnote>
  <w:footnote w:type="continuationSeparator" w:id="0">
    <w:p w14:paraId="65426DB8" w14:textId="77777777" w:rsidR="00F77E45" w:rsidRDefault="00F77E45" w:rsidP="003E7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ACF0" w14:textId="10EB5DA1" w:rsidR="003E7AAD" w:rsidRDefault="003E7AAD">
    <w:pPr>
      <w:pStyle w:val="Header"/>
    </w:pPr>
    <w:r>
      <w:t>Chapter One</w:t>
    </w:r>
    <w:r>
      <w:ptab w:relativeTo="margin" w:alignment="center" w:leader="none"/>
    </w:r>
    <w:r>
      <w:ptab w:relativeTo="margin" w:alignment="right" w:leader="none"/>
    </w:r>
    <w:r>
      <w:t>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D14D9"/>
    <w:multiLevelType w:val="multilevel"/>
    <w:tmpl w:val="1838A05E"/>
    <w:lvl w:ilvl="0">
      <w:start w:val="1"/>
      <w:numFmt w:val="decimal"/>
      <w:lvlText w:val="%1."/>
      <w:lvlJc w:val="left"/>
      <w:pPr>
        <w:tabs>
          <w:tab w:val="num" w:pos="720"/>
        </w:tabs>
        <w:ind w:left="720" w:hanging="360"/>
      </w:pPr>
      <w:rPr>
        <w:b/>
        <w:bCs/>
        <w:color w:val="4472C4" w:themeColor="accen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220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72"/>
    <w:rsid w:val="00092546"/>
    <w:rsid w:val="000925B9"/>
    <w:rsid w:val="000A7121"/>
    <w:rsid w:val="00113772"/>
    <w:rsid w:val="001C19AC"/>
    <w:rsid w:val="002B6BAF"/>
    <w:rsid w:val="003228E0"/>
    <w:rsid w:val="0034206C"/>
    <w:rsid w:val="003E7AAD"/>
    <w:rsid w:val="004154E1"/>
    <w:rsid w:val="004462FB"/>
    <w:rsid w:val="004C7581"/>
    <w:rsid w:val="004D5583"/>
    <w:rsid w:val="00527F66"/>
    <w:rsid w:val="0054630A"/>
    <w:rsid w:val="00555CD6"/>
    <w:rsid w:val="005736F7"/>
    <w:rsid w:val="00676D9D"/>
    <w:rsid w:val="00681515"/>
    <w:rsid w:val="00696C25"/>
    <w:rsid w:val="007565C9"/>
    <w:rsid w:val="0078558D"/>
    <w:rsid w:val="007C2238"/>
    <w:rsid w:val="008C2034"/>
    <w:rsid w:val="008D5812"/>
    <w:rsid w:val="008E419E"/>
    <w:rsid w:val="00A2202D"/>
    <w:rsid w:val="00A82EDA"/>
    <w:rsid w:val="00A8645A"/>
    <w:rsid w:val="00AB0F1B"/>
    <w:rsid w:val="00B8336B"/>
    <w:rsid w:val="00BA6443"/>
    <w:rsid w:val="00BB1F59"/>
    <w:rsid w:val="00BE66DA"/>
    <w:rsid w:val="00CB6A2B"/>
    <w:rsid w:val="00CF0BAA"/>
    <w:rsid w:val="00D24079"/>
    <w:rsid w:val="00E4335F"/>
    <w:rsid w:val="00EB2AE6"/>
    <w:rsid w:val="00EB38EF"/>
    <w:rsid w:val="00F549D4"/>
    <w:rsid w:val="00F77E45"/>
    <w:rsid w:val="00FF35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0D03"/>
  <w15:chartTrackingRefBased/>
  <w15:docId w15:val="{C9653C9E-0041-42FC-9DA1-0437637B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AAD"/>
    <w:rPr>
      <w:rFonts w:asciiTheme="majorBidi" w:hAnsiTheme="majorBidi" w:cstheme="majorBidi"/>
    </w:rPr>
  </w:style>
  <w:style w:type="paragraph" w:styleId="Heading1">
    <w:name w:val="heading 1"/>
    <w:basedOn w:val="Normal"/>
    <w:next w:val="Normal"/>
    <w:link w:val="Heading1Char"/>
    <w:uiPriority w:val="9"/>
    <w:qFormat/>
    <w:rsid w:val="003E7AAD"/>
    <w:pPr>
      <w:keepNext/>
      <w:keepLines/>
      <w:spacing w:before="360" w:after="80"/>
      <w:outlineLvl w:val="0"/>
    </w:pPr>
    <w:rPr>
      <w:rFonts w:eastAsiaTheme="majorEastAsia"/>
      <w:b/>
      <w:bCs/>
      <w:color w:val="2F5496" w:themeColor="accent1" w:themeShade="BF"/>
      <w:sz w:val="40"/>
      <w:szCs w:val="40"/>
    </w:rPr>
  </w:style>
  <w:style w:type="paragraph" w:styleId="Heading2">
    <w:name w:val="heading 2"/>
    <w:basedOn w:val="Normal"/>
    <w:next w:val="Normal"/>
    <w:link w:val="Heading2Char"/>
    <w:uiPriority w:val="9"/>
    <w:unhideWhenUsed/>
    <w:qFormat/>
    <w:rsid w:val="003E7AAD"/>
    <w:pPr>
      <w:keepNext/>
      <w:keepLines/>
      <w:spacing w:before="160" w:after="80"/>
      <w:outlineLvl w:val="1"/>
    </w:pPr>
    <w:rPr>
      <w:rFonts w:eastAsiaTheme="majorEastAsia"/>
      <w:b/>
      <w:bCs/>
      <w:color w:val="2F5496" w:themeColor="accent1" w:themeShade="BF"/>
      <w:sz w:val="32"/>
      <w:szCs w:val="32"/>
    </w:rPr>
  </w:style>
  <w:style w:type="paragraph" w:styleId="Heading3">
    <w:name w:val="heading 3"/>
    <w:basedOn w:val="Normal"/>
    <w:next w:val="Normal"/>
    <w:link w:val="Heading3Char"/>
    <w:uiPriority w:val="9"/>
    <w:semiHidden/>
    <w:unhideWhenUsed/>
    <w:qFormat/>
    <w:rsid w:val="00113772"/>
    <w:pPr>
      <w:keepNext/>
      <w:keepLines/>
      <w:spacing w:before="160" w:after="80"/>
      <w:outlineLvl w:val="2"/>
    </w:pPr>
    <w:rPr>
      <w:rFonts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113772"/>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113772"/>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113772"/>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13772"/>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113772"/>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13772"/>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AAD"/>
    <w:rPr>
      <w:rFonts w:asciiTheme="majorBidi" w:eastAsiaTheme="majorEastAsia" w:hAnsiTheme="majorBidi" w:cstheme="majorBidi"/>
      <w:b/>
      <w:bCs/>
      <w:color w:val="2F5496" w:themeColor="accent1" w:themeShade="BF"/>
      <w:sz w:val="40"/>
      <w:szCs w:val="40"/>
    </w:rPr>
  </w:style>
  <w:style w:type="character" w:customStyle="1" w:styleId="Heading2Char">
    <w:name w:val="Heading 2 Char"/>
    <w:basedOn w:val="DefaultParagraphFont"/>
    <w:link w:val="Heading2"/>
    <w:uiPriority w:val="9"/>
    <w:rsid w:val="003E7AAD"/>
    <w:rPr>
      <w:rFonts w:asciiTheme="majorBidi" w:eastAsiaTheme="majorEastAsia" w:hAnsiTheme="majorBidi" w:cstheme="majorBidi"/>
      <w:b/>
      <w:bCs/>
      <w:color w:val="2F5496" w:themeColor="accent1" w:themeShade="BF"/>
      <w:sz w:val="32"/>
      <w:szCs w:val="32"/>
    </w:rPr>
  </w:style>
  <w:style w:type="character" w:customStyle="1" w:styleId="Heading3Char">
    <w:name w:val="Heading 3 Char"/>
    <w:basedOn w:val="DefaultParagraphFont"/>
    <w:link w:val="Heading3"/>
    <w:uiPriority w:val="9"/>
    <w:semiHidden/>
    <w:rsid w:val="00113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772"/>
    <w:rPr>
      <w:rFonts w:eastAsiaTheme="majorEastAsia" w:cstheme="majorBidi"/>
      <w:color w:val="272727" w:themeColor="text1" w:themeTint="D8"/>
    </w:rPr>
  </w:style>
  <w:style w:type="paragraph" w:styleId="Title">
    <w:name w:val="Title"/>
    <w:basedOn w:val="Normal"/>
    <w:next w:val="Normal"/>
    <w:link w:val="TitleChar"/>
    <w:uiPriority w:val="10"/>
    <w:qFormat/>
    <w:rsid w:val="003E7AAD"/>
    <w:pPr>
      <w:spacing w:after="80" w:line="240" w:lineRule="auto"/>
      <w:contextualSpacing/>
    </w:pPr>
    <w:rPr>
      <w:rFonts w:eastAsiaTheme="majorEastAsia"/>
      <w:b/>
      <w:bCs/>
      <w:spacing w:val="-10"/>
      <w:kern w:val="28"/>
      <w:sz w:val="56"/>
      <w:szCs w:val="56"/>
    </w:rPr>
  </w:style>
  <w:style w:type="character" w:customStyle="1" w:styleId="TitleChar">
    <w:name w:val="Title Char"/>
    <w:basedOn w:val="DefaultParagraphFont"/>
    <w:link w:val="Title"/>
    <w:uiPriority w:val="10"/>
    <w:rsid w:val="003E7AAD"/>
    <w:rPr>
      <w:rFonts w:asciiTheme="majorBidi" w:eastAsiaTheme="majorEastAsia" w:hAnsiTheme="majorBidi" w:cstheme="majorBidi"/>
      <w:b/>
      <w:bCs/>
      <w:spacing w:val="-10"/>
      <w:kern w:val="28"/>
      <w:sz w:val="56"/>
      <w:szCs w:val="56"/>
    </w:rPr>
  </w:style>
  <w:style w:type="paragraph" w:styleId="Subtitle">
    <w:name w:val="Subtitle"/>
    <w:basedOn w:val="Normal"/>
    <w:next w:val="Normal"/>
    <w:link w:val="SubtitleChar"/>
    <w:uiPriority w:val="11"/>
    <w:qFormat/>
    <w:rsid w:val="00113772"/>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113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772"/>
    <w:pPr>
      <w:spacing w:before="160"/>
      <w:jc w:val="center"/>
    </w:pPr>
    <w:rPr>
      <w:i/>
      <w:iCs/>
      <w:color w:val="404040" w:themeColor="text1" w:themeTint="BF"/>
    </w:rPr>
  </w:style>
  <w:style w:type="character" w:customStyle="1" w:styleId="QuoteChar">
    <w:name w:val="Quote Char"/>
    <w:basedOn w:val="DefaultParagraphFont"/>
    <w:link w:val="Quote"/>
    <w:uiPriority w:val="29"/>
    <w:rsid w:val="00113772"/>
    <w:rPr>
      <w:i/>
      <w:iCs/>
      <w:color w:val="404040" w:themeColor="text1" w:themeTint="BF"/>
    </w:rPr>
  </w:style>
  <w:style w:type="paragraph" w:styleId="ListParagraph">
    <w:name w:val="List Paragraph"/>
    <w:basedOn w:val="Normal"/>
    <w:uiPriority w:val="34"/>
    <w:qFormat/>
    <w:rsid w:val="00113772"/>
    <w:pPr>
      <w:ind w:left="720"/>
      <w:contextualSpacing/>
    </w:pPr>
  </w:style>
  <w:style w:type="character" w:styleId="IntenseEmphasis">
    <w:name w:val="Intense Emphasis"/>
    <w:basedOn w:val="DefaultParagraphFont"/>
    <w:uiPriority w:val="21"/>
    <w:qFormat/>
    <w:rsid w:val="00113772"/>
    <w:rPr>
      <w:i/>
      <w:iCs/>
      <w:color w:val="2F5496" w:themeColor="accent1" w:themeShade="BF"/>
    </w:rPr>
  </w:style>
  <w:style w:type="paragraph" w:styleId="IntenseQuote">
    <w:name w:val="Intense Quote"/>
    <w:basedOn w:val="Normal"/>
    <w:next w:val="Normal"/>
    <w:link w:val="IntenseQuoteChar"/>
    <w:uiPriority w:val="30"/>
    <w:qFormat/>
    <w:rsid w:val="00113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772"/>
    <w:rPr>
      <w:i/>
      <w:iCs/>
      <w:color w:val="2F5496" w:themeColor="accent1" w:themeShade="BF"/>
    </w:rPr>
  </w:style>
  <w:style w:type="character" w:styleId="IntenseReference">
    <w:name w:val="Intense Reference"/>
    <w:basedOn w:val="DefaultParagraphFont"/>
    <w:uiPriority w:val="32"/>
    <w:qFormat/>
    <w:rsid w:val="00113772"/>
    <w:rPr>
      <w:b/>
      <w:bCs/>
      <w:smallCaps/>
      <w:color w:val="2F5496" w:themeColor="accent1" w:themeShade="BF"/>
      <w:spacing w:val="5"/>
    </w:rPr>
  </w:style>
  <w:style w:type="paragraph" w:styleId="Header">
    <w:name w:val="header"/>
    <w:basedOn w:val="Normal"/>
    <w:link w:val="HeaderChar"/>
    <w:uiPriority w:val="99"/>
    <w:unhideWhenUsed/>
    <w:rsid w:val="003E7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AAD"/>
    <w:rPr>
      <w:rFonts w:asciiTheme="majorBidi" w:hAnsiTheme="majorBidi" w:cstheme="majorBidi"/>
    </w:rPr>
  </w:style>
  <w:style w:type="paragraph" w:styleId="Footer">
    <w:name w:val="footer"/>
    <w:basedOn w:val="Normal"/>
    <w:link w:val="FooterChar"/>
    <w:uiPriority w:val="99"/>
    <w:unhideWhenUsed/>
    <w:rsid w:val="003E7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AAD"/>
    <w:rPr>
      <w:rFonts w:asciiTheme="majorBidi" w:hAnsiTheme="majorBid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1075</TotalTime>
  <Pages>11</Pages>
  <Words>3956</Words>
  <Characters>22554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 Almansoor</dc:creator>
  <cp:keywords/>
  <dc:description/>
  <cp:lastModifiedBy>Ahmad A. Almansoor</cp:lastModifiedBy>
  <cp:revision>24</cp:revision>
  <dcterms:created xsi:type="dcterms:W3CDTF">2026-03-10T05:52:00Z</dcterms:created>
  <dcterms:modified xsi:type="dcterms:W3CDTF">2026-03-17T03:47:00Z</dcterms:modified>
</cp:coreProperties>
</file>