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2D6A4F"/>
          <w:sz w:val="17"/>
        </w:rPr>
        <w:t>DOKUMEN EVALUASI &amp; DESAIN PRODUK | TUGAS 2</w:t>
      </w:r>
    </w:p>
    <w:p>
      <w:pPr>
        <w:spacing w:before="0" w:after="60"/>
      </w:pPr>
      <w:r>
        <w:rPr>
          <w:rFonts w:ascii="Calibri" w:hAnsi="Calibri"/>
          <w:b/>
          <w:color w:val="0E3822"/>
          <w:sz w:val="36"/>
        </w:rPr>
        <w:t>Laporan Desain &amp; Implementasi Landing Page BumiLoka</w:t>
      </w:r>
    </w:p>
    <w:p>
      <w:pPr>
        <w:spacing w:before="0" w:after="240"/>
      </w:pPr>
      <w:r>
        <w:rPr>
          <w:i/>
          <w:color w:val="526056"/>
          <w:sz w:val="21"/>
        </w:rPr>
        <w:t>Platform Digital Terpadu Budidaya Hidroponik (Pasar Panen, Manajemen Tanaman, Asisten AI)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8CA"/>
          <w:bottom w:val="single" w:sz="4" w:space="0" w:color="D2D8CA"/>
          <w:left w:val="none"/>
          <w:right w:val="none"/>
          <w:insideH w:val="single" w:sz="4" w:space="0" w:color="D2D8CA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F2F5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color w:val="526056"/>
                <w:sz w:val="16"/>
              </w:rPr>
              <w:t>Merek / Produk</w:t>
              <w:br/>
            </w:r>
            <w:r>
              <w:rPr>
                <w:b/>
                <w:color w:val="0E3822"/>
                <w:sz w:val="18"/>
              </w:rPr>
              <w:t>BumiLoka (AgriTech)</w:t>
            </w:r>
          </w:p>
        </w:tc>
        <w:tc>
          <w:tcPr>
            <w:tcW w:type="dxa" w:w="2592"/>
            <w:shd w:fill="F2F5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color w:val="526056"/>
                <w:sz w:val="16"/>
              </w:rPr>
              <w:t>Sistem Desain</w:t>
              <w:br/>
            </w:r>
            <w:r>
              <w:rPr>
                <w:b/>
                <w:color w:val="0E3822"/>
                <w:sz w:val="18"/>
              </w:rPr>
              <w:t>Modern Greenhouse</w:t>
            </w:r>
          </w:p>
        </w:tc>
        <w:tc>
          <w:tcPr>
            <w:tcW w:type="dxa" w:w="2592"/>
            <w:shd w:fill="F2F5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color w:val="526056"/>
                <w:sz w:val="16"/>
              </w:rPr>
              <w:t>Target URL</w:t>
              <w:br/>
            </w:r>
            <w:r>
              <w:rPr>
                <w:b/>
                <w:color w:val="0E3822"/>
                <w:sz w:val="18"/>
              </w:rPr>
              <w:t>https://bumiloka.id</w:t>
            </w:r>
          </w:p>
        </w:tc>
        <w:tc>
          <w:tcPr>
            <w:tcW w:type="dxa" w:w="2304"/>
            <w:shd w:fill="F2F5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color w:val="526056"/>
                <w:sz w:val="16"/>
              </w:rPr>
              <w:t>Format Halaman</w:t>
              <w:br/>
            </w:r>
            <w:r>
              <w:rPr>
                <w:b/>
                <w:color w:val="0E3822"/>
                <w:sz w:val="18"/>
              </w:rPr>
              <w:t>8 Bagian Terstruktur</w:t>
            </w:r>
          </w:p>
        </w:tc>
      </w:tr>
    </w:tbl>
    <w:p>
      <w:pPr>
        <w:spacing w:before="160" w:after="0"/>
      </w:pPr>
    </w:p>
    <w:p>
      <w:pPr>
        <w:spacing w:before="160" w:after="80"/>
      </w:pPr>
      <w:r>
        <w:rPr>
          <w:b/>
          <w:color w:val="1B4D33"/>
          <w:sz w:val="25"/>
        </w:rPr>
        <w:t>1. Tujuan Landing Page</w:t>
      </w:r>
    </w:p>
    <w:p>
      <w:pPr>
        <w:spacing w:before="0" w:after="80" w:line="276" w:lineRule="auto"/>
      </w:pPr>
      <w:r>
        <w:t>Landing page BumiLoka dirancang sebagai gerbang komunikasi strategis untuk memperkenalkan dan memvalidasi konsep platform digital AgriTech hidroponik di Indonesia. Tujuan utamanya dirumuskan ke dalam tiga objektif:</w:t>
      </w:r>
    </w:p>
    <w:p>
      <w:pPr>
        <w:pStyle w:val="ListBullet"/>
        <w:spacing w:before="20" w:after="40" w:line="276" w:lineRule="auto"/>
      </w:pPr>
      <w:r>
        <w:rPr>
          <w:b/>
          <w:color w:val="1A221E"/>
        </w:rPr>
        <w:t>Komunikasi Nilai Instan (&lt; 5 Detik):</w:t>
      </w:r>
      <w:r>
        <w:rPr>
          <w:color w:val="1A221E"/>
        </w:rPr>
        <w:t xml:space="preserve"> Pengunjung langsung memahami bahwa BumiLoka adalah ekosistem digital terpadu untuk membantu memantau kondisi air tandon, memecahkan kendala daun/akar dengan AI, serta memasarkan hasil panen sebelum hari potong.</w:t>
      </w:r>
    </w:p>
    <w:p>
      <w:pPr>
        <w:pStyle w:val="ListBullet"/>
        <w:spacing w:before="20" w:after="40" w:line="276" w:lineRule="auto"/>
      </w:pPr>
      <w:r>
        <w:rPr>
          <w:b/>
          <w:color w:val="1A221E"/>
        </w:rPr>
        <w:t>Kredibilitas Agronomi &amp; Kejujuran Konsep:</w:t>
      </w:r>
      <w:r>
        <w:rPr>
          <w:color w:val="1A221E"/>
        </w:rPr>
        <w:t xml:space="preserve"> Membangun kepercayaan dengan parameter nyata pertanian hidroponik di Indonesia (pH 5.5–6.5, PPM/TDS nutrisi AB Mix, suhu air tandon, Hari Setelah Tanam/HST) tanpa klaim fiktif, serta secara transparan membedakan pratinjau konsep antarmuka dari sistem produksi.</w:t>
      </w:r>
    </w:p>
    <w:p>
      <w:pPr>
        <w:pStyle w:val="ListBullet"/>
        <w:spacing w:before="20" w:after="40" w:line="276" w:lineRule="auto"/>
      </w:pPr>
      <w:r>
        <w:rPr>
          <w:b/>
          <w:color w:val="1A221E"/>
        </w:rPr>
        <w:t>Eksplorasi Terarah &amp; Konversi Berbobot:</w:t>
      </w:r>
      <w:r>
        <w:rPr>
          <w:color w:val="1A221E"/>
        </w:rPr>
        <w:t xml:space="preserve"> Mengarahkan alur pembaca secara sistematis dari pemahaman masalah lapangan, eksplorasi 3 kapabilitas utama, simulasi alur kerja panen, hingga penawaran paket langganan transparan Rp45.000 tanpa jebakan formulir kosong.</w:t>
      </w:r>
    </w:p>
    <w:p>
      <w:pPr>
        <w:spacing w:before="200" w:after="80"/>
      </w:pPr>
      <w:r>
        <w:rPr>
          <w:b/>
          <w:color w:val="1B4D33"/>
          <w:sz w:val="25"/>
        </w:rPr>
        <w:t>2. Target Audience (Buyer Persona)</w:t>
      </w:r>
    </w:p>
    <w:p>
      <w:pPr>
        <w:spacing w:before="0" w:after="120" w:line="276" w:lineRule="auto"/>
      </w:pPr>
      <w:r>
        <w:t>BumiLoka menyasar dua segmen utama pembudidaya hidroponik di Indonesia dengan karakteristik dan kendala operasional yang spesifik: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8CA"/>
          <w:bottom w:val="single" w:sz="4" w:space="0" w:color="D2D8CA"/>
          <w:left w:val="none"/>
          <w:right w:val="none"/>
          <w:insideH w:val="single" w:sz="4" w:space="0" w:color="D2D8CA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shd w:fill="E5EBD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E3822"/>
                <w:sz w:val="18"/>
              </w:rPr>
              <w:t>Kriteria Persona</w:t>
            </w:r>
          </w:p>
        </w:tc>
        <w:tc>
          <w:tcPr>
            <w:tcW w:type="dxa" w:w="3744"/>
            <w:shd w:fill="E5EBD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E3822"/>
                <w:sz w:val="18"/>
              </w:rPr>
              <w:t>Persona A: Petani Pemula / Urban Grower</w:t>
            </w:r>
          </w:p>
        </w:tc>
        <w:tc>
          <w:tcPr>
            <w:tcW w:type="dxa" w:w="3744"/>
            <w:shd w:fill="E5EBD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E3822"/>
                <w:sz w:val="18"/>
              </w:rPr>
              <w:t>Persona B: Petani Komersial / Greenhouse</w:t>
            </w:r>
          </w:p>
        </w:tc>
      </w:tr>
      <w:tr>
        <w:tc>
          <w:tcPr>
            <w:tcW w:type="dxa" w:w="2592"/>
            <w:shd w:fill="FAFB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0E3822"/>
                <w:sz w:val="17"/>
              </w:rPr>
              <w:t>Profil &amp; Skala</w:t>
            </w:r>
          </w:p>
        </w:tc>
        <w:tc>
          <w:tcPr>
            <w:tcW w:type="dxa" w:w="3744"/>
            <w:shd w:fill="FAFB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A221E"/>
                <w:sz w:val="17"/>
              </w:rPr>
              <w:t>Pemilik instalasi rumahan (20–200 lubang tanam sistem NFT/DFT/rakit apung) di pekarangan kota. Siklus tanam 1–4 kali, usia 22–45 tahun.</w:t>
            </w:r>
          </w:p>
        </w:tc>
        <w:tc>
          <w:tcPr>
            <w:tcW w:type="dxa" w:w="3744"/>
            <w:shd w:fill="FAFB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A221E"/>
                <w:sz w:val="17"/>
              </w:rPr>
              <w:t>Pengelola kebun produktif (500+ lubang tanam multi-meja) berorientasi komersial dan kesinambungan pasokan, usia 28–55 tahun.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0E3822"/>
                <w:sz w:val="17"/>
              </w:rPr>
              <w:t>Titik Masalah (Pain Points)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A221E"/>
                <w:sz w:val="17"/>
              </w:rPr>
              <w:t>• Sering lupa mencatat dosis nutrisi AB Mix &amp; cek pH.</w:t>
              <w:br/>
              <w:t>• Panik saat daun terbakar (tip burn) atau klorosis.</w:t>
              <w:br/>
              <w:t>• Informasi medsos simpang siur &amp; bingung jual sisa panen.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A221E"/>
                <w:sz w:val="17"/>
              </w:rPr>
              <w:t>• Pembeli baru dicari saat sayur siap potong (risiko harga jatuh).</w:t>
              <w:br/>
              <w:t>• Pencatatan log nutrisi harian antar-meja tercecer di buku tulis.</w:t>
              <w:br/>
              <w:t>• Keterlambatan diagnosa hama berisiko merusak satu batch besar.</w:t>
            </w:r>
          </w:p>
        </w:tc>
      </w:tr>
      <w:tr>
        <w:tc>
          <w:tcPr>
            <w:tcW w:type="dxa" w:w="2592"/>
            <w:shd w:fill="FAFB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0E3822"/>
                <w:sz w:val="17"/>
              </w:rPr>
              <w:t>Peran Solusi BumiLoka</w:t>
            </w:r>
          </w:p>
        </w:tc>
        <w:tc>
          <w:tcPr>
            <w:tcW w:type="dxa" w:w="3744"/>
            <w:shd w:fill="FAFB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A221E"/>
                <w:sz w:val="17"/>
              </w:rPr>
              <w:t>Panduan batas aman pH/PPM pemula, pengingat pindah tanam, asisten AI untuk diagnosis visual daun, dan pasar panen skala komunitas.</w:t>
            </w:r>
          </w:p>
        </w:tc>
        <w:tc>
          <w:tcPr>
            <w:tcW w:type="dxa" w:w="3744"/>
            <w:shd w:fill="FAFB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A221E"/>
                <w:sz w:val="17"/>
              </w:rPr>
              <w:t>Fitur pra-pesan (pre-order) sebelum panen dipotong, buku log multi-tandon terintegrasi, dan panduan mitigasi risiko budidaya cepat.</w:t>
            </w:r>
          </w:p>
        </w:tc>
      </w:tr>
    </w:tbl>
    <w:p>
      <w:pPr>
        <w:spacing w:before="240" w:after="80"/>
      </w:pPr>
      <w:r>
        <w:rPr>
          <w:b/>
          <w:color w:val="1B4D33"/>
          <w:sz w:val="25"/>
        </w:rPr>
        <w:t>3. Value Proposition (Proposisi Nilai)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5BA9B"/>
          <w:bottom w:val="single" w:sz="8" w:space="0" w:color="A5BA9B"/>
          <w:left w:val="none"/>
          <w:right w:val="none"/>
          <w:insideH w:val="single" w:sz="8" w:space="0" w:color="A5BA9B"/>
          <w:insideV w:val="none"/>
        </w:tblBorders>
      </w:tblPr>
      <w:tblGrid>
        <w:gridCol w:w="10080"/>
      </w:tblGrid>
      <w:tr>
        <w:tc>
          <w:tcPr>
            <w:tcW w:type="dxa" w:w="10080"/>
            <w:shd w:fill="EAF0E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E3822"/>
                <w:sz w:val="22"/>
              </w:rPr>
              <w:t>“Kelola Kebun Hidroponik Lebih Terukur, Pasarkan Hasil Panen Lebih Pasti.”</w:t>
            </w:r>
          </w:p>
        </w:tc>
      </w:tr>
    </w:tbl>
    <w:p>
      <w:pPr>
        <w:spacing w:before="120" w:after="80" w:line="276" w:lineRule="auto"/>
      </w:pPr>
      <w:r>
        <w:t>Nilai pembeda utama BumiLoka adalah integrasi hulu-ke-hilir dalam satu platform tanpa keterpisahan sistem. Alih-alih memisahkan antara aplikasi pencatatan, forum diskusi budidaya, dan grup jual-beli panen, BumiLoka merajut ketiganya menjadi siklus operasional yang utuh:</w:t>
      </w:r>
    </w:p>
    <w:p>
      <w:pPr>
        <w:pStyle w:val="ListBullet"/>
        <w:spacing w:before="20" w:after="40" w:line="276" w:lineRule="auto"/>
      </w:pPr>
      <w:r>
        <w:rPr>
          <w:b/>
          <w:color w:val="1A221E"/>
        </w:rPr>
        <w:t>Pasar Panen (Harvest Marketplace):</w:t>
      </w:r>
      <w:r>
        <w:rPr>
          <w:color w:val="1A221E"/>
        </w:rPr>
        <w:t xml:space="preserve"> Memberdayakan petani untuk membuka jadwal panen sayuran segar lebih awal kepada pembeli lokal, sehingga menghasilkan kepastian serapan harga yang stabil sebelum tanaman dipotong.</w:t>
      </w:r>
    </w:p>
    <w:p>
      <w:pPr>
        <w:pStyle w:val="ListBullet"/>
        <w:spacing w:before="20" w:after="40" w:line="276" w:lineRule="auto"/>
      </w:pPr>
      <w:r>
        <w:rPr>
          <w:b/>
          <w:color w:val="1A221E"/>
        </w:rPr>
        <w:t>Manajemen Tanaman (Plant Management):</w:t>
      </w:r>
      <w:r>
        <w:rPr>
          <w:color w:val="1A221E"/>
        </w:rPr>
        <w:t xml:space="preserve"> Standarisasi buku log digital harian untuk memantau pH, PPM nutrisi AB Mix, suhu air, dan tahapan HST, sehingga rotasi meja tanam berjalan presisi dan bebas tebak-tebakan.</w:t>
      </w:r>
    </w:p>
    <w:p>
      <w:pPr>
        <w:pStyle w:val="ListBullet"/>
        <w:spacing w:before="20" w:after="40" w:line="276" w:lineRule="auto"/>
      </w:pPr>
      <w:r>
        <w:rPr>
          <w:b/>
          <w:color w:val="1A221E"/>
        </w:rPr>
        <w:t>Asisten Budidaya AI (AI Cultivation Assistant):</w:t>
      </w:r>
      <w:r>
        <w:rPr>
          <w:color w:val="1A221E"/>
        </w:rPr>
        <w:t xml:space="preserve"> Menyajikan rujukan diagnostik awal berbasis foto/gejala visual daun dan akar dengan batasan etis tegas (membantu deteksi dini, bukan menggantikan laboratorium patologi atau konsultan agronomi bersertifikasi).</w:t>
      </w:r>
    </w:p>
    <w:p>
      <w:pPr>
        <w:spacing w:before="240" w:after="80"/>
      </w:pPr>
      <w:r>
        <w:rPr>
          <w:b/>
          <w:color w:val="1B4D33"/>
          <w:sz w:val="25"/>
        </w:rPr>
        <w:t>4. Alasan Pemilihan Call to Action (CTA)</w:t>
      </w:r>
    </w:p>
    <w:p>
      <w:pPr>
        <w:spacing w:before="0" w:after="80" w:line="276" w:lineRule="auto"/>
      </w:pPr>
      <w:r>
        <w:t>Strategi Call to Action (CTA) pada landing page BumiLoka mengedepankan prinsip 'Zero Dead Controls &amp; Transparent Commitment', di mana setiap tombol memicu aksi nyata dan relevan tanpa menyajikan form semu atau klaim sepihak:</w:t>
      </w:r>
    </w:p>
    <w:p>
      <w:pPr>
        <w:pStyle w:val="ListBullet"/>
        <w:spacing w:before="20" w:after="40" w:line="276" w:lineRule="auto"/>
      </w:pPr>
      <w:r>
        <w:rPr>
          <w:b/>
          <w:color w:val="1A221E"/>
        </w:rPr>
        <w:t>CTA Primer: “Jelajahi Tiga Kapabilitas” (Menuju #produk-layanan):</w:t>
      </w:r>
      <w:r>
        <w:rPr>
          <w:color w:val="1A221E"/>
        </w:rPr>
        <w:t xml:space="preserve"> Pengunjung produk teknologi pertanian memerlukan bukti nyata mengenai cara kerja antarmuka sebelum bersedia mengambil keputusan. Tombol primer sengaja diarahkan ke showcase 3 modul interaktif untuk memberikan jawaban konkret tanpa memaksa registrasi dini.</w:t>
      </w:r>
    </w:p>
    <w:p>
      <w:pPr>
        <w:pStyle w:val="ListBullet"/>
        <w:spacing w:before="20" w:after="40" w:line="276" w:lineRule="auto"/>
      </w:pPr>
      <w:r>
        <w:rPr>
          <w:b/>
          <w:color w:val="1A221E"/>
        </w:rPr>
        <w:t>CTA Sekunder: “Lihat Paket Langganan” (Menuju #langganan):</w:t>
      </w:r>
      <w:r>
        <w:rPr>
          <w:color w:val="1A221E"/>
        </w:rPr>
        <w:t xml:space="preserve"> Memfasilitasi pengunjung dengan niat transaksional tinggi yang ingin langsung mengevaluasi struktur investasi layanan tanpa harus membaca seluruh alur halaman secara berurutan.</w:t>
      </w:r>
    </w:p>
    <w:p>
      <w:pPr>
        <w:pStyle w:val="ListBullet"/>
        <w:spacing w:before="20" w:after="40" w:line="276" w:lineRule="auto"/>
      </w:pPr>
      <w:r>
        <w:rPr>
          <w:b/>
          <w:color w:val="1A221E"/>
        </w:rPr>
        <w:t>Kontrol Interaktif Tab Kasus AI &amp; Stepper Alur Kerja:</w:t>
      </w:r>
      <w:r>
        <w:rPr>
          <w:color w:val="1A221E"/>
        </w:rPr>
        <w:t xml:space="preserve"> Memungkinkan pengunjung menguji secara langsung logika alur kerja produk (kasus defisiensi kalsium/tip burn, nitrogen, dan pembusukan akar) untuk merasakan kapabilitas produk secara interaktif.</w:t>
      </w:r>
    </w:p>
    <w:p>
      <w:pPr>
        <w:pStyle w:val="ListBullet"/>
        <w:spacing w:before="20" w:after="40" w:line="276" w:lineRule="auto"/>
      </w:pPr>
      <w:r>
        <w:rPr>
          <w:b/>
          <w:color w:val="1A221E"/>
        </w:rPr>
        <w:t>Penetapan Harga Tunggal Transparan (Rp45.000):</w:t>
      </w:r>
      <w:r>
        <w:rPr>
          <w:color w:val="1A221E"/>
        </w:rPr>
        <w:t xml:space="preserve"> Menghindari skema harga tier bertingkat yang membingungkan atau tombol checkout palsu. Paket langganan tunggal disajikan secara jujur dengan catatan bahwa periode penagihan sedang dalam tahap finalisasi oleh pemilik proyek.</w:t>
      </w:r>
    </w:p>
    <w:p>
      <w:pPr>
        <w:spacing w:before="240" w:after="80"/>
      </w:pPr>
      <w:r>
        <w:rPr>
          <w:b/>
          <w:color w:val="1B4D33"/>
          <w:sz w:val="25"/>
        </w:rPr>
        <w:t>5. Alasan Desain Responsif</w:t>
      </w:r>
    </w:p>
    <w:p>
      <w:pPr>
        <w:spacing w:before="0" w:after="120" w:line="276" w:lineRule="auto"/>
      </w:pPr>
      <w:r>
        <w:t>Arsitektur responsif BumiLoka dirancang berdasarkan dua konteks penggunaan nyata di lapangan dengan kebutuhan ergonomi yang sangat kontras: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8CA"/>
          <w:bottom w:val="single" w:sz="4" w:space="0" w:color="D2D8CA"/>
          <w:left w:val="none"/>
          <w:right w:val="none"/>
          <w:insideH w:val="single" w:sz="4" w:space="0" w:color="D2D8CA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shd w:fill="E5EBD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E3822"/>
                <w:sz w:val="18"/>
              </w:rPr>
              <w:t>Dimensi Viewport</w:t>
            </w:r>
          </w:p>
        </w:tc>
        <w:tc>
          <w:tcPr>
            <w:tcW w:type="dxa" w:w="3744"/>
            <w:shd w:fill="E5EBD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E3822"/>
                <w:sz w:val="18"/>
              </w:rPr>
              <w:t>Konteks Lapangan &amp; Ergonomi</w:t>
            </w:r>
          </w:p>
        </w:tc>
        <w:tc>
          <w:tcPr>
            <w:tcW w:type="dxa" w:w="3744"/>
            <w:shd w:fill="E5EBD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E3822"/>
                <w:sz w:val="18"/>
              </w:rPr>
              <w:t>Keputusan Desain &amp; Solusi UI</w:t>
            </w:r>
          </w:p>
        </w:tc>
      </w:tr>
      <w:tr>
        <w:tc>
          <w:tcPr>
            <w:tcW w:type="dxa" w:w="2592"/>
            <w:shd w:fill="FAFB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0E3822"/>
                <w:sz w:val="17"/>
              </w:rPr>
              <w:t>Mobile Viewport</w:t>
              <w:br/>
              <w:t>(390 × 844 px)</w:t>
              <w:br/>
              <w:t>Skala Ponsel Cerdas</w:t>
            </w:r>
          </w:p>
        </w:tc>
        <w:tc>
          <w:tcPr>
            <w:tcW w:type="dxa" w:w="3744"/>
            <w:shd w:fill="FAFB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A221E"/>
                <w:sz w:val="17"/>
              </w:rPr>
              <w:t>Petani berada di dekat talang NFT/tandon nutrisi, mengoperasikan ponsel satu tangan di bawah terik matahari sambil memegang alat ukur EC/pH.</w:t>
            </w:r>
          </w:p>
        </w:tc>
        <w:tc>
          <w:tcPr>
            <w:tcW w:type="dxa" w:w="3744"/>
            <w:shd w:fill="FAFB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A221E"/>
                <w:sz w:val="17"/>
              </w:rPr>
              <w:t>• Kontras teks tinggi (WCAG AAA) berlatar mineral hangat.</w:t>
              <w:br/>
              <w:t>• Target sentuh (tap target) minimum 44–48 px.</w:t>
              <w:br/>
              <w:t>• Tata letak satu kolom vertikal bebas pergeseran horizontal.</w:t>
              <w:br/>
              <w:t>• Menu drawer seluler yang ringan dan cepat dibuka.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0E3822"/>
                <w:sz w:val="17"/>
              </w:rPr>
              <w:t>Desktop Viewport</w:t>
              <w:br/>
              <w:t>(1440 × 900 px)</w:t>
              <w:br/>
              <w:t>Skala Monitor Lebar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A221E"/>
                <w:sz w:val="17"/>
              </w:rPr>
              <w:t>Pengelola kebun duduk di meja kerja untuk merencanakan rotasi meja tanam, mengevaluasi anggaran nutrisi, dan menyusun katalog penjualan.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color w:val="1A221E"/>
                <w:sz w:val="17"/>
              </w:rPr>
              <w:t>• Tata letak selebar layar (100vw) dengan ritme visual editorial.</w:t>
              <w:br/>
              <w:t>• Grid 3-kolom untuk perbandingan masalah dan modul.</w:t>
              <w:br/>
              <w:t>• Visualisasi alur kerja multi-tahap dan pratinjau tabel batch panen yang komprehensif.</w:t>
            </w:r>
          </w:p>
        </w:tc>
      </w:tr>
    </w:tbl>
    <w:p>
      <w:pPr>
        <w:spacing w:before="240" w:after="0" w:line="276" w:lineRule="auto"/>
      </w:pPr>
      <w:r>
        <w:rPr>
          <w:b/>
          <w:color w:val="0E3822"/>
        </w:rPr>
        <w:t xml:space="preserve">Kesimpulan Implementasi: </w:t>
      </w:r>
      <w:r>
        <w:rPr>
          <w:color w:val="1A221E"/>
        </w:rPr>
        <w:t>Kombinasi antara kejelasan agronomi, pemetaan persona yang akurat, proposisi nilai hulu-ke-hilir, CTA berintegritas fungsional, serta desain responsif yang adaptif terhadap kondisi kebun menjadikan landing page BumiLoka aset digital yang kredibel, profesional, dan siap diuji oleh pengguna nyata.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8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