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4E06" w14:textId="77777777" w:rsidR="004B5DD0" w:rsidRDefault="004B5DD0">
      <w:pPr>
        <w:spacing w:before="600"/>
      </w:pPr>
    </w:p>
    <w:p w14:paraId="6C9E1A5D" w14:textId="77777777" w:rsidR="004B5DD0" w:rsidRDefault="00000000">
      <w:pPr>
        <w:spacing w:after="60"/>
        <w:jc w:val="center"/>
      </w:pPr>
      <w:r>
        <w:rPr>
          <w:b/>
          <w:bCs/>
          <w:color w:val="1A3F6F"/>
          <w:sz w:val="60"/>
          <w:szCs w:val="60"/>
        </w:rPr>
        <w:t>ATLAS MOTOR INSURANCE</w:t>
      </w:r>
    </w:p>
    <w:p w14:paraId="086647FE" w14:textId="77777777" w:rsidR="004B5DD0" w:rsidRDefault="00000000">
      <w:pPr>
        <w:pBdr>
          <w:bottom w:val="single" w:sz="12" w:space="8" w:color="2C5F9E"/>
        </w:pBdr>
        <w:spacing w:after="60"/>
        <w:jc w:val="center"/>
      </w:pPr>
      <w:r>
        <w:rPr>
          <w:color w:val="2C5F9E"/>
          <w:sz w:val="38"/>
          <w:szCs w:val="38"/>
        </w:rPr>
        <w:t>Comprehensive Vehicle Insurance Policy Manual</w:t>
      </w:r>
    </w:p>
    <w:p w14:paraId="56E48575" w14:textId="77777777" w:rsidR="004B5DD0" w:rsidRDefault="004B5DD0">
      <w:pPr>
        <w:spacing w:before="80"/>
      </w:pPr>
    </w:p>
    <w:p w14:paraId="17E0BD76" w14:textId="77777777" w:rsidR="004B5DD0" w:rsidRDefault="00000000">
      <w:pPr>
        <w:spacing w:after="40"/>
        <w:jc w:val="center"/>
      </w:pPr>
      <w:r>
        <w:rPr>
          <w:i/>
          <w:iCs/>
          <w:color w:val="555555"/>
          <w:sz w:val="24"/>
          <w:szCs w:val="24"/>
        </w:rPr>
        <w:t>Authoritative Reference for the AI Claims Adjudication RAG System</w:t>
      </w:r>
    </w:p>
    <w:p w14:paraId="23D1172F" w14:textId="77777777" w:rsidR="004B5DD0" w:rsidRDefault="00000000">
      <w:pPr>
        <w:spacing w:after="40"/>
        <w:jc w:val="center"/>
      </w:pPr>
      <w:r>
        <w:rPr>
          <w:color w:val="888888"/>
        </w:rPr>
        <w:t>Version 3.0   •   Effective January 1, 2026   •   All Vehicle Classes</w:t>
      </w:r>
    </w:p>
    <w:p w14:paraId="27732C35" w14:textId="77777777" w:rsidR="004B5DD0" w:rsidRDefault="004B5DD0">
      <w:pPr>
        <w:spacing w:before="500"/>
      </w:pPr>
    </w:p>
    <w:p w14:paraId="0873C7B2" w14:textId="77777777" w:rsidR="004B5DD0" w:rsidRDefault="00000000">
      <w:pPr>
        <w:pBdr>
          <w:left w:val="single" w:sz="14" w:space="4" w:color="1A3F6F"/>
        </w:pBdr>
        <w:shd w:val="clear" w:color="auto" w:fill="EBF2FB"/>
        <w:spacing w:before="120" w:after="120"/>
        <w:ind w:left="400" w:right="200"/>
      </w:pPr>
      <w:r>
        <w:rPr>
          <w:i/>
          <w:iCs/>
          <w:color w:val="333333"/>
          <w:sz w:val="18"/>
          <w:szCs w:val="18"/>
        </w:rPr>
        <w:t>This manual is the sole authoritative source for the Atlas Motor Insurance AI Claims Adjudication RAG System. Every compensation decision produced by the RAG Agent must be grounded in the provisions, scenarios, and limits set forth in this document. Any claim scenario not explicitly addressed herein must be escalated to a human adjuster.</w:t>
      </w:r>
    </w:p>
    <w:p w14:paraId="5CC0B45B" w14:textId="77777777" w:rsidR="004B5DD0" w:rsidRDefault="004B5DD0">
      <w:pPr>
        <w:pageBreakBefore/>
      </w:pPr>
    </w:p>
    <w:p w14:paraId="67D3E5D7" w14:textId="77777777" w:rsidR="004B5DD0" w:rsidRDefault="00000000">
      <w:pPr>
        <w:pStyle w:val="Heading1"/>
        <w:pBdr>
          <w:bottom w:val="single" w:sz="10" w:space="4" w:color="2C5F9E"/>
        </w:pBdr>
      </w:pPr>
      <w:r>
        <w:t>1. Purpose of This Policy and the AI Claims System</w:t>
      </w:r>
    </w:p>
    <w:p w14:paraId="472560B1" w14:textId="77777777" w:rsidR="004B5DD0" w:rsidRDefault="00000000">
      <w:pPr>
        <w:pStyle w:val="Heading2"/>
      </w:pPr>
      <w:r>
        <w:t>1.1 What This Policy Does</w:t>
      </w:r>
    </w:p>
    <w:p w14:paraId="7FFB3C3D" w14:textId="77777777" w:rsidR="004B5DD0" w:rsidRDefault="00000000">
      <w:pPr>
        <w:spacing w:before="80" w:after="100"/>
      </w:pPr>
      <w:r>
        <w:rPr>
          <w:color w:val="222222"/>
        </w:rPr>
        <w:t>This Comprehensive Vehicle Insurance Policy is issued by Atlas Motor Insurance to provide financial protection to policyholders who suffer loss, damage, or liability arising from the ownership and use of motor vehicles. The policy covers a broad range of vehicle types — from everyday passenger cars and motorcycles to commercial trucks, electric vehicles, specialty classics, and off-road machines — and offers three tiers of protection to match different risk profiles and budgets.</w:t>
      </w:r>
    </w:p>
    <w:p w14:paraId="6442FD79" w14:textId="77777777" w:rsidR="004B5DD0" w:rsidRDefault="00000000">
      <w:pPr>
        <w:spacing w:before="80" w:after="100"/>
      </w:pPr>
      <w:r>
        <w:rPr>
          <w:color w:val="222222"/>
        </w:rPr>
        <w:t>Beyond its role as a policyholder-facing contract, this document also serves as the primary knowledge corpus for the Atlas Motor Insurance AI Claims Adjudication System, a Retrieval-Augmented Generation (RAG) agent that evaluates incoming claims and computes compensation amounts automatically. Every coverage limit, deductible figure, exclusion rule, and scenario description in this document is designed to be machine-readable and unambiguous so that the RAG Agent can retrieve and apply the correct rules without human intervention on standard claims.</w:t>
      </w:r>
    </w:p>
    <w:p w14:paraId="7902FAF9" w14:textId="77777777" w:rsidR="004B5DD0" w:rsidRDefault="00000000">
      <w:pPr>
        <w:pStyle w:val="Heading2"/>
      </w:pPr>
      <w:r>
        <w:t>1.2 How the AI Claims System Works</w:t>
      </w:r>
    </w:p>
    <w:p w14:paraId="02631181" w14:textId="77777777" w:rsidR="004B5DD0" w:rsidRDefault="00000000">
      <w:pPr>
        <w:spacing w:before="80" w:after="100"/>
      </w:pPr>
      <w:r>
        <w:rPr>
          <w:color w:val="222222"/>
        </w:rPr>
        <w:t>When a claimant submits a loss report, a dedicated Damage Assessment Agent first inspects the submitted photographs, repair estimates, police reports, and other evidence. That agent produces two outputs: a structured list of damage categories with associated repair cost estimates, and a Liability Score — a decimal number between 0.00 and 1.00 — that reflects how strongly the loss event falls within covered territory and how much, if any, the insured contributed to the loss through their own actions or negligence.</w:t>
      </w:r>
    </w:p>
    <w:p w14:paraId="2DA33CD5" w14:textId="77777777" w:rsidR="004B5DD0" w:rsidRDefault="00000000">
      <w:pPr>
        <w:spacing w:before="80" w:after="100"/>
      </w:pPr>
      <w:r>
        <w:rPr>
          <w:color w:val="222222"/>
        </w:rPr>
        <w:t>The RAG Agent then receives those two outputs and consults this policy document to determine the correct compensation. It identifies the vehicle class, confirms the policy tier, checks for active exclusions, retrieves the applicable sub-limits and deductibles, applies the Liability Score multiplier, accounts for depreciation where relevant, and finally outputs a structured compensation decision. For straightforward claims that fall squarely within covered territory, this entire process runs without human involvement. For complex, borderline, or partially excluded claims, the RAG Agent flags the file for review by a licensed human adjuster.</w:t>
      </w:r>
    </w:p>
    <w:p w14:paraId="6A618F58" w14:textId="77777777" w:rsidR="004B5DD0" w:rsidRDefault="00000000">
      <w:pPr>
        <w:pStyle w:val="Heading2"/>
      </w:pPr>
      <w:r>
        <w:t>1.3 Liability Score and Compensation Multipliers</w:t>
      </w:r>
    </w:p>
    <w:p w14:paraId="3BC51D41" w14:textId="77777777" w:rsidR="004B5DD0" w:rsidRDefault="00000000">
      <w:pPr>
        <w:spacing w:before="80" w:after="100"/>
      </w:pPr>
      <w:r>
        <w:rPr>
          <w:color w:val="222222"/>
        </w:rPr>
        <w:t>The Liability Score is the single most important input the Damage Assessment Agent passes to the RAG Agent. It determines what percentage of the eligible damage amount the Company will pay. The score reflects a combination of fault apportionment, coverage applicability, and incident documentation quality.</w:t>
      </w:r>
    </w:p>
    <w:p w14:paraId="14000AE0" w14:textId="77777777" w:rsidR="004B5DD0" w:rsidRDefault="00000000">
      <w:pPr>
        <w:spacing w:before="80" w:after="100"/>
      </w:pPr>
      <w:r>
        <w:rPr>
          <w:color w:val="222222"/>
        </w:rPr>
        <w:t xml:space="preserve">A score between 0.90 and 1.00 represents a fully covered incident in which the insured bears no meaningful fault. In these </w:t>
      </w:r>
      <w:proofErr w:type="gramStart"/>
      <w:r>
        <w:rPr>
          <w:color w:val="222222"/>
        </w:rPr>
        <w:t>cases</w:t>
      </w:r>
      <w:proofErr w:type="gramEnd"/>
      <w:r>
        <w:rPr>
          <w:color w:val="222222"/>
        </w:rPr>
        <w:t xml:space="preserve"> the Company pays 100 percent of the eligible damage up to the applicable sub-limit. A score between 0.70 and 0.89 represents a high-coverage situation — perhaps the insured had a minor contributory factor such as delayed reporting or a pre-existing minor damage — and the Company pays 85 percent. A score between 0.50 and 0.69 reflects shared liability or partial coverage applicability, yielding a 65 percent multiplier. Scores between 0.30 and 0.49 indicate significant insured fault or questionable documentation and result in a 40 percent payment. Scores between 0.10 and 0.29 represent situations where the insured was predominantly at fault or where coverage eligibility is marginal, limiting payment to 20 percent of eligible damage. Finally, any score below 0.10 results in no payment, and the claim is flagged for manual review before final closure.</w:t>
      </w:r>
    </w:p>
    <w:p w14:paraId="350B2F22" w14:textId="77777777" w:rsidR="004B5DD0" w:rsidRDefault="00000000">
      <w:pPr>
        <w:pStyle w:val="Heading1"/>
        <w:pBdr>
          <w:bottom w:val="single" w:sz="10" w:space="4" w:color="2C5F9E"/>
        </w:pBdr>
      </w:pPr>
      <w:r>
        <w:lastRenderedPageBreak/>
        <w:t>2. Vehicle Classifications</w:t>
      </w:r>
    </w:p>
    <w:p w14:paraId="091BEB58" w14:textId="77777777" w:rsidR="004B5DD0" w:rsidRDefault="00000000">
      <w:pPr>
        <w:pStyle w:val="Heading2"/>
      </w:pPr>
      <w:r>
        <w:t>2.1 Overview of Vehicle Classes</w:t>
      </w:r>
    </w:p>
    <w:p w14:paraId="0F204718" w14:textId="77777777" w:rsidR="004B5DD0" w:rsidRDefault="00000000">
      <w:pPr>
        <w:spacing w:before="80" w:after="100"/>
      </w:pPr>
      <w:r>
        <w:rPr>
          <w:color w:val="222222"/>
        </w:rPr>
        <w:t>All vehicles insured under this policy are assigned to one of seven vehicle classes at inception. The class determines which coverage provisions, sub-limits, deductibles, and add-ons apply. It is the first thing the RAG Agent must establish when evaluating any claim. If vehicle class cannot be determined from the claim file, the agent must request clarification and must not estimate or default to any class.</w:t>
      </w:r>
    </w:p>
    <w:p w14:paraId="64541911" w14:textId="77777777" w:rsidR="004B5DD0" w:rsidRDefault="00000000">
      <w:pPr>
        <w:pStyle w:val="Heading2"/>
      </w:pPr>
      <w:r>
        <w:t>2.2 Class PC — Passenger Cars</w:t>
      </w:r>
    </w:p>
    <w:p w14:paraId="0952879B" w14:textId="77777777" w:rsidR="004B5DD0" w:rsidRDefault="00000000">
      <w:pPr>
        <w:spacing w:before="80" w:after="100"/>
      </w:pPr>
      <w:r>
        <w:rPr>
          <w:color w:val="222222"/>
        </w:rPr>
        <w:t>The Passenger Car class covers all privately owned four-wheeled motor vehicles used primarily for personal transportation. This includes sedans, hatchbacks, coupes, station wagons, sport utility vehicles (SUVs), and minivans, provided they are not used commercially or for hire. A vehicle registered in a personal name and used predominantly for commuting, errands, and recreational driving belongs in this class. If the same vehicle is also used part-time for rideshare or delivery, it must be reclassified to Class CV before any commercial-use loss can be covered.</w:t>
      </w:r>
    </w:p>
    <w:p w14:paraId="3E290466" w14:textId="77777777" w:rsidR="004B5DD0" w:rsidRDefault="00000000">
      <w:pPr>
        <w:shd w:val="clear" w:color="auto" w:fill="F5F7FA"/>
        <w:spacing w:before="160" w:after="60"/>
        <w:ind w:left="200"/>
      </w:pPr>
      <w:r>
        <w:rPr>
          <w:b/>
          <w:bCs/>
          <w:color w:val="1A3F6F"/>
        </w:rPr>
        <w:t>Scenario — Passenger Car — Minor Rear-End Collision</w:t>
      </w:r>
    </w:p>
    <w:p w14:paraId="469A94A5" w14:textId="77777777" w:rsidR="004B5DD0" w:rsidRDefault="00000000">
      <w:pPr>
        <w:spacing w:before="60" w:after="120"/>
        <w:ind w:left="200"/>
      </w:pPr>
      <w:r>
        <w:rPr>
          <w:i/>
          <w:iCs/>
          <w:color w:val="333333"/>
          <w:sz w:val="19"/>
          <w:szCs w:val="19"/>
        </w:rPr>
        <w:t>A policyholder driving a four-year-old sedan is stopped at a red light when another driver rear-ends them. The impact causes bumper damage, a cracked tail-light assembly, and minor boot-lid deformation. The Damage Assessment Agent estimates repairs at $4,200. The insured was stationary and fully blameless; the Liability Score is 0.96. Under a T2 Standard policy, the RAG Agent applies the 100% multiplier, deducts the $1,500 collision deductible, applies a 15% depreciation to the plastic bumper components (4-year-old vehicle), and arrives at a compensable amount of approximately $2,370 after all adjustments.</w:t>
      </w:r>
    </w:p>
    <w:p w14:paraId="334564BE" w14:textId="77777777" w:rsidR="004B5DD0" w:rsidRDefault="00000000">
      <w:pPr>
        <w:pStyle w:val="Heading2"/>
      </w:pPr>
      <w:r>
        <w:t>2.3 Class MC — Motorcycles and Scooters</w:t>
      </w:r>
    </w:p>
    <w:p w14:paraId="0836AEF5" w14:textId="77777777" w:rsidR="004B5DD0" w:rsidRDefault="00000000">
      <w:pPr>
        <w:spacing w:before="80" w:after="100"/>
      </w:pPr>
      <w:r>
        <w:rPr>
          <w:color w:val="222222"/>
        </w:rPr>
        <w:t>The Motorcycle class encompasses all two-wheeled motorized vehicles including sport bikes, cruisers, touring motorcycles, standard commuter motorcycles, mopeds, and motor scooters. Three-wheeled motorcycles and trikes are also included in this class. Coverage under this class acknowledges the heightened physical vulnerability of the rider, and personal accident coverage for the rider is available as a standard feature from Tier T2 upward. Riding gear — helmets, jackets, gloves, and boots — may be covered under the T3 tier or as an explicit add-on under T2.</w:t>
      </w:r>
    </w:p>
    <w:p w14:paraId="34E2AFFE" w14:textId="77777777" w:rsidR="004B5DD0" w:rsidRDefault="00000000">
      <w:pPr>
        <w:shd w:val="clear" w:color="auto" w:fill="F5F7FA"/>
        <w:spacing w:before="160" w:after="60"/>
        <w:ind w:left="200"/>
      </w:pPr>
      <w:r>
        <w:rPr>
          <w:b/>
          <w:bCs/>
          <w:color w:val="1A3F6F"/>
        </w:rPr>
        <w:t>Scenario — Motorcycle — Intersection Skid</w:t>
      </w:r>
    </w:p>
    <w:p w14:paraId="77866595" w14:textId="77777777" w:rsidR="004B5DD0" w:rsidRDefault="00000000">
      <w:pPr>
        <w:spacing w:before="60" w:after="120"/>
        <w:ind w:left="200"/>
      </w:pPr>
      <w:r>
        <w:rPr>
          <w:i/>
          <w:iCs/>
          <w:color w:val="333333"/>
          <w:sz w:val="19"/>
          <w:szCs w:val="19"/>
        </w:rPr>
        <w:t>A motorcyclist loses traction on a wet road while making a left turn at an intersection and slides into a kerb. The motorcycle sustains frame damage, broken fairing, and a bent front fork. The rider sustains a fractured wrist. The Damage Assessment Agent scores the incident at 0.78 — the rider was travelling slightly above the posted limit, contributing to the loss. Under a T2 Standard policy, the 85% multiplier applies to the $8,500 bike damage estimate. After depreciation on plastic fairing parts and the $1,000 collision deductible, the bike compensation is approximately $5,900. Medical expenses for the wrist fracture — emergency room fees and physiotherapy totalling $4,800 — are covered under the Personal Accident rider up to the $50,000 T2 limit, with no deductible, resulting in full payment of the medical claim.</w:t>
      </w:r>
    </w:p>
    <w:p w14:paraId="79F3FBD0" w14:textId="77777777" w:rsidR="004B5DD0" w:rsidRDefault="00000000">
      <w:pPr>
        <w:pStyle w:val="Heading2"/>
      </w:pPr>
      <w:r>
        <w:t>2.4 Class CT — Commercial Trucks</w:t>
      </w:r>
    </w:p>
    <w:p w14:paraId="20104FFA" w14:textId="77777777" w:rsidR="004B5DD0" w:rsidRDefault="00000000">
      <w:pPr>
        <w:spacing w:before="80" w:after="100"/>
      </w:pPr>
      <w:r>
        <w:rPr>
          <w:color w:val="222222"/>
        </w:rPr>
        <w:t>Commercial Trucks include all heavy goods vehicles, medium-duty trucks, light commercial vehicles used for goods transportation, box trucks, flatbed trucks, refrigerated lorries, and semi-trailer combinations. Pickup trucks with a payload rating above one metric tonne used for commercial hauling also fall into this class. These vehicles attract higher premiums reflecting their greater mass, longer daily mileage, and increased third-party liability exposure in the event of an accident. Cargo coverage is available under T2 and T3 tiers for the goods being transported, subject to the cargo sub-limits defined in Section 3.</w:t>
      </w:r>
    </w:p>
    <w:p w14:paraId="2CD8F593" w14:textId="77777777" w:rsidR="004B5DD0" w:rsidRDefault="00000000">
      <w:pPr>
        <w:shd w:val="clear" w:color="auto" w:fill="F5F7FA"/>
        <w:spacing w:before="160" w:after="60"/>
        <w:ind w:left="200"/>
      </w:pPr>
      <w:r>
        <w:rPr>
          <w:b/>
          <w:bCs/>
          <w:color w:val="1A3F6F"/>
        </w:rPr>
        <w:t>Scenario — Commercial Truck — Highway Rollover</w:t>
      </w:r>
    </w:p>
    <w:p w14:paraId="1A51D462" w14:textId="77777777" w:rsidR="004B5DD0" w:rsidRDefault="00000000">
      <w:pPr>
        <w:spacing w:before="60" w:after="120"/>
        <w:ind w:left="200"/>
      </w:pPr>
      <w:r>
        <w:rPr>
          <w:i/>
          <w:iCs/>
          <w:color w:val="333333"/>
          <w:sz w:val="19"/>
          <w:szCs w:val="19"/>
        </w:rPr>
        <w:lastRenderedPageBreak/>
        <w:t>A fully loaded box truck carrying electronic goods rolls over on a motorway on-ramp due to excessive entry speed. The vehicle is severely damaged and the cargo is destroyed. The driver sustains moderate injuries. The Damage Assessment Agent determines the driver was operating beyond safe speed for the vehicle's load and assigns a Liability Score of 0.55. Under T2 Standard, the vehicle damage of $95,000 is subject to the $100,000 CT sub-limit; applying the 65% multiplier and the $3,000 deductible yields approximately $58,500 for the truck. The cargo loss of $62,000 is subject to the $50,000 cargo sub-limit; after applying the 65% multiplier, the cargo compensation is approximately $29,500. Driver injury is not covered under CT T2 as the commercial Driver Personal Accident add-on was not active.</w:t>
      </w:r>
    </w:p>
    <w:p w14:paraId="504D6E1F" w14:textId="77777777" w:rsidR="004B5DD0" w:rsidRDefault="00000000">
      <w:pPr>
        <w:pStyle w:val="Heading2"/>
      </w:pPr>
      <w:r>
        <w:t>2.5 Class EV — Electric Vehicles</w:t>
      </w:r>
    </w:p>
    <w:p w14:paraId="45866FC8" w14:textId="77777777" w:rsidR="004B5DD0" w:rsidRDefault="00000000">
      <w:pPr>
        <w:spacing w:before="80" w:after="100"/>
      </w:pPr>
      <w:r>
        <w:rPr>
          <w:color w:val="222222"/>
        </w:rPr>
        <w:t>The Electric Vehicle class covers battery-electric vehicles (BEVs), plug-in hybrid electric vehicles (PHEVs) where the electric drivetrain is the primary means of propulsion, and range-extended electric vehicles. Conventional hybrids in which the combustion engine is primary are classified as Passenger Cars. EVs require distinct treatment because their battery packs — which can represent 40 to 60 percent of total vehicle value — present unique damage, fire, and replacement cost scenarios not addressed by conventional auto insurance provisions. Charging infrastructure damage and software-related losses are also addressed specifically within this class.</w:t>
      </w:r>
    </w:p>
    <w:p w14:paraId="517B214C" w14:textId="77777777" w:rsidR="004B5DD0" w:rsidRDefault="00000000">
      <w:pPr>
        <w:shd w:val="clear" w:color="auto" w:fill="F5F7FA"/>
        <w:spacing w:before="160" w:after="60"/>
        <w:ind w:left="200"/>
      </w:pPr>
      <w:r>
        <w:rPr>
          <w:b/>
          <w:bCs/>
          <w:color w:val="1A3F6F"/>
        </w:rPr>
        <w:t>Scenario — Electric Vehicle — Battery Thermal Runaway Fire</w:t>
      </w:r>
    </w:p>
    <w:p w14:paraId="7BB9520C" w14:textId="77777777" w:rsidR="004B5DD0" w:rsidRDefault="00000000">
      <w:pPr>
        <w:spacing w:before="60" w:after="120"/>
        <w:ind w:left="200"/>
      </w:pPr>
      <w:r>
        <w:rPr>
          <w:i/>
          <w:iCs/>
          <w:color w:val="333333"/>
          <w:sz w:val="19"/>
          <w:szCs w:val="19"/>
        </w:rPr>
        <w:t>An EV owner returns to a car park to find their vehicle engulfed in flames caused by a spontaneous thermal runaway event in the battery pack. The fire spreads to the vehicle structure, destroying it completely. Adjacent vehicle paint damage constitutes a third-party property claim. The Damage Assessment Agent confirms no driver fault; Liability Score is 0.97. The vehicle ACV is $68,000 and the battery sub-limit under T3 Premium is $80,000. Since repair cost exceeds 70% of ACV, total loss is declared. Under the Return-to-Invoice add-on (active on this policy, vehicle purchased 18 months ago for $72,000), the insured receives the original invoice value minus salvage ($3,200), yielding $68,800 after the $500 deductible. The adjacent vehicle paint damage of $4,200 is paid in full under third-party property damage coverage.</w:t>
      </w:r>
    </w:p>
    <w:p w14:paraId="0F8D96B7" w14:textId="77777777" w:rsidR="004B5DD0" w:rsidRDefault="00000000">
      <w:pPr>
        <w:pStyle w:val="Heading2"/>
      </w:pPr>
      <w:r>
        <w:t>2.6 Class CV — Commercial and Fleet Vehicles</w:t>
      </w:r>
    </w:p>
    <w:p w14:paraId="45DBA3CD" w14:textId="77777777" w:rsidR="004B5DD0" w:rsidRDefault="00000000">
      <w:pPr>
        <w:spacing w:before="80" w:after="100"/>
      </w:pPr>
      <w:r>
        <w:rPr>
          <w:color w:val="222222"/>
        </w:rPr>
        <w:t>The Commercial and Fleet class covers vehicles used to generate revenue by carrying passengers or goods for hire, including taxis, rideshare vehicles, courier motorcycles, delivery vans, rental vehicles, and entire corporate fleets operated under a single policy. This class is structured differently from personal vehicle classes because the exposure is continuous and professional — the vehicle is on the road for ten to eighteen hours per day, often in congested urban environments, carrying members of the public. Passenger liability is therefore a key feature, protecting the Company and the operator from claims by injured fare-paying passengers.</w:t>
      </w:r>
    </w:p>
    <w:p w14:paraId="1627C797" w14:textId="77777777" w:rsidR="004B5DD0" w:rsidRDefault="00000000">
      <w:pPr>
        <w:shd w:val="clear" w:color="auto" w:fill="F5F7FA"/>
        <w:spacing w:before="160" w:after="60"/>
        <w:ind w:left="200"/>
      </w:pPr>
      <w:r>
        <w:rPr>
          <w:b/>
          <w:bCs/>
          <w:color w:val="1A3F6F"/>
        </w:rPr>
        <w:t>Scenario — Rideshare Vehicle — Passenger Injury During Trip</w:t>
      </w:r>
    </w:p>
    <w:p w14:paraId="0F20B6B6" w14:textId="77777777" w:rsidR="004B5DD0" w:rsidRDefault="00000000">
      <w:pPr>
        <w:spacing w:before="60" w:after="120"/>
        <w:ind w:left="200"/>
      </w:pPr>
      <w:r>
        <w:rPr>
          <w:i/>
          <w:iCs/>
          <w:color w:val="333333"/>
          <w:sz w:val="19"/>
          <w:szCs w:val="19"/>
        </w:rPr>
        <w:t>A rideshare driver is involved in a side-impact collision while carrying two passengers. Both passengers sustain soft-tissue injuries requiring emergency treatment and follow-up physiotherapy. The driver was not at fault; the third-party driver ran a red light. Liability Score is 0.93. Under the T3 Premium CV policy, each passenger's medical and pain-and-suffering claim is covered up to $300,000 per passenger under the Passenger Liability provision. Actual medical expenses are $14,000 and $9,500 respectively; both are settled in full. The rideshare vehicle, valued at $28,000, sustains $11,000 in damage, settled under own-damage coverage after the $1,000 deductible.</w:t>
      </w:r>
    </w:p>
    <w:p w14:paraId="750E2933" w14:textId="77777777" w:rsidR="004B5DD0" w:rsidRDefault="00000000">
      <w:pPr>
        <w:pStyle w:val="Heading2"/>
      </w:pPr>
      <w:r>
        <w:t>2.7 Class SV — Specialty Vehicles</w:t>
      </w:r>
    </w:p>
    <w:p w14:paraId="3B4F7580" w14:textId="77777777" w:rsidR="004B5DD0" w:rsidRDefault="00000000">
      <w:pPr>
        <w:spacing w:before="80" w:after="100"/>
      </w:pPr>
      <w:r>
        <w:rPr>
          <w:color w:val="222222"/>
        </w:rPr>
        <w:t>Specialty Vehicles include classic or vintage automobiles (typically 25 or more years old), motorhomes, campervans, recreational vehicles (RVs), and high-value collectible automobiles. Because the market value of such vehicles may appreciate over time rather than depreciate, and because replacement parts are often rare and expensive, specialty vehicles are insured on an Agreed Value basis rather than Actual Cash Value. The Agreed Value is established at policy inception through a professional appraisal and documented in the policy schedule. It is reviewed annually.</w:t>
      </w:r>
    </w:p>
    <w:p w14:paraId="725B7F98" w14:textId="77777777" w:rsidR="004B5DD0" w:rsidRDefault="00000000">
      <w:pPr>
        <w:shd w:val="clear" w:color="auto" w:fill="F5F7FA"/>
        <w:spacing w:before="160" w:after="60"/>
        <w:ind w:left="200"/>
      </w:pPr>
      <w:r>
        <w:rPr>
          <w:b/>
          <w:bCs/>
          <w:color w:val="1A3F6F"/>
        </w:rPr>
        <w:lastRenderedPageBreak/>
        <w:t>Scenario — Classic Car — Hailstorm Damage During Storage</w:t>
      </w:r>
    </w:p>
    <w:p w14:paraId="3B3AF117" w14:textId="77777777" w:rsidR="004B5DD0" w:rsidRDefault="00000000">
      <w:pPr>
        <w:spacing w:before="60" w:after="120"/>
        <w:ind w:left="200"/>
      </w:pPr>
      <w:r>
        <w:rPr>
          <w:i/>
          <w:iCs/>
          <w:color w:val="333333"/>
          <w:sz w:val="19"/>
          <w:szCs w:val="19"/>
        </w:rPr>
        <w:t xml:space="preserve">A 1967 muscle car stored in a private garage sustains severe hail damage when a </w:t>
      </w:r>
      <w:proofErr w:type="gramStart"/>
      <w:r>
        <w:rPr>
          <w:i/>
          <w:iCs/>
          <w:color w:val="333333"/>
          <w:sz w:val="19"/>
          <w:szCs w:val="19"/>
        </w:rPr>
        <w:t>storm tears</w:t>
      </w:r>
      <w:proofErr w:type="gramEnd"/>
      <w:r>
        <w:rPr>
          <w:i/>
          <w:iCs/>
          <w:color w:val="333333"/>
          <w:sz w:val="19"/>
          <w:szCs w:val="19"/>
        </w:rPr>
        <w:t xml:space="preserve"> open the garage roof. The Agreed Value was established at $145,000 at the most recent appraisal. Repair estimates for the body panels, chrome trim, and hood total $38,000. The Damage Assessment Agent confirms a natural disaster event with no insured fault; Liability Score is 0.95. Under the SV T3 policy, the $38,000 repair cost is within the Agreed Value cap, and no depreciation applies on Agreed Value policies. After the $500 deductible, the settlement is $37,500.</w:t>
      </w:r>
    </w:p>
    <w:p w14:paraId="5F3FD765" w14:textId="77777777" w:rsidR="004B5DD0" w:rsidRDefault="00000000">
      <w:pPr>
        <w:pStyle w:val="Heading2"/>
      </w:pPr>
      <w:r>
        <w:t>2.8 Class OV — Off-Road and ATV Vehicles</w:t>
      </w:r>
    </w:p>
    <w:p w14:paraId="2F3727F1" w14:textId="77777777" w:rsidR="004B5DD0" w:rsidRDefault="00000000">
      <w:pPr>
        <w:spacing w:before="80" w:after="100"/>
      </w:pPr>
      <w:r>
        <w:rPr>
          <w:color w:val="222222"/>
        </w:rPr>
        <w:t>The Off-Road and ATV class covers all-terrain vehicles (ATVs), utility terrain vehicles (UTVs), dirt bikes, quad bikes, snowmobiles, and similar off-highway machines. These vehicles are not registered for road use and are expected to operate on unpaved terrain, trails, dunes, and farm land. Coverage is therefore calibrated around off-road collision risks, rollovers, and submersion rather than highway accident patterns. Third-party liability limits are lower than road vehicle classes reflecting the typically private or controlled environments in which these machines operate, but coverage remains available for incidents on shared trails or open events.</w:t>
      </w:r>
    </w:p>
    <w:p w14:paraId="720411C1" w14:textId="77777777" w:rsidR="004B5DD0" w:rsidRDefault="00000000">
      <w:pPr>
        <w:shd w:val="clear" w:color="auto" w:fill="F5F7FA"/>
        <w:spacing w:before="160" w:after="60"/>
        <w:ind w:left="200"/>
      </w:pPr>
      <w:r>
        <w:rPr>
          <w:b/>
          <w:bCs/>
          <w:color w:val="1A3F6F"/>
        </w:rPr>
        <w:t>Scenario — ATV — Rollover on Farm Track</w:t>
      </w:r>
    </w:p>
    <w:p w14:paraId="212A04B6" w14:textId="77777777" w:rsidR="004B5DD0" w:rsidRDefault="00000000">
      <w:pPr>
        <w:spacing w:before="60" w:after="120"/>
        <w:ind w:left="200"/>
      </w:pPr>
      <w:r>
        <w:rPr>
          <w:i/>
          <w:iCs/>
          <w:color w:val="333333"/>
          <w:sz w:val="19"/>
          <w:szCs w:val="19"/>
        </w:rPr>
        <w:t>A farmer's ATV rolls over on a steep hillside track, landing in a drainage ditch. The machine sustains severe frame damage, broken suspension components, and total loss of the accessories package including a winch, storage racks, and GPS unit. Total damage is $14,500. Liability Score is 0.72 — the terrain was known to be steep and conditions were wet, suggesting some contributory risk-taking. Under T2 Standard OV coverage with the Accessory Coverage add-on active, the $10,000 vehicle sub-limit yields $7,200 after the 85% multiplier and $750 deductible. The $2,000 accessory sub-limit yields $1,450 after applying the multiplier with no separate deductible on accessories.</w:t>
      </w:r>
    </w:p>
    <w:p w14:paraId="64038DA9" w14:textId="77777777" w:rsidR="004B5DD0" w:rsidRDefault="004B5DD0">
      <w:pPr>
        <w:pageBreakBefore/>
      </w:pPr>
    </w:p>
    <w:p w14:paraId="775E7A89" w14:textId="77777777" w:rsidR="004B5DD0" w:rsidRDefault="00000000">
      <w:pPr>
        <w:pStyle w:val="Heading1"/>
        <w:pBdr>
          <w:bottom w:val="single" w:sz="10" w:space="4" w:color="2C5F9E"/>
        </w:pBdr>
      </w:pPr>
      <w:r>
        <w:t>3. Policy Tiers — T1, T2, and T3</w:t>
      </w:r>
    </w:p>
    <w:p w14:paraId="7E8FDA6B" w14:textId="77777777" w:rsidR="004B5DD0" w:rsidRDefault="00000000">
      <w:pPr>
        <w:pStyle w:val="Heading2"/>
      </w:pPr>
      <w:r>
        <w:t>3.1 Tier T1 — Basic Protect</w:t>
      </w:r>
    </w:p>
    <w:p w14:paraId="6FBB366D" w14:textId="77777777" w:rsidR="004B5DD0" w:rsidRDefault="00000000">
      <w:pPr>
        <w:spacing w:before="80" w:after="100"/>
      </w:pPr>
      <w:r>
        <w:rPr>
          <w:color w:val="222222"/>
        </w:rPr>
        <w:t>The Basic Protect tier is the entry-level offering, designed for owners of lower-value vehicles who primarily need legal protection rather than comprehensive own-damage cover. T1 provides mandatory third-party liability coverage — protecting the insured against claims made by other road users who are injured or whose property is damaged by the insured vehicle — and covers total theft loss up to a modest sub-limit. It does not cover the insured's own vehicle for collision damage, fire, or natural disaster.</w:t>
      </w:r>
    </w:p>
    <w:p w14:paraId="7C23E1AA" w14:textId="77777777" w:rsidR="004B5DD0" w:rsidRDefault="00000000">
      <w:pPr>
        <w:spacing w:before="80" w:after="100"/>
      </w:pPr>
      <w:r>
        <w:rPr>
          <w:color w:val="222222"/>
        </w:rPr>
        <w:t>T1 is most appropriate for older vehicles whose repair cost would frequently exceed their market value, making comprehensive own-damage coverage economically irrational. It is not available for Class CV or Class SV vehicles, which carry mandatory higher coverage obligations.</w:t>
      </w:r>
    </w:p>
    <w:p w14:paraId="07953085" w14:textId="77777777" w:rsidR="004B5DD0" w:rsidRDefault="00000000">
      <w:pPr>
        <w:shd w:val="clear" w:color="auto" w:fill="F5F7FA"/>
        <w:spacing w:before="160" w:after="60"/>
        <w:ind w:left="200"/>
      </w:pPr>
      <w:r>
        <w:rPr>
          <w:b/>
          <w:bCs/>
          <w:color w:val="1A3F6F"/>
        </w:rPr>
        <w:t>Scenario — T1 Policy — Third-Party Claim After Intersection Collision</w:t>
      </w:r>
    </w:p>
    <w:p w14:paraId="0173183D" w14:textId="77777777" w:rsidR="004B5DD0" w:rsidRDefault="00000000">
      <w:pPr>
        <w:spacing w:before="60" w:after="120"/>
        <w:ind w:left="200"/>
      </w:pPr>
      <w:r>
        <w:rPr>
          <w:i/>
          <w:iCs/>
          <w:color w:val="333333"/>
          <w:sz w:val="19"/>
          <w:szCs w:val="19"/>
        </w:rPr>
        <w:t>A T1 policyholder fails to yield at an intersection and collides with an oncoming vehicle. The other vehicle sustains $12,000 in damage and the other driver requires hospitalization costing $28,000. The insured's own vehicle sustains $7,500 in damage. Under T1, the third-party property damage of $12,000 is covered in full (within the $50,000 T1 PC limit), and the third-party bodily injury of $28,000 is covered in full (within the $100,000 per-person T1 PC limit). The insured's own vehicle damage of $7,500 is not covered because T1 does not include own-damage collision coverage. The insured bears that cost personally.</w:t>
      </w:r>
    </w:p>
    <w:p w14:paraId="37759F4C" w14:textId="77777777" w:rsidR="004B5DD0" w:rsidRDefault="00000000">
      <w:pPr>
        <w:pStyle w:val="Heading2"/>
      </w:pPr>
      <w:r>
        <w:t>3.2 Tier T2 — Standard Shield</w:t>
      </w:r>
    </w:p>
    <w:p w14:paraId="366CF6DC" w14:textId="77777777" w:rsidR="004B5DD0" w:rsidRDefault="00000000">
      <w:pPr>
        <w:spacing w:before="80" w:after="100"/>
      </w:pPr>
      <w:r>
        <w:rPr>
          <w:color w:val="222222"/>
        </w:rPr>
        <w:t>Standard Shield is the most widely held tier, offering full comprehensive coverage including own-damage for collision and non-collision events, third-party liability at substantially higher limits than T1, theft, fire, natural disasters, and vandalism. It also includes medical payments coverage for the insured and named passengers, and uninsured motorist coverage. The T2 tier represents the baseline recommendation for any vehicle in current daily use with a replacement value above $10,000.</w:t>
      </w:r>
    </w:p>
    <w:p w14:paraId="0D472978" w14:textId="77777777" w:rsidR="004B5DD0" w:rsidRDefault="00000000">
      <w:pPr>
        <w:shd w:val="clear" w:color="auto" w:fill="F5F7FA"/>
        <w:spacing w:before="160" w:after="60"/>
        <w:ind w:left="200"/>
      </w:pPr>
      <w:r>
        <w:rPr>
          <w:b/>
          <w:bCs/>
          <w:color w:val="1A3F6F"/>
        </w:rPr>
        <w:t>Scenario — T2 Policy — Vehicle Stolen from Driveway</w:t>
      </w:r>
    </w:p>
    <w:p w14:paraId="7E0EA85F" w14:textId="77777777" w:rsidR="004B5DD0" w:rsidRDefault="00000000">
      <w:pPr>
        <w:spacing w:before="60" w:after="120"/>
        <w:ind w:left="200"/>
      </w:pPr>
      <w:r>
        <w:rPr>
          <w:i/>
          <w:iCs/>
          <w:color w:val="333333"/>
          <w:sz w:val="19"/>
          <w:szCs w:val="19"/>
        </w:rPr>
        <w:t>A policyholder's SUV is stolen overnight from their residential driveway. They discover the theft in the morning and immediately file a police report and notify the Company within the required 12-hour window. The vehicle's ACV at the time of theft was $32,000. The Damage Assessment Agent assigns a Liability Score of 0.94 — the vehicle was properly secured with factory immobiliser active. Under T2 Standard, the theft coverage sub-limit for this PC class vehicle is $50,000, well above the ACV. After the $750 comprehensive deductible, the settlement is $31,250. If the vehicle is recovered within 30 days in damaged condition, the insured may choose between retaining the theft settlement and surrendering the recovered vehicle to the Company, or accepting repair coverage for the damage instead.</w:t>
      </w:r>
    </w:p>
    <w:p w14:paraId="135E452B" w14:textId="77777777" w:rsidR="004B5DD0" w:rsidRDefault="00000000">
      <w:pPr>
        <w:pStyle w:val="Heading2"/>
      </w:pPr>
      <w:r>
        <w:t>3.3 Tier T3 — Premium Guard</w:t>
      </w:r>
    </w:p>
    <w:p w14:paraId="22903174" w14:textId="77777777" w:rsidR="004B5DD0" w:rsidRDefault="00000000">
      <w:pPr>
        <w:spacing w:before="80" w:after="100"/>
      </w:pPr>
      <w:r>
        <w:rPr>
          <w:color w:val="222222"/>
        </w:rPr>
        <w:t>Premium Guard is the top-tier offering, providing the highest available sub-limits across all coverage categories, the lowest deductibles, and automatic inclusion of several add-ons that require separate purchase under T2 — including zero depreciation, engine protection, roadside assistance, and key replacement. T3 is the recommended tier for high-value vehicles, electric vehicles, commercial fleets, and any policyholder who wants full financial indemnity without depreciation reductions or coverage gaps.</w:t>
      </w:r>
    </w:p>
    <w:p w14:paraId="10C5F6C6" w14:textId="77777777" w:rsidR="004B5DD0" w:rsidRDefault="00000000">
      <w:pPr>
        <w:shd w:val="clear" w:color="auto" w:fill="F5F7FA"/>
        <w:spacing w:before="160" w:after="60"/>
        <w:ind w:left="200"/>
      </w:pPr>
      <w:r>
        <w:rPr>
          <w:b/>
          <w:bCs/>
          <w:color w:val="1A3F6F"/>
        </w:rPr>
        <w:t>Scenario — T3 Policy — New Car Totalled Within First Year</w:t>
      </w:r>
    </w:p>
    <w:p w14:paraId="1598D649" w14:textId="77777777" w:rsidR="004B5DD0" w:rsidRDefault="00000000">
      <w:pPr>
        <w:spacing w:before="60" w:after="120"/>
        <w:ind w:left="200"/>
      </w:pPr>
      <w:r>
        <w:rPr>
          <w:i/>
          <w:iCs/>
          <w:color w:val="333333"/>
          <w:sz w:val="19"/>
          <w:szCs w:val="19"/>
        </w:rPr>
        <w:t xml:space="preserve">A policyholder purchased a new luxury sedan for $88,000 eleven months ago and is involved in a head-on collision that renders the vehicle beyond economic repair. The repair estimate of $74,000 exceeds 75% of the ACV of $82,000 (accounting for one year of value reduction), triggering total loss. Under T3 Premium with the New Vehicle Replacement add-on active, rather than receiving the ACV, the insured is entitled to a </w:t>
      </w:r>
      <w:r>
        <w:rPr>
          <w:i/>
          <w:iCs/>
          <w:color w:val="333333"/>
          <w:sz w:val="19"/>
          <w:szCs w:val="19"/>
        </w:rPr>
        <w:lastRenderedPageBreak/>
        <w:t>like-for-like replacement of the same make, model, and specification. The Company arranges and funds the replacement vehicle directly, with the insured paying only the $500 deductible. The salvage vehicle is retained by the Company.</w:t>
      </w:r>
    </w:p>
    <w:p w14:paraId="23616585" w14:textId="77777777" w:rsidR="004B5DD0" w:rsidRDefault="004B5DD0">
      <w:pPr>
        <w:pageBreakBefore/>
      </w:pPr>
    </w:p>
    <w:p w14:paraId="6A805F3A" w14:textId="77777777" w:rsidR="004B5DD0" w:rsidRDefault="00000000">
      <w:pPr>
        <w:pStyle w:val="Heading1"/>
        <w:pBdr>
          <w:bottom w:val="single" w:sz="10" w:space="4" w:color="2C5F9E"/>
        </w:pBdr>
      </w:pPr>
      <w:r>
        <w:t>4. Coverage Scenarios by Incident Type</w:t>
      </w:r>
    </w:p>
    <w:p w14:paraId="59D231F3" w14:textId="77777777" w:rsidR="004B5DD0" w:rsidRDefault="00000000">
      <w:pPr>
        <w:spacing w:before="80" w:after="100"/>
      </w:pPr>
      <w:r>
        <w:rPr>
          <w:color w:val="222222"/>
        </w:rPr>
        <w:t>This section describes in detail every category of incident that may give rise to a covered claim under this policy. For each incident type, the RAG Agent will find a description of the trigger conditions, the applicable coverage mechanism, the relevant sub-limits by vehicle class and tier, and illustrative scenarios. These descriptions form the primary retrieval corpus for compensation determination.</w:t>
      </w:r>
    </w:p>
    <w:p w14:paraId="6FD3171C" w14:textId="77777777" w:rsidR="004B5DD0" w:rsidRDefault="00000000">
      <w:pPr>
        <w:pStyle w:val="Heading2"/>
      </w:pPr>
      <w:r>
        <w:t>4.1 Collision Damage — Own Vehicle</w:t>
      </w:r>
    </w:p>
    <w:p w14:paraId="102A733A" w14:textId="77777777" w:rsidR="004B5DD0" w:rsidRDefault="00000000">
      <w:pPr>
        <w:spacing w:before="80" w:after="100"/>
      </w:pPr>
      <w:r>
        <w:rPr>
          <w:color w:val="222222"/>
        </w:rPr>
        <w:t>Collision damage refers to physical damage sustained by the insured vehicle as a direct result of it striking another vehicle, an object, or the road surface. This includes front-end collisions, rear-end impacts, side-swipes, single-vehicle accidents where the car hits a wall or tree, and rollovers. Collision coverage is available under T2 and T3 for all vehicle classes. Under T1 it is excluded entirely. The sub-limit for collision damage for a Passenger Car under T2 is $50,000 and under T3 is $150,000. For Commercial Trucks, the T2 limit is $100,000 and T3 is $500,000.</w:t>
      </w:r>
    </w:p>
    <w:p w14:paraId="47933AD5" w14:textId="77777777" w:rsidR="004B5DD0" w:rsidRDefault="00000000">
      <w:pPr>
        <w:spacing w:before="80" w:after="100"/>
      </w:pPr>
      <w:r>
        <w:rPr>
          <w:color w:val="222222"/>
        </w:rPr>
        <w:t>The deductible on collision claims for Passenger Cars is $1,500 under T2 and $500 under T3. Commercial Trucks carry a $3,000 T2 deductible and $1,000 under T3. These higher deductibles for trucks reflect the greater frequency of minor collision events in professional driving environments. Motorcycles carry a $1,000 T2 deductible and $500 under T3, acknowledging the lower total vehicle values in that class.</w:t>
      </w:r>
    </w:p>
    <w:p w14:paraId="7644D125" w14:textId="77777777" w:rsidR="004B5DD0" w:rsidRDefault="00000000">
      <w:pPr>
        <w:shd w:val="clear" w:color="auto" w:fill="F5F7FA"/>
        <w:spacing w:before="160" w:after="60"/>
        <w:ind w:left="200"/>
      </w:pPr>
      <w:r>
        <w:rPr>
          <w:b/>
          <w:bCs/>
          <w:color w:val="1A3F6F"/>
        </w:rPr>
        <w:t>Scenario — Passenger Car — Parking Lot Collision with Unknown Third Party</w:t>
      </w:r>
    </w:p>
    <w:p w14:paraId="49187B7E" w14:textId="77777777" w:rsidR="004B5DD0" w:rsidRDefault="00000000">
      <w:pPr>
        <w:spacing w:before="60" w:after="120"/>
        <w:ind w:left="200"/>
      </w:pPr>
      <w:r>
        <w:rPr>
          <w:i/>
          <w:iCs/>
          <w:color w:val="333333"/>
          <w:sz w:val="19"/>
          <w:szCs w:val="19"/>
        </w:rPr>
        <w:t>A policyholder returns to a car park to find their vehicle has been struck by an unknown vehicle that has left the scene. The door panel, mirror housing, and rear quarter panel are damaged. Repair estimates total $3,800. Since the third party is unknown and no liability can be apportioned to them, the Damage Assessment Agent scores the incident at 0.91 — a clean single-vehicle parking lot event. Under T2 Standard, the $3,800 claim is within the $50,000 sub-limit. After applying the 100% multiplier, subtracting 5% depreciation on the body panels (vehicle is two years old), and deducting the $1,500 collision deductible, the settlement is approximately $2,110.</w:t>
      </w:r>
    </w:p>
    <w:p w14:paraId="4B465EC6" w14:textId="77777777" w:rsidR="004B5DD0" w:rsidRDefault="00000000">
      <w:pPr>
        <w:shd w:val="clear" w:color="auto" w:fill="F5F7FA"/>
        <w:spacing w:before="160" w:after="60"/>
        <w:ind w:left="200"/>
      </w:pPr>
      <w:r>
        <w:rPr>
          <w:b/>
          <w:bCs/>
          <w:color w:val="1A3F6F"/>
        </w:rPr>
        <w:t>Scenario — Commercial Truck — Multi-Vehicle Highway Pile-Up</w:t>
      </w:r>
    </w:p>
    <w:p w14:paraId="65AEAF23" w14:textId="77777777" w:rsidR="004B5DD0" w:rsidRDefault="00000000">
      <w:pPr>
        <w:spacing w:before="60" w:after="120"/>
        <w:ind w:left="200"/>
      </w:pPr>
      <w:r>
        <w:rPr>
          <w:i/>
          <w:iCs/>
          <w:color w:val="333333"/>
          <w:sz w:val="19"/>
          <w:szCs w:val="19"/>
        </w:rPr>
        <w:t>A commercial truck is involved in a six-vehicle pile-up caused by sudden fog on a motorway. The truck sustains front-end damage and one trailer axle is destroyed. Total repair cost is $87,000. Liability is shared across several parties; the truck driver had adequate following distance but was operating near the edge of safe conditions. Liability Score is 0.68 — partial coverage applies. Under T3 Premium, the $500,000 CT sub-limit easily accommodates the claim. Applying the 65% multiplier to $87,000 gives $56,550, minus the $1,000 T3 deductible, resulting in a $55,550 settlement.</w:t>
      </w:r>
    </w:p>
    <w:p w14:paraId="7981D06A" w14:textId="77777777" w:rsidR="004B5DD0" w:rsidRDefault="00000000">
      <w:pPr>
        <w:pStyle w:val="Heading2"/>
      </w:pPr>
      <w:r>
        <w:t>4.2 Non-Collision Own Damage</w:t>
      </w:r>
    </w:p>
    <w:p w14:paraId="042578A2" w14:textId="77777777" w:rsidR="004B5DD0" w:rsidRDefault="00000000">
      <w:pPr>
        <w:spacing w:before="80" w:after="100"/>
      </w:pPr>
      <w:r>
        <w:rPr>
          <w:color w:val="222222"/>
        </w:rPr>
        <w:t>Non-collision own damage, also called comprehensive own damage, covers physical damage to the insured vehicle caused by events other than a road collision. This includes incidents where the vehicle is stationary and suffers damage from an external, uncontrolled event. The RAG Agent must confirm that the damage does not fall into any specific named peril category below — such as fire or theft — before classifying a claim as non-collision own damage. This category serves as the residual catch-all for covered damage that does not have a more specific classification.</w:t>
      </w:r>
    </w:p>
    <w:p w14:paraId="2C9197B9" w14:textId="77777777" w:rsidR="004B5DD0" w:rsidRDefault="00000000">
      <w:pPr>
        <w:shd w:val="clear" w:color="auto" w:fill="F5F7FA"/>
        <w:spacing w:before="160" w:after="60"/>
        <w:ind w:left="200"/>
      </w:pPr>
      <w:r>
        <w:rPr>
          <w:b/>
          <w:bCs/>
          <w:color w:val="1A3F6F"/>
        </w:rPr>
        <w:t>Scenario — Passenger Car — Fallen Tree Branch</w:t>
      </w:r>
    </w:p>
    <w:p w14:paraId="687668E0" w14:textId="77777777" w:rsidR="004B5DD0" w:rsidRDefault="00000000">
      <w:pPr>
        <w:spacing w:before="60" w:after="120"/>
        <w:ind w:left="200"/>
      </w:pPr>
      <w:r>
        <w:rPr>
          <w:i/>
          <w:iCs/>
          <w:color w:val="333333"/>
          <w:sz w:val="19"/>
          <w:szCs w:val="19"/>
        </w:rPr>
        <w:t>During a severe windstorm, a large tree branch falls on a parked vehicle, crushing the roof and shattering the windshield. The vehicle is not recoverable. Repair estimates for the roof structure and glass exceed $22,000. The Damage Assessment Agent classifies this as non-collision own damage — a natural force acting on a stationary vehicle. Liability Score is 0.97. Under T2 Standard, the $22,000 claim is within the $50,000 sub-</w:t>
      </w:r>
      <w:r>
        <w:rPr>
          <w:i/>
          <w:iCs/>
          <w:color w:val="333333"/>
          <w:sz w:val="19"/>
          <w:szCs w:val="19"/>
        </w:rPr>
        <w:lastRenderedPageBreak/>
        <w:t>limit. No depreciation applies to glass; 10% applies to the roof panel on a three-year-old vehicle. After deductions and the $750 comprehensive deductible, the settlement is approximately $18,950.</w:t>
      </w:r>
    </w:p>
    <w:p w14:paraId="21A23CF5" w14:textId="77777777" w:rsidR="004B5DD0" w:rsidRDefault="00000000">
      <w:pPr>
        <w:pStyle w:val="Heading2"/>
      </w:pPr>
      <w:r>
        <w:t>4.3 Fire and Explosion Damage</w:t>
      </w:r>
    </w:p>
    <w:p w14:paraId="680945D6" w14:textId="77777777" w:rsidR="004B5DD0" w:rsidRDefault="00000000">
      <w:pPr>
        <w:spacing w:before="80" w:after="100"/>
      </w:pPr>
      <w:r>
        <w:rPr>
          <w:color w:val="222222"/>
        </w:rPr>
        <w:t>Fire and explosion coverage applies when the insured vehicle sustains damage as a direct result of an accidental fire, whether the fire originates within the vehicle — such as from an electrical fault, fuel system failure, or engine overheating — or from an external source such as a burning adjacent vehicle, a garage fire, or a wildfire. Arson or intentional fire is explicitly excluded and will be referred to law enforcement. The insured must notify the Company immediately and within six hours of discovering the fire, and a fire department report must be submitted with the claim.</w:t>
      </w:r>
    </w:p>
    <w:p w14:paraId="46C923D8" w14:textId="77777777" w:rsidR="004B5DD0" w:rsidRDefault="00000000">
      <w:pPr>
        <w:spacing w:before="80" w:after="100"/>
      </w:pPr>
      <w:r>
        <w:rPr>
          <w:color w:val="222222"/>
        </w:rPr>
        <w:t>For Electric Vehicles, fire resulting from thermal runaway in the battery pack is a specific named peril with its own sub-limit under the EV class. For all other vehicle classes, the fire sub-limit equals the own-damage collision sub-limit for that class and tier. Commercial Trucks with hazardous cargo add an Environmental Liability dimension, as fire damage to a chemical or fuel cargo can result in ground contamination claims from third parties.</w:t>
      </w:r>
    </w:p>
    <w:p w14:paraId="2D70EE09" w14:textId="77777777" w:rsidR="004B5DD0" w:rsidRDefault="00000000">
      <w:pPr>
        <w:shd w:val="clear" w:color="auto" w:fill="F5F7FA"/>
        <w:spacing w:before="160" w:after="60"/>
        <w:ind w:left="200"/>
      </w:pPr>
      <w:r>
        <w:rPr>
          <w:b/>
          <w:bCs/>
          <w:color w:val="1A3F6F"/>
        </w:rPr>
        <w:t>Scenario — Passenger Car — Engine Compartment Fire from Wiring Fault</w:t>
      </w:r>
    </w:p>
    <w:p w14:paraId="60689D91" w14:textId="77777777" w:rsidR="004B5DD0" w:rsidRDefault="00000000">
      <w:pPr>
        <w:spacing w:before="60" w:after="120"/>
        <w:ind w:left="200"/>
      </w:pPr>
      <w:r>
        <w:rPr>
          <w:i/>
          <w:iCs/>
          <w:color w:val="333333"/>
          <w:sz w:val="19"/>
          <w:szCs w:val="19"/>
        </w:rPr>
        <w:t>A five-year-old sedan develops a fire in the engine bay while parked in a residential street, caused by chafed wiring contacting the intake manifold. The fire spreads to the firewall, dashboard, and front seats before the fire brigade extinguishes it. Total damage is $34,000, exceeding 75% of the vehicle's ACV of $41,000, triggering total loss. Liability Score is 0.93 — the cause was a latent manufacturing-adjacent wiring fault rather than owner negligence. Under T2 Standard, the vehicle's ACV of $41,000 is within the $50,000 sub-limit. After the $750 comprehensive deductible, the settlement is $40,250.</w:t>
      </w:r>
    </w:p>
    <w:p w14:paraId="2871BCC3" w14:textId="77777777" w:rsidR="004B5DD0" w:rsidRDefault="00000000">
      <w:pPr>
        <w:shd w:val="clear" w:color="auto" w:fill="F5F7FA"/>
        <w:spacing w:before="160" w:after="60"/>
        <w:ind w:left="200"/>
      </w:pPr>
      <w:r>
        <w:rPr>
          <w:b/>
          <w:bCs/>
          <w:color w:val="1A3F6F"/>
        </w:rPr>
        <w:t>Scenario — Electric Vehicle — Charging Station Fire</w:t>
      </w:r>
    </w:p>
    <w:p w14:paraId="2E634CB3" w14:textId="77777777" w:rsidR="004B5DD0" w:rsidRDefault="00000000">
      <w:pPr>
        <w:spacing w:before="60" w:after="120"/>
        <w:ind w:left="200"/>
      </w:pPr>
      <w:r>
        <w:rPr>
          <w:i/>
          <w:iCs/>
          <w:color w:val="333333"/>
          <w:sz w:val="19"/>
          <w:szCs w:val="19"/>
        </w:rPr>
        <w:t>An EV is connected to a public fast-charging station overnight when the charging station's power supply unit fails catastrophically, causing a sustained high-voltage surge that ignites the vehicle's battery management system. The vehicle is destroyed. A second EV parked adjacent is also damaged. Liability Score is 0.96. Under T3 Premium EV, the vehicle ACV of $62,000 is paid less the $500 deductible. Third-party property damage for the adjacent vehicle's $9,500 repair is fully covered under TPL. The charging station operator also faces a potential subrogation claim from the Company.</w:t>
      </w:r>
    </w:p>
    <w:p w14:paraId="328229EC" w14:textId="77777777" w:rsidR="004B5DD0" w:rsidRDefault="00000000">
      <w:pPr>
        <w:pStyle w:val="Heading2"/>
      </w:pPr>
      <w:r>
        <w:t>4.4 Theft and Attempted Theft</w:t>
      </w:r>
    </w:p>
    <w:p w14:paraId="468F13BB" w14:textId="77777777" w:rsidR="004B5DD0" w:rsidRDefault="00000000">
      <w:pPr>
        <w:spacing w:before="80" w:after="100"/>
      </w:pPr>
      <w:r>
        <w:rPr>
          <w:color w:val="222222"/>
        </w:rPr>
        <w:t>Theft coverage is activated when the insured vehicle is stolen in its entirety. Partial theft — such as the removal of alloy wheels, catalytic converters, the battery (in EVs), in-car entertainment systems, or other components — is also covered under the comprehensive own damage provision, subject to the same sub-limits and deductibles. The insured must notify the Company within twelve hours of discovering the theft and must file a police report. Failure to meet the twelve-hour notification window may result in a reduction of up to 50 percent of the settlement or outright denial at the RAG Agent's discretion.</w:t>
      </w:r>
    </w:p>
    <w:p w14:paraId="79F4D455" w14:textId="77777777" w:rsidR="004B5DD0" w:rsidRDefault="00000000">
      <w:pPr>
        <w:spacing w:before="80" w:after="100"/>
      </w:pPr>
      <w:r>
        <w:rPr>
          <w:color w:val="222222"/>
        </w:rPr>
        <w:t>If the stolen vehicle is recovered within 30 days before settlement is made, the Company will offer repair coverage for any damage sustained during the theft rather than a total loss settlement. If recovered after settlement is made, the recovered vehicle becomes the property of the Company. Theft by deception — such as when a buyer takes a vehicle for a test drive and does not return it — is covered under the theft provision only if a police report confirming the deception has been filed.</w:t>
      </w:r>
    </w:p>
    <w:p w14:paraId="4082B432" w14:textId="77777777" w:rsidR="004B5DD0" w:rsidRDefault="00000000">
      <w:pPr>
        <w:shd w:val="clear" w:color="auto" w:fill="F5F7FA"/>
        <w:spacing w:before="160" w:after="60"/>
        <w:ind w:left="200"/>
      </w:pPr>
      <w:r>
        <w:rPr>
          <w:b/>
          <w:bCs/>
          <w:color w:val="1A3F6F"/>
        </w:rPr>
        <w:t>Scenario — Motorcycle — Theft from Secured Compound</w:t>
      </w:r>
    </w:p>
    <w:p w14:paraId="7147AA9E" w14:textId="77777777" w:rsidR="004B5DD0" w:rsidRDefault="00000000">
      <w:pPr>
        <w:spacing w:before="60" w:after="120"/>
        <w:ind w:left="200"/>
      </w:pPr>
      <w:r>
        <w:rPr>
          <w:i/>
          <w:iCs/>
          <w:color w:val="333333"/>
          <w:sz w:val="19"/>
          <w:szCs w:val="19"/>
        </w:rPr>
        <w:t>A motorcyclist parks their touring bike in a locked and CCTV-monitored parking compound. When they return eight hours later, the bike is gone. The CCTV footage shows two individuals cutting through the compound gate and loading the motorcycle into a van. The owner files a police report within two hours and notifies the Company within four hours. Liability Score is 0.96. Under T2 Standard MC, the motorcycle's ACV of $13,500 is within the $15,000 theft sub-limit. After the $500 comprehensive deductible, the settlement is $13,000.</w:t>
      </w:r>
    </w:p>
    <w:p w14:paraId="65696209" w14:textId="77777777" w:rsidR="004B5DD0" w:rsidRDefault="00000000">
      <w:pPr>
        <w:shd w:val="clear" w:color="auto" w:fill="F5F7FA"/>
        <w:spacing w:before="160" w:after="60"/>
        <w:ind w:left="200"/>
      </w:pPr>
      <w:r>
        <w:rPr>
          <w:b/>
          <w:bCs/>
          <w:color w:val="1A3F6F"/>
        </w:rPr>
        <w:t>Scenario — Passenger Car — Catalytic Converter Theft</w:t>
      </w:r>
    </w:p>
    <w:p w14:paraId="16E2F02E" w14:textId="77777777" w:rsidR="004B5DD0" w:rsidRDefault="00000000">
      <w:pPr>
        <w:spacing w:before="60" w:after="120"/>
        <w:ind w:left="200"/>
      </w:pPr>
      <w:r>
        <w:rPr>
          <w:i/>
          <w:iCs/>
          <w:color w:val="333333"/>
          <w:sz w:val="19"/>
          <w:szCs w:val="19"/>
        </w:rPr>
        <w:lastRenderedPageBreak/>
        <w:t>A policyholder discovers their vehicle will not start due to the catalytic converter having been sawn off overnight. Further inspection reveals the exhaust system was partially severed and the oxygen sensor wiring was damaged during the theft. Total repair cost is $2,100. This is partial theft under the comprehensive own-damage provision. Liability Score is 0.95. Under T2 Standard with a $750 deductible, the settlement is approximately $1,250 after applying 10% depreciation to the exhaust components on this four-year-old vehicle.</w:t>
      </w:r>
    </w:p>
    <w:p w14:paraId="1B24C052" w14:textId="77777777" w:rsidR="004B5DD0" w:rsidRDefault="00000000">
      <w:pPr>
        <w:pStyle w:val="Heading2"/>
      </w:pPr>
      <w:r>
        <w:t>4.5 Natural Disaster Damage</w:t>
      </w:r>
    </w:p>
    <w:p w14:paraId="6BF2D8B0" w14:textId="77777777" w:rsidR="004B5DD0" w:rsidRDefault="00000000">
      <w:pPr>
        <w:spacing w:before="80" w:after="100"/>
      </w:pPr>
      <w:r>
        <w:rPr>
          <w:color w:val="222222"/>
        </w:rPr>
        <w:t>Natural disaster coverage applies when the insured vehicle sustains damage as a direct result of a qualifying natural event, including floods, hurricanes and tropical cyclones, tornadoes, earthquakes, lightning strikes, hailstorms, tsunamis, and landslides. The insured must notify the Company within 48 hours of the disaster event and must provide a weather authority certification or government-declared disaster declaration confirming the event occurred in the relevant geographic area. Damage that appears consistent with a natural disaster but occurred in an area with no recorded weather event at the relevant time will be treated as unexplained damage and investigated further.</w:t>
      </w:r>
    </w:p>
    <w:p w14:paraId="5E6FBC0A" w14:textId="77777777" w:rsidR="004B5DD0" w:rsidRDefault="00000000">
      <w:pPr>
        <w:spacing w:before="80" w:after="100"/>
      </w:pPr>
      <w:r>
        <w:rPr>
          <w:color w:val="222222"/>
        </w:rPr>
        <w:t>For flooding specifically, the Company distinguishes between surface water flooding — where rainwater accumulates on roads and enters low-lying vehicles — which is covered, and flood damage resulting from driving into a known flooded area against road closure signage or emergency services advice, which reduces the Liability Score substantially. An insured who drives into a flooded underpass after ignoring barrier signage will receive a significantly reduced settlement compared to one whose parked vehicle was submerged by rising flood water overnight.</w:t>
      </w:r>
    </w:p>
    <w:p w14:paraId="7F8DBF3E" w14:textId="77777777" w:rsidR="004B5DD0" w:rsidRDefault="00000000">
      <w:pPr>
        <w:shd w:val="clear" w:color="auto" w:fill="F5F7FA"/>
        <w:spacing w:before="160" w:after="60"/>
        <w:ind w:left="200"/>
      </w:pPr>
      <w:r>
        <w:rPr>
          <w:b/>
          <w:bCs/>
          <w:color w:val="1A3F6F"/>
        </w:rPr>
        <w:t>Scenario — Passenger Car — Flash Flood Submersion</w:t>
      </w:r>
    </w:p>
    <w:p w14:paraId="7BEEB823" w14:textId="77777777" w:rsidR="004B5DD0" w:rsidRDefault="00000000">
      <w:pPr>
        <w:spacing w:before="60" w:after="120"/>
        <w:ind w:left="200"/>
      </w:pPr>
      <w:r>
        <w:rPr>
          <w:i/>
          <w:iCs/>
          <w:color w:val="333333"/>
          <w:sz w:val="19"/>
          <w:szCs w:val="19"/>
        </w:rPr>
        <w:t>A severe overnight flash flood submerges a residential street to a depth of four feet. A policyholder's vehicle, parked legally on the street, is submerged for six hours before the water recedes. Water ingress destroys the engine, the interior electrical systems, and the transmission. Total loss is declared as repair costs exceed 75% of ACV. The insured did nothing unreasonable; Liability Score is 0.97. Under T2 Standard, the ACV of $27,000 is within the $50,000 sub-limit, and after the $750 deductible the settlement is $26,250.</w:t>
      </w:r>
    </w:p>
    <w:p w14:paraId="101B186B" w14:textId="77777777" w:rsidR="004B5DD0" w:rsidRDefault="00000000">
      <w:pPr>
        <w:shd w:val="clear" w:color="auto" w:fill="F5F7FA"/>
        <w:spacing w:before="160" w:after="60"/>
        <w:ind w:left="200"/>
      </w:pPr>
      <w:r>
        <w:rPr>
          <w:b/>
          <w:bCs/>
          <w:color w:val="1A3F6F"/>
        </w:rPr>
        <w:t>Scenario — Passenger Car — Driving into Flooded Road</w:t>
      </w:r>
    </w:p>
    <w:p w14:paraId="7A848487" w14:textId="77777777" w:rsidR="004B5DD0" w:rsidRDefault="00000000">
      <w:pPr>
        <w:spacing w:before="60" w:after="120"/>
        <w:ind w:left="200"/>
      </w:pPr>
      <w:r>
        <w:rPr>
          <w:i/>
          <w:iCs/>
          <w:color w:val="333333"/>
          <w:sz w:val="19"/>
          <w:szCs w:val="19"/>
        </w:rPr>
        <w:t>A policyholder ignores road-closed barriers and drives into a flooded underpass. The vehicle stalls and is submerged. Engine hydrostatic lock and interior damage total $19,000. The Damage Assessment Agent determines the insured deliberately drove past warning signage; Liability Score is 0.38. Under T2 Standard, the 40% multiplier is applied to the $19,000 repair cost, yielding $7,600. After applying 5% depreciation and the $1,500 collision deductible, the settlement is approximately $5,550. Had the Engine Protection add-on been active, the hydrostatic lock damage alone (a $12,000 component of the total) would have been calculated against its own $500 deductible, potentially yielding a slightly higher recovery on that specific component.</w:t>
      </w:r>
    </w:p>
    <w:p w14:paraId="48DD3012" w14:textId="77777777" w:rsidR="004B5DD0" w:rsidRDefault="00000000">
      <w:pPr>
        <w:pStyle w:val="Heading2"/>
      </w:pPr>
      <w:r>
        <w:t>4.6 Hailstorm Damage</w:t>
      </w:r>
    </w:p>
    <w:p w14:paraId="6889F449" w14:textId="77777777" w:rsidR="004B5DD0" w:rsidRDefault="00000000">
      <w:pPr>
        <w:spacing w:before="80" w:after="100"/>
      </w:pPr>
      <w:r>
        <w:rPr>
          <w:color w:val="222222"/>
        </w:rPr>
        <w:t>Hailstorm damage is a sub-category of natural disaster and is treated identically for coverage purposes. It is called out separately because hail damage — characterized by numerous small dents across the vehicle roof, bonnet, and boot panels — is both very common in certain geographic regions and frequently results in disputes over whether pre-existing paint or panel imperfections were caused by hail or prior unreported damage. The RAG Agent should note that the Damage Assessment Agent is responsible for documenting pre-existing condition at claim time; if the Damage Assessment Agent confirms hail patterns consistent with a reported storm event, coverage proceeds under the natural disaster provision.</w:t>
      </w:r>
    </w:p>
    <w:p w14:paraId="0F6D74E1" w14:textId="77777777" w:rsidR="004B5DD0" w:rsidRDefault="00000000">
      <w:pPr>
        <w:shd w:val="clear" w:color="auto" w:fill="F5F7FA"/>
        <w:spacing w:before="160" w:after="60"/>
        <w:ind w:left="200"/>
      </w:pPr>
      <w:r>
        <w:rPr>
          <w:b/>
          <w:bCs/>
          <w:color w:val="1A3F6F"/>
        </w:rPr>
        <w:t>Scenario — SUV — Hailstorm Damage to Roof and Bonnet</w:t>
      </w:r>
    </w:p>
    <w:p w14:paraId="7529A5D7" w14:textId="77777777" w:rsidR="004B5DD0" w:rsidRDefault="00000000">
      <w:pPr>
        <w:spacing w:before="60" w:after="120"/>
        <w:ind w:left="200"/>
      </w:pPr>
      <w:r>
        <w:rPr>
          <w:i/>
          <w:iCs/>
          <w:color w:val="333333"/>
          <w:sz w:val="19"/>
          <w:szCs w:val="19"/>
        </w:rPr>
        <w:t xml:space="preserve">A policyholder's large SUV is parked outdoors during a severe hailstorm producing golf-ball-sized hailstones. The vehicle sustains over 200 dents across the roof, bonnet, and boot lid. The windshield is cracked. The Damage Assessment Agent confirms the damage pattern is consistent with the reported hailstorm and that no pre-existing dents are visible in pre-loss photos on file. Total repair cost using paintless dent repair plus </w:t>
      </w:r>
      <w:r>
        <w:rPr>
          <w:i/>
          <w:iCs/>
          <w:color w:val="333333"/>
          <w:sz w:val="19"/>
          <w:szCs w:val="19"/>
        </w:rPr>
        <w:lastRenderedPageBreak/>
        <w:t>windshield replacement is $7,400. Liability Score is 0.97. Under T2 Standard, after the $750 comprehensive deductible, the settlement is $6,650.</w:t>
      </w:r>
    </w:p>
    <w:p w14:paraId="59CC1B98" w14:textId="77777777" w:rsidR="004B5DD0" w:rsidRDefault="00000000">
      <w:pPr>
        <w:pStyle w:val="Heading2"/>
      </w:pPr>
      <w:r>
        <w:t>4.7 Vandalism and Malicious Damage</w:t>
      </w:r>
    </w:p>
    <w:p w14:paraId="064B850B" w14:textId="77777777" w:rsidR="004B5DD0" w:rsidRDefault="00000000">
      <w:pPr>
        <w:spacing w:before="80" w:after="100"/>
      </w:pPr>
      <w:r>
        <w:rPr>
          <w:color w:val="222222"/>
        </w:rPr>
        <w:t>Vandalism coverage applies when the insured vehicle is deliberately damaged by a third party acting maliciously, with no legitimate purpose. Common vandalism claims include keyed paintwork, smashed windows, slashed tyres, broken mirrors, and graffiti on the vehicle body. The insured must file a police report for all vandalism claims and must notify the Company within 24 hours. Vandalism coverage is available from Tier T2 upward; it is not included in T1.</w:t>
      </w:r>
    </w:p>
    <w:p w14:paraId="1A3B9CEA" w14:textId="77777777" w:rsidR="004B5DD0" w:rsidRDefault="00000000">
      <w:pPr>
        <w:spacing w:before="80" w:after="100"/>
      </w:pPr>
      <w:r>
        <w:rPr>
          <w:color w:val="222222"/>
        </w:rPr>
        <w:t>Importantly, vandalism that is suspected to be targeted — such as damage to a vehicle following a documented neighbour dispute or a business rivalry — may prompt the RAG Agent to flag the claim for investigation before settlement. The Company's obligation to pay does not depend on identifying the perpetrator, but it does depend on confirming the damage was not inflicted by or at the direction of the insured.</w:t>
      </w:r>
    </w:p>
    <w:p w14:paraId="7BFF6D09" w14:textId="77777777" w:rsidR="004B5DD0" w:rsidRDefault="00000000">
      <w:pPr>
        <w:shd w:val="clear" w:color="auto" w:fill="F5F7FA"/>
        <w:spacing w:before="160" w:after="60"/>
        <w:ind w:left="200"/>
      </w:pPr>
      <w:r>
        <w:rPr>
          <w:b/>
          <w:bCs/>
          <w:color w:val="1A3F6F"/>
        </w:rPr>
        <w:t>Scenario — Passenger Car — Keyed Paintwork and Broken Mirrors</w:t>
      </w:r>
    </w:p>
    <w:p w14:paraId="1106DCAC" w14:textId="77777777" w:rsidR="004B5DD0" w:rsidRDefault="00000000">
      <w:pPr>
        <w:spacing w:before="60" w:after="120"/>
        <w:ind w:left="200"/>
      </w:pPr>
      <w:r>
        <w:rPr>
          <w:i/>
          <w:iCs/>
          <w:color w:val="333333"/>
          <w:sz w:val="19"/>
          <w:szCs w:val="19"/>
        </w:rPr>
        <w:t>A policyholder's car is found in a public car park with a long scratch running the full length of both sides, both wing mirrors smashed, and the word obscene language spray-painted on the boot. Police are notified and a case reference is obtained. The Damage Assessment Agent estimates full respray costs and mirror replacement at $5,600. Liability Score is 0.93. Under T2 Standard, after applying the 100% multiplier and 5% paint depreciation (two-year-old vehicle) and the $750 comprehensive deductible, the settlement is approximately $4,570.</w:t>
      </w:r>
    </w:p>
    <w:p w14:paraId="4F4C6343" w14:textId="77777777" w:rsidR="004B5DD0" w:rsidRDefault="00000000">
      <w:pPr>
        <w:pStyle w:val="Heading2"/>
      </w:pPr>
      <w:r>
        <w:t>4.8 Third-Party Liability — Bodily Injury</w:t>
      </w:r>
    </w:p>
    <w:p w14:paraId="4088E4B2" w14:textId="77777777" w:rsidR="004B5DD0" w:rsidRDefault="00000000">
      <w:pPr>
        <w:spacing w:before="80" w:after="100"/>
      </w:pPr>
      <w:r>
        <w:rPr>
          <w:color w:val="222222"/>
        </w:rPr>
        <w:t>Third-party bodily injury liability coverage protects the insured against legal claims made by persons who are injured as a result of the insured vehicle being operated by the insured or any named driver. This includes pedestrians struck by the vehicle, occupants of other vehicles involved in a collision, cyclists, and any bystander injured in the incident. The coverage pays for the injured person's medical treatment, rehabilitation, lost income, pain and suffering, and any other damages awarded by a court or agreed in a settlement.</w:t>
      </w:r>
    </w:p>
    <w:p w14:paraId="5EBA54F5" w14:textId="77777777" w:rsidR="004B5DD0" w:rsidRDefault="00000000">
      <w:pPr>
        <w:spacing w:before="80" w:after="100"/>
      </w:pPr>
      <w:r>
        <w:rPr>
          <w:color w:val="222222"/>
        </w:rPr>
        <w:t>The per-person and per-occurrence limits vary by vehicle class and tier. A Passenger Car T2 policy provides $300,000 per injured person and $600,000 per occurrence — meaning if three people are injured in a single incident, each may claim up to $300,000, but the Company's total exposure per occurrence is capped at $600,000. Commercial Trucks under T3 provide $1,000,000 per person and $3,000,000 per occurrence, reflecting the catastrophic potential of a heavy vehicle collision. The Company's defense costs are in addition to these limits.</w:t>
      </w:r>
    </w:p>
    <w:p w14:paraId="2D5A221B" w14:textId="77777777" w:rsidR="004B5DD0" w:rsidRDefault="00000000">
      <w:pPr>
        <w:shd w:val="clear" w:color="auto" w:fill="F5F7FA"/>
        <w:spacing w:before="160" w:after="60"/>
        <w:ind w:left="200"/>
      </w:pPr>
      <w:r>
        <w:rPr>
          <w:b/>
          <w:bCs/>
          <w:color w:val="1A3F6F"/>
        </w:rPr>
        <w:t>Scenario — Passenger Car — Pedestrian Fatality</w:t>
      </w:r>
    </w:p>
    <w:p w14:paraId="75DB3D3F" w14:textId="77777777" w:rsidR="004B5DD0" w:rsidRDefault="00000000">
      <w:pPr>
        <w:spacing w:before="60" w:after="120"/>
        <w:ind w:left="200"/>
      </w:pPr>
      <w:r>
        <w:rPr>
          <w:i/>
          <w:iCs/>
          <w:color w:val="333333"/>
          <w:sz w:val="19"/>
          <w:szCs w:val="19"/>
        </w:rPr>
        <w:t>A policyholder, distracted at low speed in a school zone, strikes a pedestrian crossing a marked zebra crossing. The pedestrian sustains fatal injuries. The family pursues a wrongful death claim. The Damage Assessment Agent scores the incident at 0.61 — the insured was not speeding but was inattentive, contributing significantly to the failure to stop. Under T2 Standard, the bodily injury per-person limit is $300,000. Legal defense costs are provided separately up to 25% of the per-occurrence limit. The Company negotiates a settlement of $290,000 within policy limits and pays defense legal fees of $41,000. The insured has no further personal financial liability to the third party for this incident under the policy.</w:t>
      </w:r>
    </w:p>
    <w:p w14:paraId="76C9991D" w14:textId="77777777" w:rsidR="004B5DD0" w:rsidRDefault="00000000">
      <w:pPr>
        <w:pStyle w:val="Heading2"/>
      </w:pPr>
      <w:r>
        <w:t>4.9 Third-Party Liability — Property Damage</w:t>
      </w:r>
    </w:p>
    <w:p w14:paraId="2F03D7DC" w14:textId="77777777" w:rsidR="004B5DD0" w:rsidRDefault="00000000">
      <w:pPr>
        <w:spacing w:before="80" w:after="100"/>
      </w:pPr>
      <w:r>
        <w:rPr>
          <w:color w:val="222222"/>
        </w:rPr>
        <w:t xml:space="preserve">Third-party property damage liability covers the insured's legal obligation to pay for damage caused to another person's property by the insured vehicle. This most commonly involves damage to other vehicles in a collision, but also extends to damage to road infrastructure such as barriers, lamp posts, and traffic signals, damage to buildings or storefronts where the vehicle has left the road, and damage to cargo or </w:t>
      </w:r>
      <w:r>
        <w:rPr>
          <w:color w:val="222222"/>
        </w:rPr>
        <w:lastRenderedPageBreak/>
        <w:t>goods being transported in a third-party vehicle. Garden walls, fences, parked bicycles, and personal property in public spaces are also covered under this provision.</w:t>
      </w:r>
    </w:p>
    <w:p w14:paraId="417CE32C" w14:textId="77777777" w:rsidR="004B5DD0" w:rsidRDefault="00000000">
      <w:pPr>
        <w:shd w:val="clear" w:color="auto" w:fill="F5F7FA"/>
        <w:spacing w:before="160" w:after="60"/>
        <w:ind w:left="200"/>
      </w:pPr>
      <w:r>
        <w:rPr>
          <w:b/>
          <w:bCs/>
          <w:color w:val="1A3F6F"/>
        </w:rPr>
        <w:t>Scenario — Motorcycle — Loss of Control into Garden Wall</w:t>
      </w:r>
    </w:p>
    <w:p w14:paraId="6F23D710" w14:textId="77777777" w:rsidR="004B5DD0" w:rsidRDefault="00000000">
      <w:pPr>
        <w:spacing w:before="60" w:after="120"/>
        <w:ind w:left="200"/>
      </w:pPr>
      <w:r>
        <w:rPr>
          <w:i/>
          <w:iCs/>
          <w:color w:val="333333"/>
          <w:sz w:val="19"/>
          <w:szCs w:val="19"/>
        </w:rPr>
        <w:t>A motorcyclist loses control on a country road and crashes into a stone garden wall belonging to a residential property, demolishing a six-metre section. The property owner files a claim against the motorcyclist for wall reconstruction costing $8,400. The motorcyclist's own bike sustains $4,200 in damage. Liability Score is 0.81 — road surface quality contributed marginally but the speed was at the upper limit for conditions. Under T2 Standard MC, the third-party property damage of $8,400 is within the $75,000 limit and is paid in full (third-party claims are not subject to the liability score reduction — the insured's liability to the third party is separate from the Company's own-damage calculation). The motorcycle damage of $4,200 attracts the 85% multiplier before the $1,000 deductible.</w:t>
      </w:r>
    </w:p>
    <w:p w14:paraId="4CFE76F9" w14:textId="77777777" w:rsidR="004B5DD0" w:rsidRDefault="00000000">
      <w:pPr>
        <w:pStyle w:val="Heading2"/>
      </w:pPr>
      <w:r>
        <w:t>4.10 Medical Payments Coverage</w:t>
      </w:r>
    </w:p>
    <w:p w14:paraId="59271987" w14:textId="77777777" w:rsidR="004B5DD0" w:rsidRDefault="00000000">
      <w:pPr>
        <w:spacing w:before="80" w:after="100"/>
      </w:pPr>
      <w:r>
        <w:rPr>
          <w:color w:val="222222"/>
        </w:rPr>
        <w:t>Medical payments coverage pays for the reasonable and necessary medical expenses incurred by the insured and any passengers in the insured vehicle as a result of a covered accident, regardless of fault. This coverage is available under T2 and T3 tiers for Passenger Cars and Electric Vehicles. It is distinct from third-party bodily injury liability because it applies to the insured's own medical costs rather than claims from third parties. Common expenses covered include emergency room fees, ambulance transportation, surgery, hospitalization, physiotherapy, and prescribed medication directly resulting from the accident injuries.</w:t>
      </w:r>
    </w:p>
    <w:p w14:paraId="4C0B3F89" w14:textId="77777777" w:rsidR="004B5DD0" w:rsidRDefault="00000000">
      <w:pPr>
        <w:shd w:val="clear" w:color="auto" w:fill="F5F7FA"/>
        <w:spacing w:before="160" w:after="60"/>
        <w:ind w:left="200"/>
      </w:pPr>
      <w:r>
        <w:rPr>
          <w:b/>
          <w:bCs/>
          <w:color w:val="1A3F6F"/>
        </w:rPr>
        <w:t>Scenario — Family SUV — Rollover on Mountain Road</w:t>
      </w:r>
    </w:p>
    <w:p w14:paraId="66914F65" w14:textId="77777777" w:rsidR="004B5DD0" w:rsidRDefault="00000000">
      <w:pPr>
        <w:spacing w:before="60" w:after="120"/>
        <w:ind w:left="200"/>
      </w:pPr>
      <w:r>
        <w:rPr>
          <w:i/>
          <w:iCs/>
          <w:color w:val="333333"/>
          <w:sz w:val="19"/>
          <w:szCs w:val="19"/>
        </w:rPr>
        <w:t>A family SUV carrying four occupants rolls over on a mountain road. All four occupants sustain injuries of varying severity: the driver has a broken collarbone; one passenger has a fractured pelvis; two rear passengers have lacerations and concussion. Total medical expenses for all four occupants across emergency care and rehabilitation are $41,000. The Damage Assessment Agent scores the incident at 0.78 — the driver was cornering slightly too fast. Under T2 Standard, the medical payments limit is $10,000 per person. The driver and passenger with major injuries each claim up to the $10,000 limit; the two rear passengers each claim $5,500 and $3,800 respectively — all within limits. Total medical settlement is $29,300, being $10,000 plus $10,000 plus $5,500 plus $3,800. The remaining $11,700 in medical costs exceeds the individual sub-limits and must be addressed by the individuals through health insurance or other means.</w:t>
      </w:r>
    </w:p>
    <w:p w14:paraId="6F9FD3B8" w14:textId="77777777" w:rsidR="004B5DD0" w:rsidRDefault="00000000">
      <w:pPr>
        <w:pStyle w:val="Heading2"/>
      </w:pPr>
      <w:r>
        <w:t>4.11 Uninsured and Underinsured Motorist Coverage</w:t>
      </w:r>
    </w:p>
    <w:p w14:paraId="618A279D" w14:textId="77777777" w:rsidR="004B5DD0" w:rsidRDefault="00000000">
      <w:pPr>
        <w:spacing w:before="80" w:after="100"/>
      </w:pPr>
      <w:r>
        <w:rPr>
          <w:color w:val="222222"/>
        </w:rPr>
        <w:t>Uninsured motorist coverage protects the insured when they are involved in an accident caused by another driver who either carries no insurance at all or carries insurance with limits too low to fully compensate the insured's losses. This coverage steps in to pay the insured's own bodily injury and property damage claims up to the policy sub-limit when the at-fault driver cannot pay. A police report confirming the involvement of an uninsured or underinsured driver is a mandatory prerequisite for this coverage. Hit-and-run incidents where the other vehicle is not identified also qualify, provided the insured can demonstrate physical contact occurred.</w:t>
      </w:r>
    </w:p>
    <w:p w14:paraId="0C1E8FEC" w14:textId="77777777" w:rsidR="004B5DD0" w:rsidRDefault="00000000">
      <w:pPr>
        <w:shd w:val="clear" w:color="auto" w:fill="F5F7FA"/>
        <w:spacing w:before="160" w:after="60"/>
        <w:ind w:left="200"/>
      </w:pPr>
      <w:r>
        <w:rPr>
          <w:b/>
          <w:bCs/>
          <w:color w:val="1A3F6F"/>
        </w:rPr>
        <w:t>Scenario — Passenger Car — Hit-and-Run Leaving Scene</w:t>
      </w:r>
    </w:p>
    <w:p w14:paraId="0B841B11" w14:textId="77777777" w:rsidR="004B5DD0" w:rsidRDefault="00000000">
      <w:pPr>
        <w:spacing w:before="60" w:after="120"/>
        <w:ind w:left="200"/>
      </w:pPr>
      <w:r>
        <w:rPr>
          <w:i/>
          <w:iCs/>
          <w:color w:val="333333"/>
          <w:sz w:val="19"/>
          <w:szCs w:val="19"/>
        </w:rPr>
        <w:t>A policyholder is struck from behind at a traffic light by a vehicle that immediately flees the scene. Dashcam footage captures the collision but the number plate is obscured. The insured sustains whiplash and the vehicle needs $6,200 in bumper and body repairs. Medical expenses total $4,800. Police are notified and confirm the incident as a hit-and-run. Liability Score is 0.94. Under T2 Standard, the uninsured motorist sub-limit for property damage is $50,000. The $6,200 vehicle repair (less the $750 deductible) yields $5,450. The medical expenses of $4,800 are within the $10,000 medical payments sub-limit. Total settlement is $10,250.</w:t>
      </w:r>
    </w:p>
    <w:p w14:paraId="660F15D8" w14:textId="77777777" w:rsidR="004B5DD0" w:rsidRDefault="00000000">
      <w:pPr>
        <w:pStyle w:val="Heading2"/>
      </w:pPr>
      <w:r>
        <w:t>4.12 Electric Vehicle Specific Coverages</w:t>
      </w:r>
    </w:p>
    <w:p w14:paraId="6BC5E1EC" w14:textId="77777777" w:rsidR="004B5DD0" w:rsidRDefault="00000000">
      <w:pPr>
        <w:spacing w:before="80" w:after="100"/>
      </w:pPr>
      <w:r>
        <w:rPr>
          <w:color w:val="222222"/>
        </w:rPr>
        <w:lastRenderedPageBreak/>
        <w:t>Electric vehicles present a set of unique risk scenarios that standard auto insurance provisions do not address adequately. Atlas Motor Insurance's EV class policy includes four specialized coverage categories not available under other vehicle classes.</w:t>
      </w:r>
    </w:p>
    <w:p w14:paraId="21790E80" w14:textId="77777777" w:rsidR="004B5DD0" w:rsidRDefault="00000000">
      <w:pPr>
        <w:spacing w:before="80" w:after="100"/>
      </w:pPr>
      <w:r>
        <w:rPr>
          <w:color w:val="222222"/>
        </w:rPr>
        <w:t>Battery pack damage coverage pays for repair or replacement of the high-voltage battery pack when damaged by a covered peril such as a collision, fire, flood, or physical impact. The battery sub-limit under T3 EV is $80,000, recognizing that replacement battery packs on premium EVs regularly exceed $60,000. Battery degradation resulting from normal use — gradual capacity reduction over charge cycles — is not covered, as this is a wear-and-tear condition. However, battery degradation caused by a covered fault event, such as abnormal charging current from a defective station, may be covered under T3 with the Cyber and Telematics add-on active.</w:t>
      </w:r>
    </w:p>
    <w:p w14:paraId="3C2E1067" w14:textId="77777777" w:rsidR="004B5DD0" w:rsidRDefault="00000000">
      <w:pPr>
        <w:spacing w:before="80" w:after="100"/>
      </w:pPr>
      <w:r>
        <w:rPr>
          <w:color w:val="222222"/>
        </w:rPr>
        <w:t>Charging equipment damage covers damage to the insured's own home charging unit, typically a wall-mounted Level 2 EVSE charger, when damaged by a covered peril such as fire, vandalism, or storm. The T3 sub-limit is $15,000. Charging equipment damage caused by the insured's failure to use manufacturer-approved equipment or improper home installation by an uncertified electrician is excluded.</w:t>
      </w:r>
    </w:p>
    <w:p w14:paraId="4E381955" w14:textId="77777777" w:rsidR="004B5DD0" w:rsidRDefault="00000000">
      <w:pPr>
        <w:spacing w:before="80" w:after="100"/>
      </w:pPr>
      <w:r>
        <w:rPr>
          <w:color w:val="222222"/>
        </w:rPr>
        <w:t>Software and OTA damage coverage — available only under T3 with the Cyber add-on — covers situations where an over-the-air software update from the manufacturer causes verifiable vehicle malfunction resulting in physical damage. This is a narrow but important provision as EV manufacturers regularly push firmware updates that can, in rare cases, affect braking, acceleration management, or battery charging behavior.</w:t>
      </w:r>
    </w:p>
    <w:p w14:paraId="5930AA85" w14:textId="77777777" w:rsidR="004B5DD0" w:rsidRDefault="00000000">
      <w:pPr>
        <w:shd w:val="clear" w:color="auto" w:fill="F5F7FA"/>
        <w:spacing w:before="160" w:after="60"/>
        <w:ind w:left="200"/>
      </w:pPr>
      <w:r>
        <w:rPr>
          <w:b/>
          <w:bCs/>
          <w:color w:val="1A3F6F"/>
        </w:rPr>
        <w:t>Scenario — EV — Flood Damage to Battery and Drivetrain</w:t>
      </w:r>
    </w:p>
    <w:p w14:paraId="3B0A8596" w14:textId="77777777" w:rsidR="004B5DD0" w:rsidRDefault="00000000">
      <w:pPr>
        <w:spacing w:before="60" w:after="120"/>
        <w:ind w:left="200"/>
      </w:pPr>
      <w:r>
        <w:rPr>
          <w:i/>
          <w:iCs/>
          <w:color w:val="333333"/>
          <w:sz w:val="19"/>
          <w:szCs w:val="19"/>
        </w:rPr>
        <w:t xml:space="preserve">An electric vehicle parked in an underground car park is submerged when a storm </w:t>
      </w:r>
      <w:proofErr w:type="gramStart"/>
      <w:r>
        <w:rPr>
          <w:i/>
          <w:iCs/>
          <w:color w:val="333333"/>
          <w:sz w:val="19"/>
          <w:szCs w:val="19"/>
        </w:rPr>
        <w:t>drain</w:t>
      </w:r>
      <w:proofErr w:type="gramEnd"/>
      <w:r>
        <w:rPr>
          <w:i/>
          <w:iCs/>
          <w:color w:val="333333"/>
          <w:sz w:val="19"/>
          <w:szCs w:val="19"/>
        </w:rPr>
        <w:t xml:space="preserve"> collapses. The vehicle sustains battery pack damage, motor controller failure, and onboard charger damage. Total repair estimate is $48,000. The Damage Assessment Agent confirms the underground flooding was sudden and unavoidable; Liability Score is 0.97. Under T3 Premium EV, the battery sub-limit is $80,000 and general own-damage is $200,000, both comfortably exceeding the claim. After the $500 deductible, the settlement is $47,500. The motor controller and charger are covered under general own-damage as they are not part of the battery pack sub-limit.</w:t>
      </w:r>
    </w:p>
    <w:p w14:paraId="1DB39A18" w14:textId="77777777" w:rsidR="004B5DD0" w:rsidRDefault="00000000">
      <w:pPr>
        <w:pStyle w:val="Heading2"/>
      </w:pPr>
      <w:r>
        <w:t>4.13 Cargo and Freight Loss (Commercial Trucks)</w:t>
      </w:r>
    </w:p>
    <w:p w14:paraId="0E2B52F4" w14:textId="77777777" w:rsidR="004B5DD0" w:rsidRDefault="00000000">
      <w:pPr>
        <w:spacing w:before="80" w:after="100"/>
      </w:pPr>
      <w:r>
        <w:rPr>
          <w:color w:val="222222"/>
        </w:rPr>
        <w:t>Cargo coverage is exclusive to the Commercial Truck class (CT) and is available under T2 and T3 tiers. It covers the loss or damage of goods being transported in or on the insured vehicle at the time of a covered incident. The sub-limit under T2 is $50,000 per incident and under T3 is $250,000 per incident. Perishable goods — fresh produce, pharmaceuticals, chilled products — are excluded unless the Refrigerated Cargo endorsement is active. Live animals are excluded entirely. High-value goods such as electronics, jewelry, currency, and fine art are subject to special declaration requirements and individual item limits of $10,000 unless a Declared High-Value Cargo endorsement is in place.</w:t>
      </w:r>
    </w:p>
    <w:p w14:paraId="2F1A1204" w14:textId="77777777" w:rsidR="004B5DD0" w:rsidRDefault="00000000">
      <w:pPr>
        <w:shd w:val="clear" w:color="auto" w:fill="F5F7FA"/>
        <w:spacing w:before="160" w:after="60"/>
        <w:ind w:left="200"/>
      </w:pPr>
      <w:r>
        <w:rPr>
          <w:b/>
          <w:bCs/>
          <w:color w:val="1A3F6F"/>
        </w:rPr>
        <w:t>Scenario — Commercial Truck — Cargo Theft at Rest Stop</w:t>
      </w:r>
    </w:p>
    <w:p w14:paraId="1631DFD9" w14:textId="77777777" w:rsidR="004B5DD0" w:rsidRDefault="00000000">
      <w:pPr>
        <w:spacing w:before="60" w:after="120"/>
        <w:ind w:left="200"/>
      </w:pPr>
      <w:r>
        <w:rPr>
          <w:i/>
          <w:iCs/>
          <w:color w:val="333333"/>
          <w:sz w:val="19"/>
          <w:szCs w:val="19"/>
        </w:rPr>
        <w:t>A truck driver stops at a motorway service area and the trailer containing $120,000 worth of consumer electronics is stolen overnight. Police confirm the theft. Liability Score is 0.82 — security protocols at the stop were somewhat lax. Under T3 Premium CT, the $250,000 cargo sub-limit applies. Applying the 85% multiplier to the $120,000 loss yields $102,000. The cargo deductible of $1,000 under T3 results in a settlement of $101,000.</w:t>
      </w:r>
    </w:p>
    <w:p w14:paraId="12654ABF" w14:textId="77777777" w:rsidR="004B5DD0" w:rsidRDefault="00000000">
      <w:pPr>
        <w:pStyle w:val="Heading2"/>
      </w:pPr>
      <w:r>
        <w:t>4.14 Business Interruption and Downtime (Commercial and Fleet)</w:t>
      </w:r>
    </w:p>
    <w:p w14:paraId="52F13CBB" w14:textId="77777777" w:rsidR="004B5DD0" w:rsidRDefault="00000000">
      <w:pPr>
        <w:spacing w:before="80" w:after="100"/>
      </w:pPr>
      <w:r>
        <w:rPr>
          <w:color w:val="222222"/>
        </w:rPr>
        <w:t xml:space="preserve">Business interruption coverage compensates the policyholder for documented income lost while the insured commercial vehicle is off the road for repairs following a covered incident. This coverage is exclusive to T3 policies for Class CT (Commercial Trucks) and Class CV (Commercial Fleet). For CT, the daily limit is $5,000 per day for a maximum of 30 days. For CV, the daily limit is $10,000 per day for a maximum of 60 days. The insured must provide verifiable evidence of actual daily revenue lost, such as delivery contracts, invoice records, and dispatch logs. The coverage begins from the first full day the </w:t>
      </w:r>
      <w:r>
        <w:rPr>
          <w:color w:val="222222"/>
        </w:rPr>
        <w:lastRenderedPageBreak/>
        <w:t>vehicle is confirmed off-road for covered repairs and ends when the vehicle is returned to service or the maximum period is reached, whichever comes first.</w:t>
      </w:r>
    </w:p>
    <w:p w14:paraId="0BB3A662" w14:textId="77777777" w:rsidR="004B5DD0" w:rsidRDefault="00000000">
      <w:pPr>
        <w:shd w:val="clear" w:color="auto" w:fill="F5F7FA"/>
        <w:spacing w:before="160" w:after="60"/>
        <w:ind w:left="200"/>
      </w:pPr>
      <w:r>
        <w:rPr>
          <w:b/>
          <w:bCs/>
          <w:color w:val="1A3F6F"/>
        </w:rPr>
        <w:t>Scenario — Commercial Truck — Extended Off-Road After Major Collision</w:t>
      </w:r>
    </w:p>
    <w:p w14:paraId="0602A5EB" w14:textId="77777777" w:rsidR="004B5DD0" w:rsidRDefault="00000000">
      <w:pPr>
        <w:spacing w:before="60" w:after="120"/>
        <w:ind w:left="200"/>
      </w:pPr>
      <w:r>
        <w:rPr>
          <w:i/>
          <w:iCs/>
          <w:color w:val="333333"/>
          <w:sz w:val="19"/>
          <w:szCs w:val="19"/>
        </w:rPr>
        <w:t>A T3-insured commercial truck is severely damaged in a covered collision and requires 22 days of workshop repair. The operator demonstrates through delivery contracts and bank records that the truck generates $3,800 per operating day. Under T3 CT, the $5,000 daily cap exceeds the actual daily loss, so the Company pays the actual loss of $3,800 per day for 22 days, totalling $83,600 in business interruption compensation. No deductible applies to the business interruption component.</w:t>
      </w:r>
    </w:p>
    <w:p w14:paraId="2EA3D135" w14:textId="77777777" w:rsidR="004B5DD0" w:rsidRDefault="00000000">
      <w:pPr>
        <w:pStyle w:val="Heading2"/>
      </w:pPr>
      <w:r>
        <w:t>4.15 Roadside Assistance</w:t>
      </w:r>
    </w:p>
    <w:p w14:paraId="5D9DB7DE" w14:textId="77777777" w:rsidR="004B5DD0" w:rsidRDefault="00000000">
      <w:pPr>
        <w:spacing w:before="80" w:after="100"/>
      </w:pPr>
      <w:r>
        <w:rPr>
          <w:color w:val="222222"/>
        </w:rPr>
        <w:t>Roadside assistance coverage is an add-on available across all vehicle classes. When active, it entitles the insured to call the Company's assistance network for immediate help when the vehicle becomes immobile or unsafe to drive on the road. Covered services include towing to the nearest authorised repair facility or the policyholder's preferred workshop within a 50-kilometre radius, emergency fuel delivery (fuel cost not covered, only the service call), battery jump-start, emergency tyre change, lockout assistance when keys are locked inside the vehicle, and minor on-road mechanical fixes where safe and feasible. Each assistance call-out is covered up to $500 per incident with no deductible. There is no limit on the number of call-outs per year, though more than four call-outs in a policy year will be noted in the insured's risk profile and may affect renewal terms.</w:t>
      </w:r>
    </w:p>
    <w:p w14:paraId="06A3A2C8" w14:textId="77777777" w:rsidR="004B5DD0" w:rsidRDefault="00000000">
      <w:pPr>
        <w:shd w:val="clear" w:color="auto" w:fill="F5F7FA"/>
        <w:spacing w:before="160" w:after="60"/>
        <w:ind w:left="200"/>
      </w:pPr>
      <w:r>
        <w:rPr>
          <w:b/>
          <w:bCs/>
          <w:color w:val="1A3F6F"/>
        </w:rPr>
        <w:t>Scenario — Passenger Car — Tyre Blowout on Motorway</w:t>
      </w:r>
    </w:p>
    <w:p w14:paraId="4EA8920C" w14:textId="77777777" w:rsidR="004B5DD0" w:rsidRDefault="00000000">
      <w:pPr>
        <w:spacing w:before="60" w:after="120"/>
        <w:ind w:left="200"/>
      </w:pPr>
      <w:r>
        <w:rPr>
          <w:i/>
          <w:iCs/>
          <w:color w:val="333333"/>
          <w:sz w:val="19"/>
          <w:szCs w:val="19"/>
        </w:rPr>
        <w:t>A policyholder suffers a front tyre blowout at highway speed and pulls safely onto the hard shoulder. The spare tyre is flat and the driver cannot change the tyre in the dark on a live motorway. The driver activates roadside assistance via the Company app. A response vehicle arrives within 45 minutes, safely fits a temporary spare, and arranges a tow to the nearest tyre centre 18 km away. Total service cost is $310, covered in full with no deductible under the roadside assistance add-on.</w:t>
      </w:r>
    </w:p>
    <w:p w14:paraId="33F7A376" w14:textId="77777777" w:rsidR="004B5DD0" w:rsidRDefault="00000000">
      <w:pPr>
        <w:pStyle w:val="Heading2"/>
      </w:pPr>
      <w:r>
        <w:t>4.16 Glass and Windshield Damage</w:t>
      </w:r>
    </w:p>
    <w:p w14:paraId="3E46BC2F" w14:textId="77777777" w:rsidR="004B5DD0" w:rsidRDefault="00000000">
      <w:pPr>
        <w:spacing w:before="80" w:after="100"/>
      </w:pPr>
      <w:r>
        <w:rPr>
          <w:color w:val="222222"/>
        </w:rPr>
        <w:t>Glass coverage is available as an add-on for Passenger Cars, EVs, and Commercial Fleet vehicles. It covers the repair or replacement of front windscreens, rear windows, and side door glass damaged by road debris, vandalism, or hailstorm. A chip or crack in the windscreen that can be repaired without full replacement carries no deductible and is settled directly with the Company's approved glazing network. Full windscreen replacement is subject to a $250 deductible. Windscreen damage that also triggers sensors for advanced driver assistance systems (ADAS) — lane departure warning cameras, forward collision warning radars — may require sensor recalibration, which is covered under the glass add-on up to an additional $500 per recalibration event.</w:t>
      </w:r>
    </w:p>
    <w:p w14:paraId="3AAE3A81" w14:textId="77777777" w:rsidR="004B5DD0" w:rsidRDefault="00000000">
      <w:pPr>
        <w:shd w:val="clear" w:color="auto" w:fill="F5F7FA"/>
        <w:spacing w:before="160" w:after="60"/>
        <w:ind w:left="200"/>
      </w:pPr>
      <w:r>
        <w:rPr>
          <w:b/>
          <w:bCs/>
          <w:color w:val="1A3F6F"/>
        </w:rPr>
        <w:t>Scenario — SUV — Stone Chip Spreading to Full Crack</w:t>
      </w:r>
    </w:p>
    <w:p w14:paraId="49074220" w14:textId="77777777" w:rsidR="004B5DD0" w:rsidRDefault="00000000">
      <w:pPr>
        <w:spacing w:before="60" w:after="120"/>
        <w:ind w:left="200"/>
      </w:pPr>
      <w:r>
        <w:rPr>
          <w:i/>
          <w:iCs/>
          <w:color w:val="333333"/>
          <w:sz w:val="19"/>
          <w:szCs w:val="19"/>
        </w:rPr>
        <w:t>A policyholder notices a small stone chip on their SUV windscreen on Monday morning. They do not report it immediately. By Thursday, the chip has spread into a 35-centimetre crack across the driver's sightline due to temperature changes. The windscreen cannot be repaired and requires full replacement. Because the chip was not repaired promptly, the Damage Assessment Agent applies a modest score of 0.85 reflecting the delayed action. The $1,200 replacement cost plus $400 ADAS recalibration is assessed at 85%, yielding $1,360, minus the $250 deductible, resulting in a $1,110 settlement under the glass add-on.</w:t>
      </w:r>
    </w:p>
    <w:p w14:paraId="3680A89B" w14:textId="77777777" w:rsidR="004B5DD0" w:rsidRDefault="00000000">
      <w:pPr>
        <w:pStyle w:val="Heading2"/>
      </w:pPr>
      <w:r>
        <w:t>4.17 Rental Car Reimbursement</w:t>
      </w:r>
    </w:p>
    <w:p w14:paraId="00D11A21" w14:textId="77777777" w:rsidR="004B5DD0" w:rsidRDefault="00000000">
      <w:pPr>
        <w:spacing w:before="80" w:after="100"/>
      </w:pPr>
      <w:r>
        <w:rPr>
          <w:color w:val="222222"/>
        </w:rPr>
        <w:t xml:space="preserve">When the insured vehicle is off the road for repairs following a covered incident and the repair duration is confirmed by an authorised workshop, the rental car reimbursement add-on pays the cost of a rental vehicle up to $75 per day for a maximum of 30 days. Coverage begins from the day the insured vehicle enters the workshop, not from the date of the incident. The Company will arrange the rental directly through its partner network or reimburse documented receipts. The rental vehicle class is limited to an </w:t>
      </w:r>
      <w:r>
        <w:rPr>
          <w:color w:val="222222"/>
        </w:rPr>
        <w:lastRenderedPageBreak/>
        <w:t>economy or compact vehicle; the Company will not reimburse the cost of luxury or specialty rentals. This add-on is available for Passenger Cars, EVs, and Specialty Vehicles.</w:t>
      </w:r>
    </w:p>
    <w:p w14:paraId="70E412F7" w14:textId="77777777" w:rsidR="004B5DD0" w:rsidRDefault="00000000">
      <w:pPr>
        <w:pStyle w:val="Heading2"/>
      </w:pPr>
      <w:r>
        <w:t>4.18 Driver Personal Accident</w:t>
      </w:r>
    </w:p>
    <w:p w14:paraId="78B889A9" w14:textId="77777777" w:rsidR="004B5DD0" w:rsidRDefault="00000000">
      <w:pPr>
        <w:spacing w:before="80" w:after="100"/>
      </w:pPr>
      <w:r>
        <w:rPr>
          <w:color w:val="222222"/>
        </w:rPr>
        <w:t>The Driver Personal Accident add-on provides a lump sum benefit to the insured driver in the event of death or permanent disability resulting from an accident involving the insured vehicle. It also covers hospitalization expenses beyond what is included in the medical payments provision. Coverage is available for all vehicle classes when the add-on is active. The benefit under a standard policy is $100,000 for accidental death or total permanent disability, $50,000 for partial permanent disability based on a published disability schedule, and up to $500 per day for hospitalization exceeding 48 hours, capped at 180 days.</w:t>
      </w:r>
    </w:p>
    <w:p w14:paraId="5A860E68" w14:textId="77777777" w:rsidR="004B5DD0" w:rsidRDefault="00000000">
      <w:pPr>
        <w:shd w:val="clear" w:color="auto" w:fill="F5F7FA"/>
        <w:spacing w:before="160" w:after="60"/>
        <w:ind w:left="200"/>
      </w:pPr>
      <w:r>
        <w:rPr>
          <w:b/>
          <w:bCs/>
          <w:color w:val="1A3F6F"/>
        </w:rPr>
        <w:t>Scenario — Motorcycle Rider — Total Permanent Disability After Head-On Collision</w:t>
      </w:r>
    </w:p>
    <w:p w14:paraId="63E388EA" w14:textId="77777777" w:rsidR="004B5DD0" w:rsidRDefault="00000000">
      <w:pPr>
        <w:spacing w:before="60" w:after="120"/>
        <w:ind w:left="200"/>
      </w:pPr>
      <w:r>
        <w:rPr>
          <w:i/>
          <w:iCs/>
          <w:color w:val="333333"/>
          <w:sz w:val="19"/>
          <w:szCs w:val="19"/>
        </w:rPr>
        <w:t>A motorcyclist is struck head-on by a vehicle that crossed the centre line. The rider sustains severe spinal injuries resulting in permanent paraplegia. The Damage Assessment Agent confirms zero fault by the rider; Liability Score is 0.98. Under the Driver Personal Accident add-on, the rider receives the full $100,000 total permanent disability benefit as a lump sum payment. Hospitalization costs of $22,000 (44 days at $500 per day) are also covered. The motorcycle damage and third-party liability elements of the claim are processed separately under the main policy.</w:t>
      </w:r>
    </w:p>
    <w:p w14:paraId="2B0870BF" w14:textId="77777777" w:rsidR="004B5DD0" w:rsidRDefault="004B5DD0">
      <w:pPr>
        <w:pageBreakBefore/>
      </w:pPr>
    </w:p>
    <w:p w14:paraId="7DDA0CE6" w14:textId="77777777" w:rsidR="004B5DD0" w:rsidRDefault="00000000">
      <w:pPr>
        <w:pStyle w:val="Heading1"/>
        <w:pBdr>
          <w:bottom w:val="single" w:sz="10" w:space="4" w:color="2C5F9E"/>
        </w:pBdr>
      </w:pPr>
      <w:r>
        <w:t>5. Optional Add-On Coverages — Detailed Descriptions</w:t>
      </w:r>
    </w:p>
    <w:p w14:paraId="312DD8A1" w14:textId="77777777" w:rsidR="004B5DD0" w:rsidRDefault="00000000">
      <w:pPr>
        <w:pStyle w:val="Heading2"/>
      </w:pPr>
      <w:r>
        <w:t>5.1 Zero Depreciation Cover</w:t>
      </w:r>
    </w:p>
    <w:p w14:paraId="46DC62BE" w14:textId="77777777" w:rsidR="004B5DD0" w:rsidRDefault="00000000">
      <w:pPr>
        <w:spacing w:before="80" w:after="100"/>
      </w:pPr>
      <w:r>
        <w:rPr>
          <w:color w:val="222222"/>
        </w:rPr>
        <w:t>Zero Depreciation cover, sometimes called bumper-to-bumper coverage, eliminates the application of depreciation when calculating eligible damage for own-damage claims. Without this add-on, depreciation is applied to components such as rubber parts, plastic panels, fibreglass components, and painted body panels in accordance with the depreciation schedule in Section 6. With zero depreciation active, the full cost of replacement parts is counted as eligible damage regardless of the vehicle's age, up to a maximum vehicle age of five years at the time of the claim. This add-on is available for Passenger Cars, EVs, and Specialty Vehicles under T2 and T3 tiers.</w:t>
      </w:r>
    </w:p>
    <w:p w14:paraId="0FC4ED17" w14:textId="77777777" w:rsidR="004B5DD0" w:rsidRDefault="00000000">
      <w:pPr>
        <w:shd w:val="clear" w:color="auto" w:fill="F5F7FA"/>
        <w:spacing w:before="160" w:after="60"/>
        <w:ind w:left="200"/>
      </w:pPr>
      <w:r>
        <w:rPr>
          <w:b/>
          <w:bCs/>
          <w:color w:val="1A3F6F"/>
        </w:rPr>
        <w:t>Scenario — Passenger Car with Zero Dep — Collision at Age Four Years</w:t>
      </w:r>
    </w:p>
    <w:p w14:paraId="10C84B92" w14:textId="77777777" w:rsidR="004B5DD0" w:rsidRDefault="00000000">
      <w:pPr>
        <w:spacing w:before="60" w:after="120"/>
        <w:ind w:left="200"/>
      </w:pPr>
      <w:r>
        <w:rPr>
          <w:i/>
          <w:iCs/>
          <w:color w:val="333333"/>
          <w:sz w:val="19"/>
          <w:szCs w:val="19"/>
        </w:rPr>
        <w:t>A four-year-old sedan is involved in a covered collision. The repair requires full replacement of the front bumper assembly, both headlight clusters, a bonnet panel, and the front grille. Without zero dep, the standard 15% to 20% depreciation on plastic and painted components would reduce the $8,400 parts cost to approximately $6,900. With zero depreciation active, the full $8,400 parts cost is eligible, yielding a higher settlement after deductible.</w:t>
      </w:r>
    </w:p>
    <w:p w14:paraId="6F07ED10" w14:textId="77777777" w:rsidR="004B5DD0" w:rsidRDefault="00000000">
      <w:pPr>
        <w:pStyle w:val="Heading2"/>
      </w:pPr>
      <w:r>
        <w:t>5.2 Engine Protection Cover</w:t>
      </w:r>
    </w:p>
    <w:p w14:paraId="1E1E7487" w14:textId="77777777" w:rsidR="004B5DD0" w:rsidRDefault="00000000">
      <w:pPr>
        <w:spacing w:before="80" w:after="100"/>
      </w:pPr>
      <w:r>
        <w:rPr>
          <w:color w:val="222222"/>
        </w:rPr>
        <w:t>Engine protection cover extends the standard policy to include damage to the engine caused by water ingestion (hydrostatic lock), oil leaks that were not apparent to a reasonable owner, and internal seizure resulting from a sudden and unforeseen mechanical failure not attributable to negligence or wear and tear. This add-on is particularly valuable in flood-prone regions and for turbocharged or high-performance engines. The sub-limit is $20,000 with a $500 deductible and is available for Passenger Cars, Commercial Trucks, EVs, and Commercial Fleet vehicles.</w:t>
      </w:r>
    </w:p>
    <w:p w14:paraId="1169204F" w14:textId="77777777" w:rsidR="004B5DD0" w:rsidRDefault="00000000">
      <w:pPr>
        <w:pStyle w:val="Heading2"/>
      </w:pPr>
      <w:r>
        <w:t>5.3 Return-to-Invoice Cover</w:t>
      </w:r>
    </w:p>
    <w:p w14:paraId="09093232" w14:textId="77777777" w:rsidR="004B5DD0" w:rsidRDefault="00000000">
      <w:pPr>
        <w:spacing w:before="80" w:after="100"/>
      </w:pPr>
      <w:r>
        <w:rPr>
          <w:color w:val="222222"/>
        </w:rPr>
        <w:t>Return-to-Invoice (RTI) cover ensures that in the event of a total loss, the insured receives the original purchase invoice value of the vehicle rather than its depreciated Actual Cash Value at the time of loss. For a vehicle purchased at $55,000 three years ago with an ACV of $38,000 at total loss, RTI means the difference of $17,000 is paid on top of the ACV. RTI is available for Passenger Cars and EVs under T2 and T3 tiers, provided the vehicle was purchased new and the claim occurs within 36 months of the original purchase date. Used vehicle purchases do not qualify.</w:t>
      </w:r>
    </w:p>
    <w:p w14:paraId="40D7642F" w14:textId="77777777" w:rsidR="004B5DD0" w:rsidRDefault="00000000">
      <w:pPr>
        <w:pStyle w:val="Heading2"/>
      </w:pPr>
      <w:r>
        <w:t>5.4 GAP Insurance</w:t>
      </w:r>
    </w:p>
    <w:p w14:paraId="222B2582" w14:textId="77777777" w:rsidR="004B5DD0" w:rsidRDefault="00000000">
      <w:pPr>
        <w:spacing w:before="80" w:after="100"/>
      </w:pPr>
      <w:r>
        <w:rPr>
          <w:color w:val="222222"/>
        </w:rPr>
        <w:t>GAP (Guaranteed Asset Protection) Insurance covers the financial shortfall between the settlement the insurer pays on a total loss — typically the ACV — and the outstanding balance on the vehicle financing agreement at the time of the loss. This is relevant when a vehicle is financed and has depreciated faster than the loan is being repaid. GAP Insurance is available for Passenger Cars, Commercial Trucks, and EVs that are subject to a hire-purchase, lease, or financing agreement. The Company pays the difference between ACV and the outstanding loan balance directly to the lender.</w:t>
      </w:r>
    </w:p>
    <w:p w14:paraId="6C4ABC2C" w14:textId="77777777" w:rsidR="004B5DD0" w:rsidRDefault="00000000">
      <w:pPr>
        <w:pStyle w:val="Heading2"/>
      </w:pPr>
      <w:r>
        <w:t>5.5 Key Replacement Protection</w:t>
      </w:r>
    </w:p>
    <w:p w14:paraId="0A21DCEC" w14:textId="77777777" w:rsidR="004B5DD0" w:rsidRDefault="00000000">
      <w:pPr>
        <w:spacing w:before="80" w:after="100"/>
      </w:pPr>
      <w:r>
        <w:rPr>
          <w:color w:val="222222"/>
        </w:rPr>
        <w:lastRenderedPageBreak/>
        <w:t>Key Replacement Protection covers the cost of replacing vehicle keys, key fobs, smart key cards, and keyless entry transmitters when they are lost, stolen, or damaged. Modern vehicles — particularly EVs, luxury cars, and new SUVs — increasingly use sophisticated programmable keys that can cost $500 to $2,500 or more to replace and reprogram. The sub-limit is $2,500 per incident with a $150 deductible. The add-on also covers the cost of reprogramming the vehicle's immobiliser and central locking system if a key is believed to be in the possession of an unauthorized person.</w:t>
      </w:r>
    </w:p>
    <w:p w14:paraId="502503CE" w14:textId="77777777" w:rsidR="004B5DD0" w:rsidRDefault="00000000">
      <w:pPr>
        <w:pStyle w:val="Heading2"/>
      </w:pPr>
      <w:r>
        <w:t>5.6 New Vehicle Replacement</w:t>
      </w:r>
    </w:p>
    <w:p w14:paraId="370FC6E9" w14:textId="77777777" w:rsidR="004B5DD0" w:rsidRDefault="00000000">
      <w:pPr>
        <w:spacing w:before="80" w:after="100"/>
      </w:pPr>
      <w:r>
        <w:rPr>
          <w:color w:val="222222"/>
        </w:rPr>
        <w:t>If a newly purchased vehicle is declared a total loss within the first 12 months of original purchase, New Vehicle Replacement entitles the insured to a replacement vehicle of the same make, model, trim level, and colour rather than a cash settlement based on ACV. The Company arranges the replacement directly with an authorised dealership. This add-on is available for Passenger Cars and EVs under T3 only.</w:t>
      </w:r>
    </w:p>
    <w:p w14:paraId="734EA0A6" w14:textId="77777777" w:rsidR="004B5DD0" w:rsidRDefault="00000000">
      <w:pPr>
        <w:pStyle w:val="Heading2"/>
      </w:pPr>
      <w:r>
        <w:t>5.7 Cyber and Telematics Cover (EV and CV)</w:t>
      </w:r>
    </w:p>
    <w:p w14:paraId="2A75EF80" w14:textId="77777777" w:rsidR="004B5DD0" w:rsidRDefault="00000000">
      <w:pPr>
        <w:spacing w:before="80" w:after="100"/>
      </w:pPr>
      <w:r>
        <w:rPr>
          <w:color w:val="222222"/>
        </w:rPr>
        <w:t>As modern vehicles become increasingly software-dependent and data-connected, the risk of cyber-related vehicle damage is growing. This add-on covers verifiable physical damage to the vehicle caused by a cyber attack targeting the vehicle's on-board systems, a malicious over-the-air firmware update, a manufacturer-pushed software defect that causes hardware damage, or a telematics device failure that results in vehicle malfunction. The sub-limit is $15,000 with a $1,000 deductible. Damage from the owner's own unauthorized software modification is excluded.</w:t>
      </w:r>
    </w:p>
    <w:p w14:paraId="0971CA42" w14:textId="77777777" w:rsidR="004B5DD0" w:rsidRDefault="004B5DD0">
      <w:pPr>
        <w:pageBreakBefore/>
      </w:pPr>
    </w:p>
    <w:p w14:paraId="6D6907C3" w14:textId="77777777" w:rsidR="004B5DD0" w:rsidRDefault="00000000">
      <w:pPr>
        <w:pStyle w:val="Heading1"/>
        <w:pBdr>
          <w:bottom w:val="single" w:sz="10" w:space="4" w:color="2C5F9E"/>
        </w:pBdr>
      </w:pPr>
      <w:r>
        <w:t>6. Exclusions — When the Policy Does Not Pay</w:t>
      </w:r>
    </w:p>
    <w:p w14:paraId="715BB01C" w14:textId="77777777" w:rsidR="004B5DD0" w:rsidRDefault="00000000">
      <w:pPr>
        <w:spacing w:before="80" w:after="100"/>
      </w:pPr>
      <w:r>
        <w:rPr>
          <w:color w:val="222222"/>
        </w:rPr>
        <w:t>The exclusions in this section are absolute and apply regardless of vehicle class, policy tier, or add-ons purchased. When the RAG Agent identifies an applicable exclusion, it must return a $0 compensation figure, document the exclusion applied, and flag the claim for manual review. No compensation formula should be executed if a core exclusion applies to the primary cause of loss.</w:t>
      </w:r>
    </w:p>
    <w:p w14:paraId="65800E24" w14:textId="77777777" w:rsidR="004B5DD0" w:rsidRDefault="00000000">
      <w:pPr>
        <w:pStyle w:val="Heading2"/>
      </w:pPr>
      <w:r>
        <w:t>6.1 Intentional Damage and Fraud</w:t>
      </w:r>
    </w:p>
    <w:p w14:paraId="7CAB7189" w14:textId="77777777" w:rsidR="004B5DD0" w:rsidRDefault="00000000">
      <w:pPr>
        <w:spacing w:before="80" w:after="100"/>
      </w:pPr>
      <w:r>
        <w:rPr>
          <w:color w:val="222222"/>
        </w:rPr>
        <w:t>No payment will be made for any loss or damage that was intentionally caused by the insured, any named driver, or any person acting with the insured's knowledge or consent. This includes staged accidents — where the insured deliberately arranges a collision to trigger a claim — arson of the insured's own vehicle, deliberate damage to obtain a replacement vehicle or cash settlement, and submission of falsified repair invoices or inflated damage claims. Where fraud is confirmed, the policy is voided from the date of the fraudulent act, all prior claims may be reviewed and recovered, and the matter is referred to law enforcement.</w:t>
      </w:r>
    </w:p>
    <w:p w14:paraId="582F9BA4" w14:textId="77777777" w:rsidR="004B5DD0" w:rsidRDefault="00000000">
      <w:pPr>
        <w:shd w:val="clear" w:color="auto" w:fill="F5F7FA"/>
        <w:spacing w:before="160" w:after="60"/>
        <w:ind w:left="200"/>
      </w:pPr>
      <w:r>
        <w:rPr>
          <w:b/>
          <w:bCs/>
          <w:color w:val="1A3F6F"/>
        </w:rPr>
        <w:t>Scenario — Fraudulent Staged Collision</w:t>
      </w:r>
    </w:p>
    <w:p w14:paraId="3572BA9F" w14:textId="77777777" w:rsidR="004B5DD0" w:rsidRDefault="00000000">
      <w:pPr>
        <w:spacing w:before="60" w:after="120"/>
        <w:ind w:left="200"/>
      </w:pPr>
      <w:r>
        <w:rPr>
          <w:i/>
          <w:iCs/>
          <w:color w:val="333333"/>
          <w:sz w:val="19"/>
          <w:szCs w:val="19"/>
        </w:rPr>
        <w:t>An investigation by the Damage Assessment Agent reveals that the reported collision damage is inconsistent with the claimed sequence of events — the deformation pattern suggests the vehicle was struck while stationary rather than in motion as claimed, and the other party cannot be located. The Liability Score is set to 0.00. The RAG Agent returns $0 compensation, flags the claim as suspected fraud, and initiates referral to the Special Investigations Unit.</w:t>
      </w:r>
    </w:p>
    <w:p w14:paraId="0D6E29A6" w14:textId="77777777" w:rsidR="004B5DD0" w:rsidRDefault="00000000">
      <w:pPr>
        <w:pStyle w:val="Heading2"/>
      </w:pPr>
      <w:r>
        <w:t>6.2 Driving Under the Influence</w:t>
      </w:r>
    </w:p>
    <w:p w14:paraId="56408E82" w14:textId="77777777" w:rsidR="004B5DD0" w:rsidRDefault="00000000">
      <w:pPr>
        <w:spacing w:before="80" w:after="100"/>
      </w:pPr>
      <w:r>
        <w:rPr>
          <w:color w:val="222222"/>
        </w:rPr>
        <w:t>Any incident occurring while the driver of the insured vehicle was operating the vehicle under the influence of alcohol — defined as a blood alcohol concentration of 0.08 percent or higher in most jurisdictions, or any non-zero level where zero-tolerance laws apply — or under the influence of illegal substances or prescription medication that impairs driving ability, results in complete denial of own-damage and third-party liability claims. This exclusion is one of the most commonly applied and the RAG Agent should treat any police toxicology report showing impairment as a mandatory claim denial trigger pending human adjuster confirmation.</w:t>
      </w:r>
    </w:p>
    <w:p w14:paraId="05A7FCD4" w14:textId="77777777" w:rsidR="004B5DD0" w:rsidRDefault="00000000">
      <w:pPr>
        <w:pStyle w:val="Heading2"/>
      </w:pPr>
      <w:r>
        <w:t>6.3 Unlicensed Operation</w:t>
      </w:r>
    </w:p>
    <w:p w14:paraId="189AFE33" w14:textId="77777777" w:rsidR="004B5DD0" w:rsidRDefault="00000000">
      <w:pPr>
        <w:spacing w:before="80" w:after="100"/>
      </w:pPr>
      <w:r>
        <w:rPr>
          <w:color w:val="222222"/>
        </w:rPr>
        <w:t>Claims arising from incidents where the vehicle was operated by a person without a valid driver's license, or by a person whose license class did not cover the type of vehicle being driven — for example, a car license holder driving a vehicle requiring a commercial license — are excluded. If the insured permitted an unlicensed person to use the vehicle, coverage for both own damage and third-party liability is voided.</w:t>
      </w:r>
    </w:p>
    <w:p w14:paraId="0D16B250" w14:textId="77777777" w:rsidR="004B5DD0" w:rsidRDefault="00000000">
      <w:pPr>
        <w:pStyle w:val="Heading2"/>
      </w:pPr>
      <w:r>
        <w:t>6.4 Racing and Competitive Events</w:t>
      </w:r>
    </w:p>
    <w:p w14:paraId="3AC35AFD" w14:textId="77777777" w:rsidR="004B5DD0" w:rsidRDefault="00000000">
      <w:pPr>
        <w:spacing w:before="80" w:after="100"/>
      </w:pPr>
      <w:r>
        <w:rPr>
          <w:color w:val="222222"/>
        </w:rPr>
        <w:t>Any damage sustained while the insured vehicle was participating in a race, speed trial, track day, time trial, or any other organized competitive event — even on private property or a closed road — is excluded. A vehicle taken to a track day for recreational lapping is still excluded from coverage for any damage sustained on the track, even if the policyholder did not consider it a competitive event.</w:t>
      </w:r>
    </w:p>
    <w:p w14:paraId="73867107" w14:textId="77777777" w:rsidR="004B5DD0" w:rsidRDefault="00000000">
      <w:pPr>
        <w:pStyle w:val="Heading2"/>
      </w:pPr>
      <w:r>
        <w:t>6.5 Normal Wear and Tear and Mechanical Failure</w:t>
      </w:r>
    </w:p>
    <w:p w14:paraId="07AB0093" w14:textId="77777777" w:rsidR="004B5DD0" w:rsidRDefault="00000000">
      <w:pPr>
        <w:spacing w:before="80" w:after="100"/>
      </w:pPr>
      <w:r>
        <w:rPr>
          <w:color w:val="222222"/>
        </w:rPr>
        <w:lastRenderedPageBreak/>
        <w:t>Deterioration resulting from normal use over time — worn brake pads, degraded tyres, rust, oil seal leaks, corroded battery terminals — is not a sudden or fortuitous loss event and therefore falls outside the scope of insurance. Similarly, mechanical or electrical breakdown that occurs without an identifiable external cause is a maintenance responsibility and is not covered. The Engine Protection add-on extends coverage to some engine-specific failures but does not convert the policy into a mechanical warranty.</w:t>
      </w:r>
    </w:p>
    <w:p w14:paraId="4641B196" w14:textId="77777777" w:rsidR="004B5DD0" w:rsidRDefault="00000000">
      <w:pPr>
        <w:pStyle w:val="Heading2"/>
      </w:pPr>
      <w:r>
        <w:t>6.6 War, Terrorism, and Nuclear Events</w:t>
      </w:r>
    </w:p>
    <w:p w14:paraId="6146AB72" w14:textId="77777777" w:rsidR="004B5DD0" w:rsidRDefault="00000000">
      <w:pPr>
        <w:spacing w:before="80" w:after="100"/>
      </w:pPr>
      <w:r>
        <w:rPr>
          <w:color w:val="222222"/>
        </w:rPr>
        <w:t>Damage caused by acts of war, military operations, invasion, civil insurrection, terrorism, nuclear detonation, or radioactive contamination is excluded from all coverage. This exclusion applies even if the insured had no involvement in or connection to the event.</w:t>
      </w:r>
    </w:p>
    <w:p w14:paraId="6F2C1A17" w14:textId="77777777" w:rsidR="004B5DD0" w:rsidRDefault="00000000">
      <w:pPr>
        <w:pStyle w:val="Heading2"/>
      </w:pPr>
      <w:r>
        <w:t>6.7 Illegal Use</w:t>
      </w:r>
    </w:p>
    <w:p w14:paraId="09F1D0DB" w14:textId="77777777" w:rsidR="004B5DD0" w:rsidRDefault="00000000">
      <w:pPr>
        <w:spacing w:before="80" w:after="100"/>
      </w:pPr>
      <w:r>
        <w:rPr>
          <w:color w:val="222222"/>
        </w:rPr>
        <w:t>Any incident arising while the vehicle was being used to commit a criminal act — transporting illegal goods, fleeing law enforcement, or being used as a weapon — results in complete coverage denial.</w:t>
      </w:r>
    </w:p>
    <w:p w14:paraId="1CE615A3" w14:textId="77777777" w:rsidR="004B5DD0" w:rsidRDefault="00000000">
      <w:pPr>
        <w:pStyle w:val="Heading2"/>
      </w:pPr>
      <w:r>
        <w:t>6.8 Territorial Exclusion</w:t>
      </w:r>
    </w:p>
    <w:p w14:paraId="41D8CAE8" w14:textId="77777777" w:rsidR="004B5DD0" w:rsidRDefault="00000000">
      <w:pPr>
        <w:spacing w:before="80" w:after="100"/>
      </w:pPr>
      <w:r>
        <w:rPr>
          <w:color w:val="222222"/>
        </w:rPr>
        <w:t xml:space="preserve">Coverage applies only within the territorial limits specified in the policy schedule. For standard domestic policies this is the continental United States and Canada. Use of the vehicle outside these territories without an </w:t>
      </w:r>
      <w:proofErr w:type="gramStart"/>
      <w:r>
        <w:rPr>
          <w:color w:val="222222"/>
        </w:rPr>
        <w:t>active International Extension endorsement results</w:t>
      </w:r>
      <w:proofErr w:type="gramEnd"/>
      <w:r>
        <w:rPr>
          <w:color w:val="222222"/>
        </w:rPr>
        <w:t xml:space="preserve"> in exclusion of any claims arising outside the covered territory.</w:t>
      </w:r>
    </w:p>
    <w:p w14:paraId="34ED0511" w14:textId="77777777" w:rsidR="004B5DD0" w:rsidRDefault="004B5DD0">
      <w:pPr>
        <w:pageBreakBefore/>
      </w:pPr>
    </w:p>
    <w:p w14:paraId="03E82E67" w14:textId="77777777" w:rsidR="004B5DD0" w:rsidRDefault="00000000">
      <w:pPr>
        <w:pStyle w:val="Heading1"/>
        <w:pBdr>
          <w:bottom w:val="single" w:sz="10" w:space="4" w:color="2C5F9E"/>
        </w:pBdr>
      </w:pPr>
      <w:r>
        <w:t>7. Compensation Calculation Framework</w:t>
      </w:r>
    </w:p>
    <w:p w14:paraId="7D48D4FE" w14:textId="77777777" w:rsidR="004B5DD0" w:rsidRDefault="00000000">
      <w:pPr>
        <w:pStyle w:val="Heading2"/>
      </w:pPr>
      <w:r>
        <w:t>7.1 The Core Formula</w:t>
      </w:r>
    </w:p>
    <w:p w14:paraId="6E202196" w14:textId="77777777" w:rsidR="004B5DD0" w:rsidRDefault="00000000">
      <w:pPr>
        <w:spacing w:before="80" w:after="100"/>
      </w:pPr>
      <w:r>
        <w:rPr>
          <w:color w:val="222222"/>
        </w:rPr>
        <w:t>For every damage category in a claim, the RAG Agent calculates a Compensable Amount using the following formula: take the gross damage estimate for that category, apply the appropriate depreciation percentage based on the component type and vehicle age to arrive at the Eligible Damage, multiply the Eligible Damage by the Liability Score Multiplier from Section 1.3, cap the resulting figure at the applicable sub-limit for that coverage type and vehicle class and tier, and finally subtract the applicable deductible. The result is the Compensable Amount for that category. Sum all categories to arrive at the total claim settlement.</w:t>
      </w:r>
    </w:p>
    <w:p w14:paraId="61B56782" w14:textId="77777777" w:rsidR="004B5DD0" w:rsidRDefault="00000000">
      <w:pPr>
        <w:spacing w:before="80" w:after="100"/>
      </w:pPr>
      <w:r>
        <w:rPr>
          <w:color w:val="222222"/>
        </w:rPr>
        <w:t>If the Zero Depreciation add-on is active and the vehicle qualifies, the depreciation step is skipped and gross damage equals eligible damage. If the Return-to-Invoice add-on is active and total loss is declared, the eligible damage is the original invoice value rather than the ACV. These two modifications are the most common departures from the standard formula.</w:t>
      </w:r>
    </w:p>
    <w:p w14:paraId="0750D559" w14:textId="77777777" w:rsidR="004B5DD0" w:rsidRDefault="00000000">
      <w:pPr>
        <w:pStyle w:val="Heading2"/>
      </w:pPr>
      <w:r>
        <w:t>7.2 Depreciation in Practice</w:t>
      </w:r>
    </w:p>
    <w:p w14:paraId="4315791F" w14:textId="77777777" w:rsidR="004B5DD0" w:rsidRDefault="00000000">
      <w:pPr>
        <w:spacing w:before="80" w:after="100"/>
      </w:pPr>
      <w:r>
        <w:rPr>
          <w:color w:val="222222"/>
        </w:rPr>
        <w:t>Depreciation is applied only to own-damage claims, never to third-party liability settlements. The rate depends on the component type and the vehicle's age at the time of loss. Glass components carry zero depreciation regardless of age — a ten-year-old windscreen is replaced at full cost. Rubber parts such as tyres and wiper blades carry 10 percent depreciation after the first year, rising to 50 percent for vehicles over five years old. Plastic and fibreglass body parts depreciate at 10 percent after the first year up to 30 percent for older vehicles. Painted metal body panels depreciate at 5 percent per bracket starting from the second year. EV battery packs are treated more favourably than conventional batteries, depreciating at only 5 percent per year, reflecting their expected service life and replacement cost.</w:t>
      </w:r>
    </w:p>
    <w:p w14:paraId="29D4602C" w14:textId="77777777" w:rsidR="004B5DD0" w:rsidRDefault="00000000">
      <w:pPr>
        <w:pStyle w:val="Heading2"/>
      </w:pPr>
      <w:r>
        <w:t>7.3 Total Loss Determination</w:t>
      </w:r>
    </w:p>
    <w:p w14:paraId="537A3D84" w14:textId="77777777" w:rsidR="004B5DD0" w:rsidRDefault="00000000">
      <w:pPr>
        <w:spacing w:before="80" w:after="100"/>
      </w:pPr>
      <w:r>
        <w:rPr>
          <w:color w:val="222222"/>
        </w:rPr>
        <w:t>A total loss is declared when the cost of repairing the vehicle exceeds a defined percentage of its Actual Cash Value immediately before the incident. For Passenger Cars and Commercial Fleet vehicles, this threshold is 75 percent of ACV. For Commercial Trucks and EVs, the threshold is lower at 70 percent, reflecting the higher absolute repair costs in those classes. For Motorcycles and Off-Road vehicles, the threshold is 80 percent. Specialty Vehicles on Agreed Value basis are handled differently — total loss is declared when repairs would cost more than the Agreed Value, and the insured receives the full Agreed Value less any salvage proceeds.</w:t>
      </w:r>
    </w:p>
    <w:p w14:paraId="1396E060" w14:textId="77777777" w:rsidR="004B5DD0" w:rsidRDefault="00000000">
      <w:pPr>
        <w:spacing w:before="80" w:after="100"/>
      </w:pPr>
      <w:r>
        <w:rPr>
          <w:color w:val="222222"/>
        </w:rPr>
        <w:t>When total loss is declared, the settlement basis depends on the add-ons in force. Without add-ons, the insured receives the ACV less the deductible. With Return-to-Invoice active, the insured receives the original invoice value less salvage and the deductible. With New Vehicle Replacement active, the Company arranges a like-for-like replacement rather than a cash payment.</w:t>
      </w:r>
    </w:p>
    <w:p w14:paraId="1E2A7A2D" w14:textId="77777777" w:rsidR="004B5DD0" w:rsidRDefault="00000000">
      <w:pPr>
        <w:pStyle w:val="Heading2"/>
      </w:pPr>
      <w:r>
        <w:t>7.4 Worked Example — Multiple Damage Categories</w:t>
      </w:r>
    </w:p>
    <w:p w14:paraId="5E9DC5C5" w14:textId="77777777" w:rsidR="004B5DD0" w:rsidRDefault="00000000">
      <w:pPr>
        <w:spacing w:before="80" w:after="100"/>
      </w:pPr>
      <w:r>
        <w:rPr>
          <w:color w:val="222222"/>
        </w:rPr>
        <w:t>Consider a Passenger Car (Class PC), Tier T2 Standard, three years old, with Zero Depreciation not active, involved in a covered collision where the Damage Assessment Agent returns the following: front-end collision damage of $14,000; medical payments for the driver of $6,200; and rental car need during repairs of 18 days at $65 per day. The Liability Score is 0.76, meaning the 85% multiplier applies.</w:t>
      </w:r>
    </w:p>
    <w:p w14:paraId="65B903F6" w14:textId="77777777" w:rsidR="004B5DD0" w:rsidRDefault="00000000">
      <w:pPr>
        <w:spacing w:before="80" w:after="100"/>
      </w:pPr>
      <w:r>
        <w:rPr>
          <w:color w:val="222222"/>
        </w:rPr>
        <w:t xml:space="preserve">For the collision damage, the eligible damage after applying 10% depreciation on plastic parts (approximately $1,200 of the $14,000 is plastic) is approximately $12,920. Applying the 85% multiplier </w:t>
      </w:r>
      <w:r>
        <w:rPr>
          <w:color w:val="222222"/>
        </w:rPr>
        <w:lastRenderedPageBreak/>
        <w:t>gives $10,982. This is within the $50,000 sub-limit. Subtracting the $1,500 collision deductible yields a collision settlement of $9,482.</w:t>
      </w:r>
    </w:p>
    <w:p w14:paraId="05D9D5B4" w14:textId="77777777" w:rsidR="004B5DD0" w:rsidRDefault="00000000">
      <w:pPr>
        <w:spacing w:before="80" w:after="100"/>
      </w:pPr>
      <w:r>
        <w:rPr>
          <w:color w:val="222222"/>
        </w:rPr>
        <w:t>For the medical payments, eligible damage is $6,200 with no depreciation. Applying 85% gives $5,270. This is within the $10,000 sub-limit. No deductible on medical payments. Settlement is $5,270.</w:t>
      </w:r>
    </w:p>
    <w:p w14:paraId="10E80BFF" w14:textId="77777777" w:rsidR="004B5DD0" w:rsidRDefault="00000000">
      <w:pPr>
        <w:spacing w:before="80" w:after="100"/>
      </w:pPr>
      <w:r>
        <w:rPr>
          <w:color w:val="222222"/>
        </w:rPr>
        <w:t>For rental reimbursement (add-on active), 18 days at $65 per day is $1,170, within the $75/day and 30-day cap. No deductible on rental. Settlement is $1,170.</w:t>
      </w:r>
    </w:p>
    <w:p w14:paraId="3120F28E" w14:textId="77777777" w:rsidR="004B5DD0" w:rsidRDefault="00000000">
      <w:pPr>
        <w:spacing w:before="80" w:after="100"/>
      </w:pPr>
      <w:r>
        <w:rPr>
          <w:color w:val="222222"/>
        </w:rPr>
        <w:t>Total claim settlement is $9,482 plus $5,270 plus $1,170, equalling $15,922.</w:t>
      </w:r>
    </w:p>
    <w:p w14:paraId="5805FEE9" w14:textId="77777777" w:rsidR="004B5DD0" w:rsidRDefault="004B5DD0">
      <w:pPr>
        <w:pageBreakBefore/>
      </w:pPr>
    </w:p>
    <w:p w14:paraId="79111BDD" w14:textId="77777777" w:rsidR="004B5DD0" w:rsidRDefault="00000000">
      <w:pPr>
        <w:pStyle w:val="Heading1"/>
        <w:pBdr>
          <w:bottom w:val="single" w:sz="10" w:space="4" w:color="2C5F9E"/>
        </w:pBdr>
      </w:pPr>
      <w:r>
        <w:t>8. Claims Procedure and Documentation</w:t>
      </w:r>
    </w:p>
    <w:p w14:paraId="2066EAB8" w14:textId="77777777" w:rsidR="004B5DD0" w:rsidRDefault="00000000">
      <w:pPr>
        <w:pStyle w:val="Heading2"/>
      </w:pPr>
      <w:r>
        <w:t>8.1 Notification Obligations</w:t>
      </w:r>
    </w:p>
    <w:p w14:paraId="27474B05" w14:textId="77777777" w:rsidR="004B5DD0" w:rsidRDefault="00000000">
      <w:pPr>
        <w:spacing w:before="80" w:after="100"/>
      </w:pPr>
      <w:r>
        <w:rPr>
          <w:color w:val="222222"/>
        </w:rPr>
        <w:t>Prompt notification is a condition precedent to coverage under this policy. The insured must notify the Company within 24 hours of any road accident, within 12 hours of discovering a vehicle theft, within 6 hours of discovering a fire or explosion, and within 48 hours of a natural disaster event. Notification may be made through the Company's mobile application, online portal, or 24-hour claims telephone line. The initial notification does not need to include full documentation — it needs only to register the claim and preserve the insured's rights under the policy.</w:t>
      </w:r>
    </w:p>
    <w:p w14:paraId="7515BECD" w14:textId="77777777" w:rsidR="004B5DD0" w:rsidRDefault="00000000">
      <w:pPr>
        <w:spacing w:before="80" w:after="100"/>
      </w:pPr>
      <w:r>
        <w:rPr>
          <w:color w:val="222222"/>
        </w:rPr>
        <w:t>Late notification does not automatically void coverage but does activate a penalty framework. Accident notification arriving between 24 and 72 hours late may reduce the settlement by up to 25 percent. Theft notification arriving between 12 and 24 hours late may reduce settlement by up to 50 percent. Notification arriving more than 72 hours late for any incident type will be reviewed by a human adjuster who determines whether the delay was reasonable given the circumstances — for example, a policyholder who was hospitalized and unable to notify earlier would not be penalized.</w:t>
      </w:r>
    </w:p>
    <w:p w14:paraId="5E45C352" w14:textId="77777777" w:rsidR="004B5DD0" w:rsidRDefault="00000000">
      <w:pPr>
        <w:pStyle w:val="Heading2"/>
      </w:pPr>
      <w:r>
        <w:t>8.2 Required Documentation</w:t>
      </w:r>
    </w:p>
    <w:p w14:paraId="3562FC94" w14:textId="77777777" w:rsidR="004B5DD0" w:rsidRDefault="00000000">
      <w:pPr>
        <w:spacing w:before="80" w:after="100"/>
      </w:pPr>
      <w:r>
        <w:rPr>
          <w:color w:val="222222"/>
        </w:rPr>
        <w:t xml:space="preserve">Every claim must be supported by a completed claim form, a copy of the current insurance certificate, the vehicle registration document, the driver's license of the person operating the vehicle at the time of the incident, and at minimum four clear photographs showing the damage from different angles. For road accidents on public roads, </w:t>
      </w:r>
      <w:proofErr w:type="gramStart"/>
      <w:r>
        <w:rPr>
          <w:color w:val="222222"/>
        </w:rPr>
        <w:t>a police</w:t>
      </w:r>
      <w:proofErr w:type="gramEnd"/>
      <w:r>
        <w:rPr>
          <w:color w:val="222222"/>
        </w:rPr>
        <w:t xml:space="preserve"> first information report (FIR) is mandatory. For theft claims, the FIR and a statement confirming the vehicle has not been recovered within 30 days are required before final settlement. For natural disaster claims, a weather authority certification or government disaster declaration must confirm the event. For fire claims, a fire department report identifying the probable cause of the fire must be submitted.</w:t>
      </w:r>
    </w:p>
    <w:p w14:paraId="318080CD" w14:textId="77777777" w:rsidR="004B5DD0" w:rsidRDefault="00000000">
      <w:pPr>
        <w:spacing w:before="80" w:after="100"/>
      </w:pPr>
      <w:r>
        <w:rPr>
          <w:color w:val="222222"/>
        </w:rPr>
        <w:t>Repair estimates must come from an authorised workshop or the Company's own approved network. The policyholder must not authorize repairs exceeding $500 in value before the Company's surveyor has inspected the vehicle, except for emergency safety repairs required to make the vehicle safe for roadside removal or towing. Failure to allow inspection may result in the Company relying on the photographic evidence alone for damage assessment, potentially yielding a lower settlement than would result from a physical inspection.</w:t>
      </w:r>
    </w:p>
    <w:p w14:paraId="29D9F371" w14:textId="77777777" w:rsidR="004B5DD0" w:rsidRDefault="00000000">
      <w:pPr>
        <w:pStyle w:val="Heading2"/>
      </w:pPr>
      <w:r>
        <w:t>8.3 Processing Timeline</w:t>
      </w:r>
    </w:p>
    <w:p w14:paraId="295D0E05" w14:textId="77777777" w:rsidR="004B5DD0" w:rsidRDefault="00000000">
      <w:pPr>
        <w:spacing w:before="80" w:after="100"/>
      </w:pPr>
      <w:r>
        <w:rPr>
          <w:color w:val="222222"/>
        </w:rPr>
        <w:t>Upon receipt of notification, the Company acknowledges the claim within 24 hours and assigns a claim reference number. Document verification occurs within the first two business days. The Damage Assessment Agent conducts its evaluation, typically completing within three business days of document submission. The RAG Agent then executes the compensation calculation, ordinarily within four hours of receiving the agent's outputs. For claims where a licensed surveyor inspection is triggered — generally when repair costs exceed $5,000 or when total loss is suspected — the surveyor appointment is arranged within three to seven business days of notification. Final settlement offers are issued within ten business days for straightforward claims and within fifteen business days when a surveyor is involved. Payment is disbursed within five business days of the insured accepting the settlement offer.</w:t>
      </w:r>
    </w:p>
    <w:p w14:paraId="71EF92BB" w14:textId="77777777" w:rsidR="004B5DD0" w:rsidRDefault="004B5DD0">
      <w:pPr>
        <w:pageBreakBefore/>
      </w:pPr>
    </w:p>
    <w:p w14:paraId="0EDD03A0" w14:textId="77777777" w:rsidR="004B5DD0" w:rsidRDefault="00000000">
      <w:pPr>
        <w:pStyle w:val="Heading1"/>
        <w:pBdr>
          <w:bottom w:val="single" w:sz="10" w:space="4" w:color="2C5F9E"/>
        </w:pBdr>
      </w:pPr>
      <w:r>
        <w:t>9. AI Agent Computation Rules and Edge Cases</w:t>
      </w:r>
    </w:p>
    <w:p w14:paraId="4FE0D5FC" w14:textId="77777777" w:rsidR="004B5DD0" w:rsidRDefault="00000000">
      <w:pPr>
        <w:pStyle w:val="Heading2"/>
      </w:pPr>
      <w:r>
        <w:t>9.1 Lookup Priority</w:t>
      </w:r>
    </w:p>
    <w:p w14:paraId="7F7DFB9C" w14:textId="77777777" w:rsidR="004B5DD0" w:rsidRDefault="00000000">
      <w:pPr>
        <w:spacing w:before="80" w:after="100"/>
      </w:pPr>
      <w:r>
        <w:rPr>
          <w:color w:val="222222"/>
        </w:rPr>
        <w:t>The RAG Agent must execute its policy lookups in a defined sequence to ensure consistency and prevent errors. First, establish the vehicle class from the claim file. Second, confirm the policy tier. Third, verify the policy was in force and not lapsed, suspended, or cancelled at the time of the incident. Fourth, scan for any exclusions that apply to the primary cause of loss. If a complete exclusion is confirmed, stop processing and return zero compensation with exclusion details. Fifth, identify the damage categories from the Damage Assessment Agent output. Sixth, retrieve sub-limits for each category based on the confirmed class and tier. Seventh, verify which add-ons are active, as this can change sub-limits, eliminate depreciation, or alter the settlement basis. Eighth, retrieve the Liability Score and identify the applicable multiplier. Ninth, apply the depreciation schedule to each damage category. Tenth, execute the compensation formula for each category. Eleventh, check whether total loss criteria are met if any damage category involves own-damage near the vehicle's ACV. Twelfth, sum all category settlements and output the final structured compensation decision.</w:t>
      </w:r>
    </w:p>
    <w:p w14:paraId="1F2A926D" w14:textId="77777777" w:rsidR="004B5DD0" w:rsidRDefault="00000000">
      <w:pPr>
        <w:pStyle w:val="Heading2"/>
      </w:pPr>
      <w:r>
        <w:t>9.2 Edge Case Handling</w:t>
      </w:r>
    </w:p>
    <w:p w14:paraId="3F4011BA" w14:textId="77777777" w:rsidR="004B5DD0" w:rsidRDefault="00000000">
      <w:pPr>
        <w:spacing w:before="80" w:after="100"/>
      </w:pPr>
      <w:r>
        <w:rPr>
          <w:color w:val="222222"/>
        </w:rPr>
        <w:t>When the Liability Score falls below 0.10, the RAG Agent must return zero compensation and flag the claim for mandatory human adjuster review before final closure. The agent must not apply the compensation formula at all in this range, as scores this low typically indicate a complete exclusion or total fault by the insured that requires a judgment call.</w:t>
      </w:r>
    </w:p>
    <w:p w14:paraId="17F4D3E8" w14:textId="77777777" w:rsidR="004B5DD0" w:rsidRDefault="00000000">
      <w:pPr>
        <w:spacing w:before="80" w:after="100"/>
      </w:pPr>
      <w:r>
        <w:rPr>
          <w:color w:val="222222"/>
        </w:rPr>
        <w:t>When vehicle class cannot be determined from the claim file, the agent must not default to any class and must request clarification. Using the wrong vehicle class would apply incorrect sub-limits and deductibles, potentially overpaying or underpaying significantly.</w:t>
      </w:r>
    </w:p>
    <w:p w14:paraId="26721BC3" w14:textId="77777777" w:rsidR="004B5DD0" w:rsidRDefault="00000000">
      <w:pPr>
        <w:spacing w:before="80" w:after="100"/>
      </w:pPr>
      <w:r>
        <w:rPr>
          <w:color w:val="222222"/>
        </w:rPr>
        <w:t>When the policy was lapsed at the time of the incident, coverage is void and the compensation is zero. The agent must not compute any amount and must clearly state the policy status as the basis for denial.</w:t>
      </w:r>
    </w:p>
    <w:p w14:paraId="029FCF53" w14:textId="77777777" w:rsidR="004B5DD0" w:rsidRDefault="00000000">
      <w:pPr>
        <w:spacing w:before="80" w:after="100"/>
      </w:pPr>
      <w:r>
        <w:rPr>
          <w:color w:val="222222"/>
        </w:rPr>
        <w:t>When a single incident produces damage falling into multiple categories — for example, a truck collision that damages the vehicle, destroys cargo, injures the driver, and causes third-party property damage — each category must be processed independently with its own sub-limit and deductible before summing. The deductible is never shared across categories.</w:t>
      </w:r>
    </w:p>
    <w:p w14:paraId="47E16191" w14:textId="77777777" w:rsidR="004B5DD0" w:rsidRDefault="00000000">
      <w:pPr>
        <w:spacing w:before="80" w:after="100"/>
      </w:pPr>
      <w:r>
        <w:rPr>
          <w:color w:val="222222"/>
        </w:rPr>
        <w:t>When repair costs reach or exceed the total loss threshold but total loss has not been formally declared by the Damage Assessment Agent, the RAG Agent must flag this as a total-loss-pending situation and pause the settlement pending confirmation, rather than proceeding on a repair basis.</w:t>
      </w:r>
    </w:p>
    <w:p w14:paraId="2C68DD48" w14:textId="77777777" w:rsidR="004B5DD0" w:rsidRDefault="00000000">
      <w:pPr>
        <w:spacing w:before="80" w:after="100"/>
      </w:pPr>
      <w:r>
        <w:rPr>
          <w:color w:val="222222"/>
        </w:rPr>
        <w:t>When the deductible equals or exceeds the compensable amount after applying the multiplier and sub-limit, the settlement for that category is zero. This is not an exclusion; the coverage exists but the damage simply does not exceed the deductible. The agent must note this in the output rather than returning a generic zero.</w:t>
      </w:r>
    </w:p>
    <w:p w14:paraId="4DFDE953" w14:textId="77777777" w:rsidR="004B5DD0" w:rsidRDefault="00000000">
      <w:pPr>
        <w:pStyle w:val="Heading2"/>
      </w:pPr>
      <w:r>
        <w:t>9.3 Required Output Fields</w:t>
      </w:r>
    </w:p>
    <w:p w14:paraId="3BF29F72" w14:textId="5831230F" w:rsidR="004B5DD0" w:rsidRDefault="00000000" w:rsidP="00080CF0">
      <w:pPr>
        <w:spacing w:before="80" w:after="100"/>
      </w:pPr>
      <w:r>
        <w:rPr>
          <w:color w:val="222222"/>
        </w:rPr>
        <w:t>Every RAG Agent output must include the claim ID, the identified vehicle class and policy tier, the Liability Score as received and the multiplier applied, a damage category breakdown showing gross damage, depreciation applied, eligible damage, multiplier-adjusted amount, sub-limit applied, deductible applied, and category settlement for each damage type, a list of active add-ons verified, a list of any exclusions flagged, the total claim settlement, a boolean indicating whether total loss was declared, a boolean indicating whether manual review is required, and a plain-language computation note explaining any reductions, caps, exclusion triggers, or edge cases encountered.</w:t>
      </w:r>
    </w:p>
    <w:p w14:paraId="39942ACD" w14:textId="77777777" w:rsidR="004B5DD0" w:rsidRDefault="00000000">
      <w:pPr>
        <w:pStyle w:val="Heading1"/>
        <w:pBdr>
          <w:bottom w:val="single" w:sz="10" w:space="4" w:color="2C5F9E"/>
        </w:pBdr>
      </w:pPr>
      <w:r>
        <w:lastRenderedPageBreak/>
        <w:t>10. Policy Conditions and Legal Provisions</w:t>
      </w:r>
    </w:p>
    <w:p w14:paraId="043AD2AB" w14:textId="77777777" w:rsidR="004B5DD0" w:rsidRDefault="00000000">
      <w:pPr>
        <w:pStyle w:val="Heading2"/>
      </w:pPr>
      <w:r>
        <w:t>10.1 Duties of the Insured</w:t>
      </w:r>
    </w:p>
    <w:p w14:paraId="5FB09594" w14:textId="77777777" w:rsidR="004B5DD0" w:rsidRDefault="00000000">
      <w:pPr>
        <w:spacing w:before="80" w:after="100"/>
      </w:pPr>
      <w:r>
        <w:rPr>
          <w:color w:val="222222"/>
        </w:rPr>
        <w:t>The insured is required to maintain the vehicle in a roadworthy condition consistent with manufacturer guidelines, to notify the Company promptly of any material change in the risk — including a change of address, a change in how the vehicle is used, addition of a new regular driver, or significant vehicle modifications — and to cooperate fully with all investigations and inspections requested by the Company or its agents. The insured must not admit liability to any third party, make any offer of settlement, or take any other action that compromises the Company's legal position without the Company's prior written consent. These duties are ongoing conditions of coverage and breach of a material duty may result in a proportionate reduction of the settlement or, in serious cases, denial of the claim entirely.</w:t>
      </w:r>
    </w:p>
    <w:p w14:paraId="14673618" w14:textId="77777777" w:rsidR="004B5DD0" w:rsidRDefault="00000000">
      <w:pPr>
        <w:pStyle w:val="Heading2"/>
      </w:pPr>
      <w:r>
        <w:t>10.2 Subrogation Rights</w:t>
      </w:r>
    </w:p>
    <w:p w14:paraId="5692FCB3" w14:textId="77777777" w:rsidR="004B5DD0" w:rsidRDefault="00000000">
      <w:pPr>
        <w:spacing w:before="80" w:after="100"/>
      </w:pPr>
      <w:r>
        <w:rPr>
          <w:color w:val="222222"/>
        </w:rPr>
        <w:t>Upon paying any claim, the Company is subrogated to all of the insured's rights and remedies against any responsible third party, up to the amount paid. The insured must cooperate with the Company's subrogation efforts, which may involve providing witness statements, legal documents, and expert evidence. The insured must not take any action that would prejudice the Company's subrogation rights, such as settling privately with the at-fault party and releasing them from liability before the Company has recovered its outlay.</w:t>
      </w:r>
    </w:p>
    <w:p w14:paraId="5FF551E4" w14:textId="77777777" w:rsidR="004B5DD0" w:rsidRDefault="00000000">
      <w:pPr>
        <w:pStyle w:val="Heading2"/>
      </w:pPr>
      <w:r>
        <w:t>10.3 Policy Cancellation</w:t>
      </w:r>
    </w:p>
    <w:p w14:paraId="61538320" w14:textId="77777777" w:rsidR="004B5DD0" w:rsidRDefault="00000000">
      <w:pPr>
        <w:spacing w:before="80" w:after="100"/>
      </w:pPr>
      <w:r>
        <w:rPr>
          <w:color w:val="222222"/>
        </w:rPr>
        <w:t>The insured may cancel this policy at any time by providing 30 days written notice, and will receive a pro-rata refund of the unearned premium for the remaining policy period. The Company may cancel the policy for non-payment of premium with 10 days notice, or for material misrepresentation with 30 days notice, in which case a short-rate refund applies. If the Company discovers that the insured obtained coverage through fraud or intentional misrepresentation, the policy is voided from its inception date, all claims paid may be recovered, and no refund is issued.</w:t>
      </w:r>
    </w:p>
    <w:p w14:paraId="5BDA40A9" w14:textId="77777777" w:rsidR="004B5DD0" w:rsidRDefault="00000000">
      <w:pPr>
        <w:pStyle w:val="Heading2"/>
      </w:pPr>
      <w:r>
        <w:t>10.4 Dispute Resolution</w:t>
      </w:r>
    </w:p>
    <w:p w14:paraId="5EEF6BA9" w14:textId="77777777" w:rsidR="004B5DD0" w:rsidRDefault="00000000">
      <w:pPr>
        <w:spacing w:before="80" w:after="100"/>
      </w:pPr>
      <w:r>
        <w:rPr>
          <w:color w:val="222222"/>
        </w:rPr>
        <w:t>Any disagreement about a claim settlement may be escalated through a three-level process. At the first level, the insured submits a written appeal within 30 days of receiving the settlement offer, and a senior claims officer responds within 15 business days. If unsatisfied, either party may request independent mediation at the second level, which must be initiated within 60 days of the Level 1 decision. If mediation fails to produce agreement, either party may proceed to binding arbitration under American Arbitration Association rules at the third level. This policy is governed by the laws of the state in which it is issued and all proceedings will take place in that state's jurisdiction.</w:t>
      </w:r>
    </w:p>
    <w:p w14:paraId="22020B30" w14:textId="77777777" w:rsidR="004B5DD0" w:rsidRDefault="004B5DD0">
      <w:pPr>
        <w:pageBreakBefore/>
      </w:pPr>
    </w:p>
    <w:p w14:paraId="4373ED48" w14:textId="77777777" w:rsidR="004B5DD0" w:rsidRDefault="00000000">
      <w:pPr>
        <w:pStyle w:val="Heading1"/>
        <w:pBdr>
          <w:bottom w:val="single" w:sz="10" w:space="4" w:color="2C5F9E"/>
        </w:pBdr>
      </w:pPr>
      <w:r>
        <w:t>11. Definitions</w:t>
      </w:r>
    </w:p>
    <w:p w14:paraId="5162A983" w14:textId="77777777" w:rsidR="004B5DD0" w:rsidRDefault="00000000">
      <w:pPr>
        <w:spacing w:before="80" w:after="100"/>
      </w:pPr>
      <w:r>
        <w:rPr>
          <w:color w:val="222222"/>
        </w:rPr>
        <w:t>The following terms have specific meanings throughout this policy document and the AI Claims Adjudication System.</w:t>
      </w:r>
    </w:p>
    <w:p w14:paraId="510DF5EF" w14:textId="77777777" w:rsidR="004B5DD0" w:rsidRDefault="00000000">
      <w:pPr>
        <w:pStyle w:val="Heading3"/>
      </w:pPr>
      <w:r>
        <w:t>Actual Cash Value (ACV)</w:t>
      </w:r>
    </w:p>
    <w:p w14:paraId="1FA0A885" w14:textId="77777777" w:rsidR="004B5DD0" w:rsidRDefault="00000000">
      <w:pPr>
        <w:spacing w:before="80" w:after="100"/>
      </w:pPr>
      <w:r>
        <w:rPr>
          <w:color w:val="222222"/>
        </w:rPr>
        <w:t>The fair market value of the insured vehicle immediately before the loss event, taking into account the vehicle's age, mileage, condition, and comparable market prices for similar vehicles in the same geographic region. ACV is determined by the Damage Assessment Agent using industry-standard valuation tools and is the default settlement basis for total loss claims when no RTI or Agreed Value provision applies.</w:t>
      </w:r>
    </w:p>
    <w:p w14:paraId="716DAFDC" w14:textId="77777777" w:rsidR="004B5DD0" w:rsidRDefault="00000000">
      <w:pPr>
        <w:pStyle w:val="Heading3"/>
      </w:pPr>
      <w:r>
        <w:t>Agreed Value</w:t>
      </w:r>
    </w:p>
    <w:p w14:paraId="180077F2" w14:textId="77777777" w:rsidR="004B5DD0" w:rsidRDefault="00000000">
      <w:pPr>
        <w:spacing w:before="80" w:after="100"/>
      </w:pPr>
      <w:r>
        <w:rPr>
          <w:color w:val="222222"/>
        </w:rPr>
        <w:t>A predetermined insured value established at policy inception through a professional appraisal and recorded in the policy schedule. Agreed Value applies exclusively to Specialty Vehicle class policies and does not change during the policy period. In a total loss situation, the insured receives the full Agreed Value less the deductible, with no further depreciation applied.</w:t>
      </w:r>
    </w:p>
    <w:p w14:paraId="65063D7A" w14:textId="77777777" w:rsidR="004B5DD0" w:rsidRDefault="00000000">
      <w:pPr>
        <w:pStyle w:val="Heading3"/>
      </w:pPr>
      <w:r>
        <w:t>Compensable Amount</w:t>
      </w:r>
    </w:p>
    <w:p w14:paraId="3B7164DC" w14:textId="77777777" w:rsidR="004B5DD0" w:rsidRDefault="00000000">
      <w:pPr>
        <w:spacing w:before="80" w:after="100"/>
      </w:pPr>
      <w:r>
        <w:rPr>
          <w:color w:val="222222"/>
        </w:rPr>
        <w:t xml:space="preserve">The final dollar </w:t>
      </w:r>
      <w:proofErr w:type="gramStart"/>
      <w:r>
        <w:rPr>
          <w:color w:val="222222"/>
        </w:rPr>
        <w:t>amount</w:t>
      </w:r>
      <w:proofErr w:type="gramEnd"/>
      <w:r>
        <w:rPr>
          <w:color w:val="222222"/>
        </w:rPr>
        <w:t xml:space="preserve"> payable to the insured for a given damage category after applying the liability multiplier, depreciation, sub-limit cap, and deductible. The sum of all category compensable amounts is the total claim settlement.</w:t>
      </w:r>
    </w:p>
    <w:p w14:paraId="08372936" w14:textId="77777777" w:rsidR="004B5DD0" w:rsidRDefault="00000000">
      <w:pPr>
        <w:pStyle w:val="Heading3"/>
      </w:pPr>
      <w:r>
        <w:t>Damage Assessment Agent</w:t>
      </w:r>
    </w:p>
    <w:p w14:paraId="4734B590" w14:textId="77777777" w:rsidR="004B5DD0" w:rsidRDefault="00000000">
      <w:pPr>
        <w:spacing w:before="80" w:after="100"/>
      </w:pPr>
      <w:r>
        <w:rPr>
          <w:color w:val="222222"/>
        </w:rPr>
        <w:t>The dedicated AI system module that receives claim documentation and produces: an itemised list of damage categories with repair cost estimates, a total damage value, and a Liability Score. Its output is the primary input to the RAG Agent.</w:t>
      </w:r>
    </w:p>
    <w:p w14:paraId="4C2630F3" w14:textId="77777777" w:rsidR="004B5DD0" w:rsidRDefault="00000000">
      <w:pPr>
        <w:pStyle w:val="Heading3"/>
      </w:pPr>
      <w:r>
        <w:t>Deductible</w:t>
      </w:r>
    </w:p>
    <w:p w14:paraId="7030B9BC" w14:textId="77777777" w:rsidR="004B5DD0" w:rsidRDefault="00000000">
      <w:pPr>
        <w:spacing w:before="80" w:after="100"/>
      </w:pPr>
      <w:r>
        <w:rPr>
          <w:color w:val="222222"/>
        </w:rPr>
        <w:t>The fixed monetary amount the insured is responsible for contributing to each covered claim category before the Company's payment obligation begins. Deductibles are specific to coverage type and policy tier. Third-party liability claims do not carry a deductible for the third party but do reduce the net recovery to the insured for that component of the claim.</w:t>
      </w:r>
    </w:p>
    <w:p w14:paraId="18524AE0" w14:textId="77777777" w:rsidR="004B5DD0" w:rsidRDefault="00000000">
      <w:pPr>
        <w:pStyle w:val="Heading3"/>
      </w:pPr>
      <w:r>
        <w:t>Eligible Damage</w:t>
      </w:r>
    </w:p>
    <w:p w14:paraId="280F244E" w14:textId="77777777" w:rsidR="004B5DD0" w:rsidRDefault="00000000">
      <w:pPr>
        <w:spacing w:before="80" w:after="100"/>
      </w:pPr>
      <w:r>
        <w:rPr>
          <w:color w:val="222222"/>
        </w:rPr>
        <w:t>The gross damage estimate for a category after subtracting the applicable depreciation amount. This is the figure to which the Liability Multiplier is applied in the compensation formula. If Zero Depreciation cover is active, Eligible Damage equals the Gross Damage Estimate.</w:t>
      </w:r>
    </w:p>
    <w:p w14:paraId="67F08F43" w14:textId="77777777" w:rsidR="004B5DD0" w:rsidRDefault="00000000">
      <w:pPr>
        <w:pStyle w:val="Heading3"/>
      </w:pPr>
      <w:r>
        <w:t>Liability Score</w:t>
      </w:r>
    </w:p>
    <w:p w14:paraId="12B4EFC2" w14:textId="77777777" w:rsidR="004B5DD0" w:rsidRDefault="00000000">
      <w:pPr>
        <w:spacing w:before="80" w:after="100"/>
      </w:pPr>
      <w:r>
        <w:rPr>
          <w:color w:val="222222"/>
        </w:rPr>
        <w:t>A decimal value between 0.00 and 1.00 produced by the Damage Assessment Agent. It quantifies the combined effect of insured fault apportionment, coverage applicability, documentation quality, and notification compliance. A score of 1.00 represents a perfectly documented, zero-fault, fully covered incident. A score of 0.00 represents a complete exclusion or total fault.</w:t>
      </w:r>
    </w:p>
    <w:p w14:paraId="425EA6F7" w14:textId="77777777" w:rsidR="004B5DD0" w:rsidRDefault="00000000">
      <w:pPr>
        <w:pStyle w:val="Heading3"/>
      </w:pPr>
      <w:r>
        <w:t>RAG Agent</w:t>
      </w:r>
    </w:p>
    <w:p w14:paraId="44382221" w14:textId="77777777" w:rsidR="004B5DD0" w:rsidRDefault="00000000">
      <w:pPr>
        <w:spacing w:before="80" w:after="100"/>
      </w:pPr>
      <w:r>
        <w:rPr>
          <w:color w:val="222222"/>
        </w:rPr>
        <w:t>The Retrieval-Augmented Generation AI module that retrieves applicable policy provisions from this document and uses them, together with the Damage Assessment Agent's output, to compute the final compensation amount. The RAG Agent's outputs must be fully traceable to provisions in this policy.</w:t>
      </w:r>
    </w:p>
    <w:p w14:paraId="38822202" w14:textId="77777777" w:rsidR="004B5DD0" w:rsidRDefault="00000000">
      <w:pPr>
        <w:pStyle w:val="Heading3"/>
      </w:pPr>
      <w:r>
        <w:lastRenderedPageBreak/>
        <w:t>Sub-Limit</w:t>
      </w:r>
    </w:p>
    <w:p w14:paraId="735F6E48" w14:textId="77777777" w:rsidR="004B5DD0" w:rsidRDefault="00000000">
      <w:pPr>
        <w:spacing w:before="80" w:after="100"/>
      </w:pPr>
      <w:r>
        <w:rPr>
          <w:color w:val="222222"/>
        </w:rPr>
        <w:t>The maximum dollar amount the Company will pay for a specific coverage category under a given vehicle class and policy tier. Sub-limits operate within the overall policy limit but may be substantially less than it, particularly for add-on categories such as accessories, cargo, or personal belongings.</w:t>
      </w:r>
    </w:p>
    <w:p w14:paraId="2F16ABE8" w14:textId="77777777" w:rsidR="004B5DD0" w:rsidRDefault="00000000">
      <w:pPr>
        <w:pStyle w:val="Heading3"/>
      </w:pPr>
      <w:r>
        <w:t>Total Loss</w:t>
      </w:r>
    </w:p>
    <w:p w14:paraId="13CD9E8D" w14:textId="77777777" w:rsidR="004B5DD0" w:rsidRDefault="00000000">
      <w:pPr>
        <w:spacing w:before="80" w:after="100"/>
      </w:pPr>
      <w:r>
        <w:rPr>
          <w:color w:val="222222"/>
        </w:rPr>
        <w:t>A formal determination that the repair cost of the insured vehicle exceeds the total loss threshold percentage of the vehicle's ACV, making repair economically impractical. Once total loss is declared, the settlement basis shifts from repair cost to ACV, Agreed Value, or invoice value depending on the active provisions.</w:t>
      </w:r>
    </w:p>
    <w:p w14:paraId="524854B3" w14:textId="77777777" w:rsidR="004B5DD0" w:rsidRDefault="004B5DD0">
      <w:pPr>
        <w:pageBreakBefore/>
      </w:pPr>
    </w:p>
    <w:p w14:paraId="3BE629D3" w14:textId="77777777" w:rsidR="004B5DD0" w:rsidRDefault="00000000">
      <w:pPr>
        <w:pStyle w:val="Heading1"/>
        <w:pBdr>
          <w:bottom w:val="single" w:sz="10" w:space="4" w:color="2C5F9E"/>
        </w:pBdr>
      </w:pPr>
      <w:r>
        <w:t>12. Governing Law and Regulatory Compliance</w:t>
      </w:r>
    </w:p>
    <w:p w14:paraId="07DF527B" w14:textId="77777777" w:rsidR="004B5DD0" w:rsidRDefault="00000000">
      <w:pPr>
        <w:spacing w:before="80" w:after="100"/>
      </w:pPr>
      <w:r>
        <w:rPr>
          <w:color w:val="222222"/>
        </w:rPr>
        <w:t>This policy is issued and governed in accordance with the insurance laws of the state in which it is delivered, and complies fully with the model regulations of the National Association of Insurance Commissioners (NAIC) and the applicable guidelines of the Insurance Regulatory Authority (IRA). Coverage terms that conflict with mandatory state insurance minimums are automatically amended to meet those minimums without affecting other policy terms.</w:t>
      </w:r>
    </w:p>
    <w:p w14:paraId="1D6BEF75" w14:textId="77777777" w:rsidR="004B5DD0" w:rsidRDefault="00000000">
      <w:pPr>
        <w:spacing w:before="80" w:after="100"/>
      </w:pPr>
      <w:r>
        <w:rPr>
          <w:color w:val="222222"/>
        </w:rPr>
        <w:t>This document is reviewed annually. The version in force on the date of the insured incident governs all claims arising from that incident. Amendments that expand coverage apply immediately to all in-force policies upon notification to the insured. Amendments that restrict coverage apply only at the next policy renewal date. The Company will provide at least 30 days written notice of any material coverage restriction before it takes effect.</w:t>
      </w:r>
    </w:p>
    <w:p w14:paraId="50CE2CE0" w14:textId="77777777" w:rsidR="004B5DD0" w:rsidRDefault="004B5DD0">
      <w:pPr>
        <w:spacing w:before="200"/>
      </w:pPr>
    </w:p>
    <w:p w14:paraId="3A2532D9" w14:textId="0F01ABE1" w:rsidR="004B5DD0" w:rsidRDefault="004B5DD0">
      <w:pPr>
        <w:jc w:val="center"/>
      </w:pPr>
    </w:p>
    <w:sectPr w:rsidR="004B5D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55DF0"/>
    <w:multiLevelType w:val="hybridMultilevel"/>
    <w:tmpl w:val="1C2E924A"/>
    <w:lvl w:ilvl="0" w:tplc="AFCE2670">
      <w:start w:val="1"/>
      <w:numFmt w:val="bullet"/>
      <w:lvlText w:val="●"/>
      <w:lvlJc w:val="left"/>
      <w:pPr>
        <w:ind w:left="720" w:hanging="360"/>
      </w:pPr>
    </w:lvl>
    <w:lvl w:ilvl="1" w:tplc="13DC2DCC">
      <w:start w:val="1"/>
      <w:numFmt w:val="bullet"/>
      <w:lvlText w:val="○"/>
      <w:lvlJc w:val="left"/>
      <w:pPr>
        <w:ind w:left="1440" w:hanging="360"/>
      </w:pPr>
    </w:lvl>
    <w:lvl w:ilvl="2" w:tplc="41E6A0AC">
      <w:start w:val="1"/>
      <w:numFmt w:val="bullet"/>
      <w:lvlText w:val="■"/>
      <w:lvlJc w:val="left"/>
      <w:pPr>
        <w:ind w:left="2160" w:hanging="360"/>
      </w:pPr>
    </w:lvl>
    <w:lvl w:ilvl="3" w:tplc="985C70AE">
      <w:start w:val="1"/>
      <w:numFmt w:val="bullet"/>
      <w:lvlText w:val="●"/>
      <w:lvlJc w:val="left"/>
      <w:pPr>
        <w:ind w:left="2880" w:hanging="360"/>
      </w:pPr>
    </w:lvl>
    <w:lvl w:ilvl="4" w:tplc="29E493AA">
      <w:start w:val="1"/>
      <w:numFmt w:val="bullet"/>
      <w:lvlText w:val="○"/>
      <w:lvlJc w:val="left"/>
      <w:pPr>
        <w:ind w:left="3600" w:hanging="360"/>
      </w:pPr>
    </w:lvl>
    <w:lvl w:ilvl="5" w:tplc="46D48FE2">
      <w:start w:val="1"/>
      <w:numFmt w:val="bullet"/>
      <w:lvlText w:val="■"/>
      <w:lvlJc w:val="left"/>
      <w:pPr>
        <w:ind w:left="4320" w:hanging="360"/>
      </w:pPr>
    </w:lvl>
    <w:lvl w:ilvl="6" w:tplc="4AAC318A">
      <w:start w:val="1"/>
      <w:numFmt w:val="bullet"/>
      <w:lvlText w:val="●"/>
      <w:lvlJc w:val="left"/>
      <w:pPr>
        <w:ind w:left="5040" w:hanging="360"/>
      </w:pPr>
    </w:lvl>
    <w:lvl w:ilvl="7" w:tplc="DB84E6AE">
      <w:start w:val="1"/>
      <w:numFmt w:val="bullet"/>
      <w:lvlText w:val="●"/>
      <w:lvlJc w:val="left"/>
      <w:pPr>
        <w:ind w:left="5760" w:hanging="360"/>
      </w:pPr>
    </w:lvl>
    <w:lvl w:ilvl="8" w:tplc="5E543278">
      <w:start w:val="1"/>
      <w:numFmt w:val="bullet"/>
      <w:lvlText w:val="●"/>
      <w:lvlJc w:val="left"/>
      <w:pPr>
        <w:ind w:left="6480" w:hanging="360"/>
      </w:pPr>
    </w:lvl>
  </w:abstractNum>
  <w:abstractNum w:abstractNumId="1" w15:restartNumberingAfterBreak="0">
    <w:nsid w:val="73C52D31"/>
    <w:multiLevelType w:val="hybridMultilevel"/>
    <w:tmpl w:val="DBEA3FAC"/>
    <w:lvl w:ilvl="0" w:tplc="31E8D9A0">
      <w:start w:val="1"/>
      <w:numFmt w:val="bullet"/>
      <w:lvlText w:val="•"/>
      <w:lvlJc w:val="left"/>
      <w:pPr>
        <w:spacing w:before="60" w:after="60"/>
        <w:ind w:left="720" w:hanging="360"/>
      </w:pPr>
    </w:lvl>
    <w:lvl w:ilvl="1" w:tplc="6FD818B2">
      <w:start w:val="1"/>
      <w:numFmt w:val="bullet"/>
      <w:lvlText w:val="◦"/>
      <w:lvlJc w:val="left"/>
      <w:pPr>
        <w:spacing w:before="40" w:after="40"/>
        <w:ind w:left="1080" w:hanging="360"/>
      </w:pPr>
    </w:lvl>
    <w:lvl w:ilvl="2" w:tplc="C8C85E78">
      <w:numFmt w:val="decimal"/>
      <w:lvlText w:val=""/>
      <w:lvlJc w:val="left"/>
    </w:lvl>
    <w:lvl w:ilvl="3" w:tplc="BD26E2AC">
      <w:numFmt w:val="decimal"/>
      <w:lvlText w:val=""/>
      <w:lvlJc w:val="left"/>
    </w:lvl>
    <w:lvl w:ilvl="4" w:tplc="931C3296">
      <w:numFmt w:val="decimal"/>
      <w:lvlText w:val=""/>
      <w:lvlJc w:val="left"/>
    </w:lvl>
    <w:lvl w:ilvl="5" w:tplc="30160BF6">
      <w:numFmt w:val="decimal"/>
      <w:lvlText w:val=""/>
      <w:lvlJc w:val="left"/>
    </w:lvl>
    <w:lvl w:ilvl="6" w:tplc="3FAAE55E">
      <w:numFmt w:val="decimal"/>
      <w:lvlText w:val=""/>
      <w:lvlJc w:val="left"/>
    </w:lvl>
    <w:lvl w:ilvl="7" w:tplc="036A4B16">
      <w:numFmt w:val="decimal"/>
      <w:lvlText w:val=""/>
      <w:lvlJc w:val="left"/>
    </w:lvl>
    <w:lvl w:ilvl="8" w:tplc="15B07AE0">
      <w:numFmt w:val="decimal"/>
      <w:lvlText w:val=""/>
      <w:lvlJc w:val="left"/>
    </w:lvl>
  </w:abstractNum>
  <w:num w:numId="1" w16cid:durableId="409542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DD0"/>
    <w:rsid w:val="00080CF0"/>
    <w:rsid w:val="00185C04"/>
    <w:rsid w:val="004B5DD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219D"/>
  <w15:docId w15:val="{36407D81-A701-4B05-B067-D867A68B1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F6F"/>
      <w:sz w:val="36"/>
      <w:szCs w:val="36"/>
    </w:rPr>
  </w:style>
  <w:style w:type="paragraph" w:styleId="Heading2">
    <w:name w:val="heading 2"/>
    <w:uiPriority w:val="9"/>
    <w:unhideWhenUsed/>
    <w:qFormat/>
    <w:pPr>
      <w:spacing w:before="280" w:after="140"/>
      <w:outlineLvl w:val="1"/>
    </w:pPr>
    <w:rPr>
      <w:b/>
      <w:bCs/>
      <w:color w:val="2C5F9E"/>
      <w:sz w:val="28"/>
      <w:szCs w:val="28"/>
    </w:rPr>
  </w:style>
  <w:style w:type="paragraph" w:styleId="Heading3">
    <w:name w:val="heading 3"/>
    <w:uiPriority w:val="9"/>
    <w:unhideWhenUsed/>
    <w:qFormat/>
    <w:pPr>
      <w:spacing w:before="200" w:after="100"/>
      <w:outlineLvl w:val="2"/>
    </w:pPr>
    <w:rPr>
      <w:b/>
      <w:bCs/>
      <w:color w:val="1A3F6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11574</Words>
  <Characters>65977</Characters>
  <Application>Microsoft Office Word</Application>
  <DocSecurity>0</DocSecurity>
  <Lines>549</Lines>
  <Paragraphs>154</Paragraphs>
  <ScaleCrop>false</ScaleCrop>
  <Company/>
  <LinksUpToDate>false</LinksUpToDate>
  <CharactersWithSpaces>77397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ajwaqayyum105@gmail.com</cp:lastModifiedBy>
  <cp:revision>2</cp:revision>
  <dcterms:created xsi:type="dcterms:W3CDTF">2026-03-11T19:31:00Z</dcterms:created>
  <dcterms:modified xsi:type="dcterms:W3CDTF">2026-03-20T12:30:00Z</dcterms:modified>
</cp:coreProperties>
</file>