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951"/>
        <w:gridCol w:w="2552"/>
        <w:gridCol w:w="1447"/>
        <w:gridCol w:w="1374"/>
        <w:gridCol w:w="2027"/>
      </w:tblGrid>
      <w:tr w:rsidR="00DA1521" w14:paraId="6A4E12AB" w14:textId="77777777" w:rsidTr="00DF76DF">
        <w:tc>
          <w:tcPr>
            <w:tcW w:w="1951" w:type="dxa"/>
          </w:tcPr>
          <w:p w14:paraId="4A25ACC0" w14:textId="3E0F2798" w:rsidR="00DA1521" w:rsidRDefault="00DA1521" w:rsidP="00DA1521">
            <w:pPr>
              <w:jc w:val="center"/>
            </w:pPr>
            <w:r>
              <w:t>Title</w:t>
            </w:r>
          </w:p>
        </w:tc>
        <w:tc>
          <w:tcPr>
            <w:tcW w:w="2552" w:type="dxa"/>
          </w:tcPr>
          <w:p w14:paraId="22611DC4" w14:textId="0E65E484" w:rsidR="00DA1521" w:rsidRDefault="00DA1521" w:rsidP="00DA1521">
            <w:pPr>
              <w:jc w:val="center"/>
            </w:pPr>
            <w:r>
              <w:t>Abstract</w:t>
            </w:r>
          </w:p>
        </w:tc>
        <w:tc>
          <w:tcPr>
            <w:tcW w:w="1447" w:type="dxa"/>
          </w:tcPr>
          <w:p w14:paraId="02BF9DC8" w14:textId="1EAF0D1D" w:rsidR="00DA1521" w:rsidRDefault="00DA1521" w:rsidP="00DA1521">
            <w:pPr>
              <w:jc w:val="center"/>
            </w:pPr>
            <w:r>
              <w:t>Executive Summary</w:t>
            </w:r>
          </w:p>
        </w:tc>
        <w:tc>
          <w:tcPr>
            <w:tcW w:w="1374" w:type="dxa"/>
          </w:tcPr>
          <w:p w14:paraId="0C14B044" w14:textId="694A2A96" w:rsidR="00DA1521" w:rsidRDefault="00DA1521" w:rsidP="00DA1521">
            <w:pPr>
              <w:jc w:val="center"/>
            </w:pPr>
            <w:r>
              <w:t>Published Date</w:t>
            </w:r>
          </w:p>
        </w:tc>
        <w:tc>
          <w:tcPr>
            <w:tcW w:w="2027" w:type="dxa"/>
          </w:tcPr>
          <w:p w14:paraId="10BAD36F" w14:textId="7BC41E40" w:rsidR="00DA1521" w:rsidRDefault="00DA1521" w:rsidP="00DA1521">
            <w:pPr>
              <w:jc w:val="center"/>
            </w:pPr>
            <w:r>
              <w:t>Remarks</w:t>
            </w:r>
          </w:p>
        </w:tc>
      </w:tr>
      <w:tr w:rsidR="00DA1521" w14:paraId="5DFE1165" w14:textId="77777777" w:rsidTr="00DF76DF">
        <w:tc>
          <w:tcPr>
            <w:tcW w:w="1951" w:type="dxa"/>
          </w:tcPr>
          <w:p w14:paraId="502F1468" w14:textId="6403280B" w:rsidR="00DA1521" w:rsidRDefault="00654970">
            <w:hyperlink r:id="rId4" w:history="1">
              <w:r w:rsidRPr="00654970">
                <w:rPr>
                  <w:rStyle w:val="Hyperlink"/>
                </w:rPr>
                <w:t>Industry 4.0: Reimagining manufacturing operations after COVID-19</w:t>
              </w:r>
            </w:hyperlink>
          </w:p>
        </w:tc>
        <w:tc>
          <w:tcPr>
            <w:tcW w:w="2552" w:type="dxa"/>
          </w:tcPr>
          <w:p w14:paraId="392EB9B1" w14:textId="64274500" w:rsidR="00DA1521" w:rsidRDefault="00654970">
            <w:r w:rsidRPr="00654970">
              <w:t>Industry 4.0 technologies were already transforming manufacturers’ operations before the pandemic. Now adoption is diverging between technology haves and have-nots.</w:t>
            </w:r>
          </w:p>
        </w:tc>
        <w:tc>
          <w:tcPr>
            <w:tcW w:w="1447" w:type="dxa"/>
          </w:tcPr>
          <w:p w14:paraId="509681F5" w14:textId="77777777" w:rsidR="00DA1521" w:rsidRDefault="00DA1521"/>
        </w:tc>
        <w:tc>
          <w:tcPr>
            <w:tcW w:w="1374" w:type="dxa"/>
          </w:tcPr>
          <w:p w14:paraId="390478DC" w14:textId="742C804C" w:rsidR="00DA1521" w:rsidRDefault="00654970" w:rsidP="00DA1521">
            <w:pPr>
              <w:jc w:val="center"/>
            </w:pPr>
            <w:r>
              <w:t>Jul 20</w:t>
            </w:r>
          </w:p>
        </w:tc>
        <w:tc>
          <w:tcPr>
            <w:tcW w:w="2027" w:type="dxa"/>
          </w:tcPr>
          <w:p w14:paraId="7B9D5620" w14:textId="776B3A02" w:rsidR="00DA1521" w:rsidRDefault="00DA1521"/>
        </w:tc>
      </w:tr>
      <w:tr w:rsidR="00DA1521" w14:paraId="62906DB2" w14:textId="77777777" w:rsidTr="00DF76DF">
        <w:tc>
          <w:tcPr>
            <w:tcW w:w="1951" w:type="dxa"/>
          </w:tcPr>
          <w:p w14:paraId="76EE2E9F" w14:textId="3A7789A2" w:rsidR="00DA1521" w:rsidRDefault="00654970">
            <w:hyperlink r:id="rId5" w:history="1">
              <w:r w:rsidRPr="00654970">
                <w:rPr>
                  <w:rStyle w:val="Hyperlink"/>
                </w:rPr>
                <w:t>COVID-19: An inflection point for Industry 4.0</w:t>
              </w:r>
            </w:hyperlink>
          </w:p>
        </w:tc>
        <w:tc>
          <w:tcPr>
            <w:tcW w:w="2552" w:type="dxa"/>
          </w:tcPr>
          <w:p w14:paraId="2A7F8F49" w14:textId="7DFEB98D" w:rsidR="00DA1521" w:rsidRDefault="00654970">
            <w:r w:rsidRPr="00654970">
              <w:t>Industry 4.0 technologies played a decisive role in the pandemic response at many companies, but the crisis is putting the future of digital operations under new pressure.</w:t>
            </w:r>
          </w:p>
        </w:tc>
        <w:tc>
          <w:tcPr>
            <w:tcW w:w="1447" w:type="dxa"/>
          </w:tcPr>
          <w:p w14:paraId="7AA8B15E" w14:textId="77777777" w:rsidR="00DA1521" w:rsidRDefault="00DA1521"/>
        </w:tc>
        <w:tc>
          <w:tcPr>
            <w:tcW w:w="1374" w:type="dxa"/>
          </w:tcPr>
          <w:p w14:paraId="34A958C9" w14:textId="366223F2" w:rsidR="00DA1521" w:rsidRDefault="00654970" w:rsidP="00DA1521">
            <w:pPr>
              <w:jc w:val="center"/>
            </w:pPr>
            <w:r>
              <w:t>Jan 21</w:t>
            </w:r>
          </w:p>
        </w:tc>
        <w:tc>
          <w:tcPr>
            <w:tcW w:w="2027" w:type="dxa"/>
          </w:tcPr>
          <w:p w14:paraId="5FBFF7C0" w14:textId="590F8695" w:rsidR="00DA1521" w:rsidRDefault="00DA1521"/>
        </w:tc>
      </w:tr>
      <w:tr w:rsidR="00DA1521" w14:paraId="13A4F862" w14:textId="77777777" w:rsidTr="00DF76DF">
        <w:tc>
          <w:tcPr>
            <w:tcW w:w="1951" w:type="dxa"/>
          </w:tcPr>
          <w:p w14:paraId="59CD238C" w14:textId="4A463A2F" w:rsidR="00DA1521" w:rsidRDefault="00654970">
            <w:hyperlink r:id="rId6" w:history="1">
              <w:r w:rsidRPr="00654970">
                <w:rPr>
                  <w:rStyle w:val="Hyperlink"/>
                </w:rPr>
                <w:t>How industrial companies can cut their indirect costs—fast</w:t>
              </w:r>
            </w:hyperlink>
          </w:p>
        </w:tc>
        <w:tc>
          <w:tcPr>
            <w:tcW w:w="2552" w:type="dxa"/>
          </w:tcPr>
          <w:p w14:paraId="2DD9A28E" w14:textId="1B02B648" w:rsidR="00DA1521" w:rsidRDefault="00D03C30">
            <w:r w:rsidRPr="00D03C30">
              <w:t>New technologies go beyond what traditional cost optimization can offer.</w:t>
            </w:r>
          </w:p>
        </w:tc>
        <w:tc>
          <w:tcPr>
            <w:tcW w:w="1447" w:type="dxa"/>
          </w:tcPr>
          <w:p w14:paraId="113DDC42" w14:textId="77777777" w:rsidR="00DA1521" w:rsidRDefault="00DA1521"/>
        </w:tc>
        <w:tc>
          <w:tcPr>
            <w:tcW w:w="1374" w:type="dxa"/>
          </w:tcPr>
          <w:p w14:paraId="0D378C13" w14:textId="54FD1A22" w:rsidR="00DA1521" w:rsidRDefault="00D03C30" w:rsidP="00DA1521">
            <w:pPr>
              <w:jc w:val="center"/>
            </w:pPr>
            <w:r>
              <w:t>April 20</w:t>
            </w:r>
          </w:p>
        </w:tc>
        <w:tc>
          <w:tcPr>
            <w:tcW w:w="2027" w:type="dxa"/>
          </w:tcPr>
          <w:p w14:paraId="27055BF1" w14:textId="30F993FB" w:rsidR="00DA1521" w:rsidRDefault="00DA1521"/>
        </w:tc>
      </w:tr>
      <w:tr w:rsidR="00DA1521" w14:paraId="45ED8B21" w14:textId="77777777" w:rsidTr="00DF76DF">
        <w:tc>
          <w:tcPr>
            <w:tcW w:w="1951" w:type="dxa"/>
          </w:tcPr>
          <w:p w14:paraId="3AD9742F" w14:textId="4FAD8D8E" w:rsidR="000A23CB" w:rsidRDefault="00697AAA">
            <w:hyperlink r:id="rId7" w:history="1">
              <w:r w:rsidRPr="00697AAA">
                <w:rPr>
                  <w:rStyle w:val="Hyperlink"/>
                </w:rPr>
                <w:t>Digital Operations: Don’t Depart without a Strategy</w:t>
              </w:r>
            </w:hyperlink>
          </w:p>
        </w:tc>
        <w:tc>
          <w:tcPr>
            <w:tcW w:w="2552" w:type="dxa"/>
          </w:tcPr>
          <w:p w14:paraId="434B0BD6" w14:textId="07AEF8C6" w:rsidR="00DA1521" w:rsidRDefault="00D03C30">
            <w:r w:rsidRPr="00D03C30">
              <w:t>Industry 4.0 leaders set clear goals to achieve speed, agility and efficiency.</w:t>
            </w:r>
          </w:p>
        </w:tc>
        <w:tc>
          <w:tcPr>
            <w:tcW w:w="1447" w:type="dxa"/>
          </w:tcPr>
          <w:p w14:paraId="3111E5A3" w14:textId="77777777" w:rsidR="00DA1521" w:rsidRDefault="00DA1521"/>
        </w:tc>
        <w:tc>
          <w:tcPr>
            <w:tcW w:w="1374" w:type="dxa"/>
          </w:tcPr>
          <w:p w14:paraId="16A37057" w14:textId="21D26016" w:rsidR="00DA1521" w:rsidRDefault="00D03C30" w:rsidP="00DA1521">
            <w:pPr>
              <w:jc w:val="center"/>
            </w:pPr>
            <w:r>
              <w:t>March 20</w:t>
            </w:r>
          </w:p>
        </w:tc>
        <w:tc>
          <w:tcPr>
            <w:tcW w:w="2027" w:type="dxa"/>
          </w:tcPr>
          <w:p w14:paraId="17197015" w14:textId="69E9D44C" w:rsidR="00DA1521" w:rsidRDefault="00DA1521"/>
        </w:tc>
      </w:tr>
      <w:tr w:rsidR="00DA1521" w14:paraId="39A2A00E" w14:textId="77777777" w:rsidTr="00DF76DF">
        <w:tc>
          <w:tcPr>
            <w:tcW w:w="1951" w:type="dxa"/>
          </w:tcPr>
          <w:p w14:paraId="57742A5C" w14:textId="7CCC986C" w:rsidR="00D03C30" w:rsidRPr="00D03C30" w:rsidRDefault="00D03C30" w:rsidP="00D03C30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"https://web-assets.bcg.com/a5/d6/7ee283484a60a510332654de6c34/me-race-for-advantage.pdf" </w:instrText>
            </w:r>
            <w:r>
              <w:fldChar w:fldCharType="separate"/>
            </w:r>
            <w:r w:rsidRPr="00D03C30">
              <w:rPr>
                <w:rStyle w:val="Hyperlink"/>
              </w:rPr>
              <w:t>THE RACE FOR</w:t>
            </w:r>
          </w:p>
          <w:p w14:paraId="1E89E171" w14:textId="77777777" w:rsidR="00D03C30" w:rsidRPr="00D03C30" w:rsidRDefault="00D03C30" w:rsidP="00D03C30">
            <w:pPr>
              <w:rPr>
                <w:rStyle w:val="Hyperlink"/>
              </w:rPr>
            </w:pPr>
            <w:r w:rsidRPr="00D03C30">
              <w:rPr>
                <w:rStyle w:val="Hyperlink"/>
              </w:rPr>
              <w:t>ADVANTAGE:</w:t>
            </w:r>
          </w:p>
          <w:p w14:paraId="44FF3EFD" w14:textId="49FB8795" w:rsidR="00714FDF" w:rsidRDefault="00D03C30" w:rsidP="00D03C30">
            <w:r w:rsidRPr="00D03C30">
              <w:rPr>
                <w:rStyle w:val="Hyperlink"/>
              </w:rPr>
              <w:t>AUGMENTING THE COMPANY BEYOND HUMAN LIMITS</w:t>
            </w:r>
            <w:r>
              <w:fldChar w:fldCharType="end"/>
            </w:r>
          </w:p>
        </w:tc>
        <w:tc>
          <w:tcPr>
            <w:tcW w:w="2552" w:type="dxa"/>
          </w:tcPr>
          <w:p w14:paraId="0F204D20" w14:textId="4EFCD035" w:rsidR="00DA1521" w:rsidRDefault="00DF76DF" w:rsidP="00DF76DF">
            <w:r>
              <w:t>In organizations over the past two decades,</w:t>
            </w:r>
            <w:r>
              <w:t xml:space="preserve"> </w:t>
            </w:r>
            <w:r>
              <w:t>the traditional process reengineering vastly</w:t>
            </w:r>
            <w:r>
              <w:t xml:space="preserve"> </w:t>
            </w:r>
            <w:r>
              <w:t>increased</w:t>
            </w:r>
            <w:r>
              <w:t xml:space="preserve"> </w:t>
            </w:r>
            <w:r>
              <w:t>performance and efficiency. But</w:t>
            </w:r>
            <w:r>
              <w:t xml:space="preserve"> </w:t>
            </w:r>
            <w:r>
              <w:t>its potential to drive further improvements</w:t>
            </w:r>
            <w:r>
              <w:t xml:space="preserve"> </w:t>
            </w:r>
            <w:r>
              <w:t>is limited. Instead,</w:t>
            </w:r>
            <w:r>
              <w:t xml:space="preserve"> </w:t>
            </w:r>
            <w:r>
              <w:t>separate developments</w:t>
            </w:r>
            <w:r>
              <w:t xml:space="preserve"> </w:t>
            </w:r>
            <w:r>
              <w:t>in technology are creating the next frontier</w:t>
            </w:r>
            <w:r>
              <w:t xml:space="preserve"> </w:t>
            </w:r>
            <w:r>
              <w:t>of potential process improvements.</w:t>
            </w:r>
          </w:p>
        </w:tc>
        <w:tc>
          <w:tcPr>
            <w:tcW w:w="1447" w:type="dxa"/>
          </w:tcPr>
          <w:p w14:paraId="653B769A" w14:textId="77777777" w:rsidR="00DA1521" w:rsidRDefault="00DA1521"/>
        </w:tc>
        <w:tc>
          <w:tcPr>
            <w:tcW w:w="1374" w:type="dxa"/>
          </w:tcPr>
          <w:p w14:paraId="3541D1B4" w14:textId="0D9B31C4" w:rsidR="00DA1521" w:rsidRDefault="00D03C30" w:rsidP="00DA1521">
            <w:pPr>
              <w:jc w:val="center"/>
            </w:pPr>
            <w:r>
              <w:t>Jul 20</w:t>
            </w:r>
          </w:p>
        </w:tc>
        <w:tc>
          <w:tcPr>
            <w:tcW w:w="2027" w:type="dxa"/>
          </w:tcPr>
          <w:p w14:paraId="3916C57A" w14:textId="60A0D139" w:rsidR="00DA1521" w:rsidRDefault="00DA1521"/>
        </w:tc>
      </w:tr>
      <w:tr w:rsidR="00D03C30" w14:paraId="140962E0" w14:textId="77777777" w:rsidTr="00DF76DF">
        <w:tc>
          <w:tcPr>
            <w:tcW w:w="1951" w:type="dxa"/>
          </w:tcPr>
          <w:p w14:paraId="79BCB267" w14:textId="6AE5705B" w:rsidR="00D03C30" w:rsidRDefault="004D1FCB">
            <w:hyperlink r:id="rId8" w:history="1">
              <w:r w:rsidRPr="004D1FCB">
                <w:rPr>
                  <w:rStyle w:val="Hyperlink"/>
                </w:rPr>
                <w:t>How to decide between robotic process automation and test automation</w:t>
              </w:r>
            </w:hyperlink>
          </w:p>
        </w:tc>
        <w:tc>
          <w:tcPr>
            <w:tcW w:w="2552" w:type="dxa"/>
          </w:tcPr>
          <w:p w14:paraId="57152502" w14:textId="609A9342" w:rsidR="00D03C30" w:rsidRDefault="004D1FCB">
            <w:r w:rsidRPr="004D1FCB">
              <w:t>Robotic process automation and test automation have similarities and differences. Make sure to choose the right one for the right job.</w:t>
            </w:r>
          </w:p>
        </w:tc>
        <w:tc>
          <w:tcPr>
            <w:tcW w:w="1447" w:type="dxa"/>
          </w:tcPr>
          <w:p w14:paraId="6139A6D9" w14:textId="77777777" w:rsidR="00D03C30" w:rsidRDefault="00D03C30"/>
        </w:tc>
        <w:tc>
          <w:tcPr>
            <w:tcW w:w="1374" w:type="dxa"/>
          </w:tcPr>
          <w:p w14:paraId="7BC2CCF6" w14:textId="0AA69CB8" w:rsidR="00D03C30" w:rsidRDefault="004D1FCB" w:rsidP="00DA1521">
            <w:pPr>
              <w:jc w:val="center"/>
            </w:pPr>
            <w:r>
              <w:t>Jul 21</w:t>
            </w:r>
          </w:p>
        </w:tc>
        <w:tc>
          <w:tcPr>
            <w:tcW w:w="2027" w:type="dxa"/>
          </w:tcPr>
          <w:p w14:paraId="7B3DFC6A" w14:textId="77777777" w:rsidR="00D03C30" w:rsidRDefault="00D03C30"/>
        </w:tc>
      </w:tr>
    </w:tbl>
    <w:p w14:paraId="710756E5" w14:textId="77777777" w:rsidR="008C69E7" w:rsidRDefault="008C69E7"/>
    <w:sectPr w:rsidR="008C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521"/>
    <w:rsid w:val="0009169F"/>
    <w:rsid w:val="000A23CB"/>
    <w:rsid w:val="002750AC"/>
    <w:rsid w:val="003932EF"/>
    <w:rsid w:val="004B7023"/>
    <w:rsid w:val="004D1FCB"/>
    <w:rsid w:val="006030D1"/>
    <w:rsid w:val="00616A5F"/>
    <w:rsid w:val="00654970"/>
    <w:rsid w:val="00697AAA"/>
    <w:rsid w:val="006F122F"/>
    <w:rsid w:val="00714FDF"/>
    <w:rsid w:val="007D1BB3"/>
    <w:rsid w:val="007D72D5"/>
    <w:rsid w:val="008634F6"/>
    <w:rsid w:val="008C69E7"/>
    <w:rsid w:val="00955DCE"/>
    <w:rsid w:val="00A914E7"/>
    <w:rsid w:val="00D03C30"/>
    <w:rsid w:val="00D258DF"/>
    <w:rsid w:val="00D851F3"/>
    <w:rsid w:val="00D9637E"/>
    <w:rsid w:val="00DA1521"/>
    <w:rsid w:val="00DF76DF"/>
    <w:rsid w:val="00E433EF"/>
    <w:rsid w:val="00EB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4087"/>
  <w15:docId w15:val="{87EC8FCC-FFA3-4386-88E9-BF7E536D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y.com/en_us/financial-services/test-innovation-and-automation-services/how-to-decide-between-robotic-process-automation-and-test-auto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n.com/insights/digital-operations-dont-depart-without-a-strateg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ckinsey.com/industries/automotive-and-assembly/our-insights/how-industrial-companies-can-cut-their-indirect-costs-fast" TargetMode="External"/><Relationship Id="rId5" Type="http://schemas.openxmlformats.org/officeDocument/2006/relationships/hyperlink" Target="https://www.mckinsey.com/business-functions/operations/our-insights/covid-19-an-inflection-point-for-industry-4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ckinsey.com/business-functions/operations/our-insights/industry-40-reimagining-manufacturing-operations-after-covid-1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Dhiya'uddin Md Nasir</dc:creator>
  <cp:keywords/>
  <dc:description/>
  <cp:lastModifiedBy>Ahmad Dhiya'uddin Md Nasir</cp:lastModifiedBy>
  <cp:revision>4</cp:revision>
  <dcterms:created xsi:type="dcterms:W3CDTF">2021-12-14T02:37:00Z</dcterms:created>
  <dcterms:modified xsi:type="dcterms:W3CDTF">2022-01-06T08:24:00Z</dcterms:modified>
</cp:coreProperties>
</file>