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351" w:type="dxa"/>
        <w:tblLayout w:type="fixed"/>
        <w:tblLook w:val="04A0" w:firstRow="1" w:lastRow="0" w:firstColumn="1" w:lastColumn="0" w:noHBand="0" w:noVBand="1"/>
      </w:tblPr>
      <w:tblGrid>
        <w:gridCol w:w="1951"/>
        <w:gridCol w:w="2552"/>
        <w:gridCol w:w="1447"/>
        <w:gridCol w:w="1374"/>
        <w:gridCol w:w="2027"/>
      </w:tblGrid>
      <w:tr w:rsidR="00DA1521" w14:paraId="6A4E12AB" w14:textId="77777777" w:rsidTr="00DF76DF">
        <w:tc>
          <w:tcPr>
            <w:tcW w:w="1951" w:type="dxa"/>
          </w:tcPr>
          <w:p w14:paraId="4A25ACC0" w14:textId="3E0F2798" w:rsidR="00DA1521" w:rsidRDefault="00DA1521" w:rsidP="00DA1521">
            <w:pPr>
              <w:jc w:val="center"/>
            </w:pPr>
            <w:r>
              <w:t>Title</w:t>
            </w:r>
          </w:p>
        </w:tc>
        <w:tc>
          <w:tcPr>
            <w:tcW w:w="2552" w:type="dxa"/>
          </w:tcPr>
          <w:p w14:paraId="22611DC4" w14:textId="0E65E484" w:rsidR="00DA1521" w:rsidRDefault="00DA1521" w:rsidP="00DA1521">
            <w:pPr>
              <w:jc w:val="center"/>
            </w:pPr>
            <w:r>
              <w:t>Abstract</w:t>
            </w:r>
          </w:p>
        </w:tc>
        <w:tc>
          <w:tcPr>
            <w:tcW w:w="1447" w:type="dxa"/>
          </w:tcPr>
          <w:p w14:paraId="02BF9DC8" w14:textId="1EAF0D1D" w:rsidR="00DA1521" w:rsidRDefault="00DA1521" w:rsidP="00DA1521">
            <w:pPr>
              <w:jc w:val="center"/>
            </w:pPr>
            <w:r>
              <w:t>Executive Summary</w:t>
            </w:r>
          </w:p>
        </w:tc>
        <w:tc>
          <w:tcPr>
            <w:tcW w:w="1374" w:type="dxa"/>
          </w:tcPr>
          <w:p w14:paraId="0C14B044" w14:textId="694A2A96" w:rsidR="00DA1521" w:rsidRDefault="00DA1521" w:rsidP="00DA1521">
            <w:pPr>
              <w:jc w:val="center"/>
            </w:pPr>
            <w:r>
              <w:t>Published Date</w:t>
            </w:r>
          </w:p>
        </w:tc>
        <w:tc>
          <w:tcPr>
            <w:tcW w:w="2027" w:type="dxa"/>
          </w:tcPr>
          <w:p w14:paraId="10BAD36F" w14:textId="7BC41E40" w:rsidR="00DA1521" w:rsidRDefault="00DA1521" w:rsidP="00DA1521">
            <w:pPr>
              <w:jc w:val="center"/>
            </w:pPr>
            <w:r>
              <w:t>Remarks</w:t>
            </w:r>
          </w:p>
        </w:tc>
      </w:tr>
      <w:tr w:rsidR="00DA1521" w14:paraId="5DFE1165" w14:textId="77777777" w:rsidTr="00DF76DF">
        <w:tc>
          <w:tcPr>
            <w:tcW w:w="1951" w:type="dxa"/>
          </w:tcPr>
          <w:p w14:paraId="502F1468" w14:textId="15AC0502" w:rsidR="00DA1521" w:rsidRDefault="007F2FBC">
            <w:hyperlink r:id="rId4" w:history="1">
              <w:r w:rsidRPr="007F2FBC">
                <w:rPr>
                  <w:rStyle w:val="Hyperlink"/>
                </w:rPr>
                <w:t>True packaging sustainability: Understanding the performance trade-offs</w:t>
              </w:r>
            </w:hyperlink>
          </w:p>
        </w:tc>
        <w:tc>
          <w:tcPr>
            <w:tcW w:w="2552" w:type="dxa"/>
          </w:tcPr>
          <w:p w14:paraId="392EB9B1" w14:textId="71EFF545" w:rsidR="00DA1521" w:rsidRDefault="00DF1B54">
            <w:r w:rsidRPr="00DF1B54">
              <w:t>Sustainability of packaging materials varies by which sustainability elements are prioritized. Companies in the value chain will need to understand the trade-offs across carbon footprint, recyclability, and waste reduction.</w:t>
            </w:r>
          </w:p>
        </w:tc>
        <w:tc>
          <w:tcPr>
            <w:tcW w:w="1447" w:type="dxa"/>
          </w:tcPr>
          <w:p w14:paraId="509681F5" w14:textId="77777777" w:rsidR="00DA1521" w:rsidRDefault="00DA1521"/>
        </w:tc>
        <w:tc>
          <w:tcPr>
            <w:tcW w:w="1374" w:type="dxa"/>
          </w:tcPr>
          <w:p w14:paraId="390478DC" w14:textId="0BC574D7" w:rsidR="00DA1521" w:rsidRDefault="00DF1B54" w:rsidP="00DA1521">
            <w:pPr>
              <w:jc w:val="center"/>
            </w:pPr>
            <w:r>
              <w:t>July 20</w:t>
            </w:r>
          </w:p>
        </w:tc>
        <w:tc>
          <w:tcPr>
            <w:tcW w:w="2027" w:type="dxa"/>
          </w:tcPr>
          <w:p w14:paraId="7B9D5620" w14:textId="776B3A02" w:rsidR="00DA1521" w:rsidRDefault="00DA1521"/>
        </w:tc>
      </w:tr>
      <w:tr w:rsidR="00DA1521" w14:paraId="62906DB2" w14:textId="77777777" w:rsidTr="00DF76DF">
        <w:tc>
          <w:tcPr>
            <w:tcW w:w="1951" w:type="dxa"/>
          </w:tcPr>
          <w:p w14:paraId="76EE2E9F" w14:textId="3A49F38A" w:rsidR="00DA1521" w:rsidRDefault="00DF1B54">
            <w:hyperlink r:id="rId5" w:history="1">
              <w:r w:rsidRPr="00DF1B54">
                <w:rPr>
                  <w:rStyle w:val="Hyperlink"/>
                </w:rPr>
                <w:t>Implementing a digital transformation at industrial companies</w:t>
              </w:r>
            </w:hyperlink>
          </w:p>
        </w:tc>
        <w:tc>
          <w:tcPr>
            <w:tcW w:w="2552" w:type="dxa"/>
          </w:tcPr>
          <w:p w14:paraId="2A7F8F49" w14:textId="2E2D55A6" w:rsidR="00DA1521" w:rsidRDefault="00DF1B54">
            <w:r w:rsidRPr="00DF1B54">
              <w:t>Six building blocks can help industrial companies create a strong digital strategy and generate top value from digitization.</w:t>
            </w:r>
          </w:p>
        </w:tc>
        <w:tc>
          <w:tcPr>
            <w:tcW w:w="1447" w:type="dxa"/>
          </w:tcPr>
          <w:p w14:paraId="7AA8B15E" w14:textId="77777777" w:rsidR="00DA1521" w:rsidRDefault="00DA1521"/>
        </w:tc>
        <w:tc>
          <w:tcPr>
            <w:tcW w:w="1374" w:type="dxa"/>
          </w:tcPr>
          <w:p w14:paraId="34A958C9" w14:textId="6298B182" w:rsidR="00DA1521" w:rsidRDefault="009B22BF" w:rsidP="00DA1521">
            <w:pPr>
              <w:jc w:val="center"/>
            </w:pPr>
            <w:r>
              <w:t>May 21</w:t>
            </w:r>
          </w:p>
        </w:tc>
        <w:tc>
          <w:tcPr>
            <w:tcW w:w="2027" w:type="dxa"/>
          </w:tcPr>
          <w:p w14:paraId="5FBFF7C0" w14:textId="590F8695" w:rsidR="00DA1521" w:rsidRDefault="00DA1521"/>
        </w:tc>
      </w:tr>
      <w:tr w:rsidR="00DA1521" w14:paraId="13A4F862" w14:textId="77777777" w:rsidTr="00DF76DF">
        <w:tc>
          <w:tcPr>
            <w:tcW w:w="1951" w:type="dxa"/>
          </w:tcPr>
          <w:p w14:paraId="59CD238C" w14:textId="0A3785C9" w:rsidR="00DA1521" w:rsidRDefault="009B22BF">
            <w:hyperlink r:id="rId6" w:history="1">
              <w:r w:rsidRPr="009B22BF">
                <w:rPr>
                  <w:rStyle w:val="Hyperlink"/>
                </w:rPr>
                <w:t>Winners Are Green, Smart, and Digital</w:t>
              </w:r>
            </w:hyperlink>
          </w:p>
        </w:tc>
        <w:tc>
          <w:tcPr>
            <w:tcW w:w="2552" w:type="dxa"/>
          </w:tcPr>
          <w:p w14:paraId="2DD9A28E" w14:textId="5E9D286F" w:rsidR="00DA1521" w:rsidRDefault="009B22BF">
            <w:r w:rsidRPr="009B22BF">
              <w:t>BCG conducted an in-depth analysis of the MIA industry—its current performance and its future prospects.</w:t>
            </w:r>
          </w:p>
        </w:tc>
        <w:tc>
          <w:tcPr>
            <w:tcW w:w="1447" w:type="dxa"/>
          </w:tcPr>
          <w:p w14:paraId="113DDC42" w14:textId="77777777" w:rsidR="00DA1521" w:rsidRDefault="00DA1521"/>
        </w:tc>
        <w:tc>
          <w:tcPr>
            <w:tcW w:w="1374" w:type="dxa"/>
          </w:tcPr>
          <w:p w14:paraId="0D378C13" w14:textId="7360EFD3" w:rsidR="00DA1521" w:rsidRDefault="009B22BF" w:rsidP="00DA1521">
            <w:pPr>
              <w:jc w:val="center"/>
            </w:pPr>
            <w:r>
              <w:t>Dec 20</w:t>
            </w:r>
          </w:p>
        </w:tc>
        <w:tc>
          <w:tcPr>
            <w:tcW w:w="2027" w:type="dxa"/>
          </w:tcPr>
          <w:p w14:paraId="27055BF1" w14:textId="30F993FB" w:rsidR="00DA1521" w:rsidRDefault="00DA1521"/>
        </w:tc>
      </w:tr>
      <w:tr w:rsidR="00DA1521" w14:paraId="45ED8B21" w14:textId="77777777" w:rsidTr="00DF76DF">
        <w:tc>
          <w:tcPr>
            <w:tcW w:w="1951" w:type="dxa"/>
          </w:tcPr>
          <w:p w14:paraId="3AD9742F" w14:textId="7B118047" w:rsidR="000A23CB" w:rsidRDefault="00B6645C">
            <w:hyperlink r:id="rId7" w:history="1">
              <w:r w:rsidRPr="00B6645C">
                <w:rPr>
                  <w:rStyle w:val="Hyperlink"/>
                </w:rPr>
                <w:t>How Brazil can optimize its cost of energy</w:t>
              </w:r>
            </w:hyperlink>
          </w:p>
        </w:tc>
        <w:tc>
          <w:tcPr>
            <w:tcW w:w="2552" w:type="dxa"/>
          </w:tcPr>
          <w:p w14:paraId="434B0BD6" w14:textId="5EBE3344" w:rsidR="00DA1521" w:rsidRDefault="00B6645C">
            <w:r w:rsidRPr="00B6645C">
              <w:t>Brazil’s energy costs remain higher than that of its global peers. Investing in diversification, grid improvement, and energy efficiency could lower prices and expand supply.</w:t>
            </w:r>
          </w:p>
        </w:tc>
        <w:tc>
          <w:tcPr>
            <w:tcW w:w="1447" w:type="dxa"/>
          </w:tcPr>
          <w:p w14:paraId="3111E5A3" w14:textId="77777777" w:rsidR="00DA1521" w:rsidRDefault="00DA1521"/>
        </w:tc>
        <w:tc>
          <w:tcPr>
            <w:tcW w:w="1374" w:type="dxa"/>
          </w:tcPr>
          <w:p w14:paraId="16A37057" w14:textId="6B21646B" w:rsidR="00DA1521" w:rsidRDefault="00B6645C" w:rsidP="00DA1521">
            <w:pPr>
              <w:jc w:val="center"/>
            </w:pPr>
            <w:r>
              <w:t>March 21</w:t>
            </w:r>
          </w:p>
        </w:tc>
        <w:tc>
          <w:tcPr>
            <w:tcW w:w="2027" w:type="dxa"/>
          </w:tcPr>
          <w:p w14:paraId="17197015" w14:textId="69E9D44C" w:rsidR="00DA1521" w:rsidRDefault="00DA1521"/>
        </w:tc>
      </w:tr>
      <w:tr w:rsidR="00DA1521" w14:paraId="39A2A00E" w14:textId="77777777" w:rsidTr="00DF76DF">
        <w:tc>
          <w:tcPr>
            <w:tcW w:w="1951" w:type="dxa"/>
          </w:tcPr>
          <w:p w14:paraId="44FF3EFD" w14:textId="075FC27A" w:rsidR="00714FDF" w:rsidRDefault="00D97D38" w:rsidP="00D03C30">
            <w:hyperlink r:id="rId8" w:history="1">
              <w:r w:rsidRPr="00D97D38">
                <w:rPr>
                  <w:rStyle w:val="Hyperlink"/>
                </w:rPr>
                <w:t>Start Stopping Faster</w:t>
              </w:r>
            </w:hyperlink>
          </w:p>
        </w:tc>
        <w:tc>
          <w:tcPr>
            <w:tcW w:w="2552" w:type="dxa"/>
          </w:tcPr>
          <w:p w14:paraId="0F204D20" w14:textId="47838AF9" w:rsidR="00DA1521" w:rsidRDefault="00D97D38" w:rsidP="00DF76DF">
            <w:r w:rsidRPr="00D97D38">
              <w:t>Ending wasteful projects sooner will save money—and free you to pursue better opportunities.</w:t>
            </w:r>
          </w:p>
        </w:tc>
        <w:tc>
          <w:tcPr>
            <w:tcW w:w="1447" w:type="dxa"/>
          </w:tcPr>
          <w:p w14:paraId="653B769A" w14:textId="77777777" w:rsidR="00DA1521" w:rsidRDefault="00DA1521"/>
        </w:tc>
        <w:tc>
          <w:tcPr>
            <w:tcW w:w="1374" w:type="dxa"/>
          </w:tcPr>
          <w:p w14:paraId="3541D1B4" w14:textId="36A72D14" w:rsidR="00DA1521" w:rsidRDefault="00D97D38" w:rsidP="00DA1521">
            <w:pPr>
              <w:jc w:val="center"/>
            </w:pPr>
            <w:r>
              <w:t>Sep 20</w:t>
            </w:r>
          </w:p>
        </w:tc>
        <w:tc>
          <w:tcPr>
            <w:tcW w:w="2027" w:type="dxa"/>
          </w:tcPr>
          <w:p w14:paraId="3916C57A" w14:textId="60A0D139" w:rsidR="00DA1521" w:rsidRDefault="00DA1521"/>
        </w:tc>
      </w:tr>
      <w:tr w:rsidR="00D03C30" w14:paraId="140962E0" w14:textId="77777777" w:rsidTr="00DF76DF">
        <w:tc>
          <w:tcPr>
            <w:tcW w:w="1951" w:type="dxa"/>
          </w:tcPr>
          <w:p w14:paraId="79BCB267" w14:textId="74D7D7C3" w:rsidR="00D03C30" w:rsidRDefault="00D97D38">
            <w:hyperlink r:id="rId9" w:history="1">
              <w:r w:rsidRPr="00D97D38">
                <w:rPr>
                  <w:rStyle w:val="Hyperlink"/>
                </w:rPr>
                <w:t>Zero-based Technology to fuel growth post COVID-19</w:t>
              </w:r>
            </w:hyperlink>
          </w:p>
        </w:tc>
        <w:tc>
          <w:tcPr>
            <w:tcW w:w="2552" w:type="dxa"/>
          </w:tcPr>
          <w:p w14:paraId="57152502" w14:textId="3210DAE5" w:rsidR="00D03C30" w:rsidRDefault="00550341">
            <w:r w:rsidRPr="00550341">
              <w:t>In the post-COVID-19 world, companies across industries are feeling intense cash pressures. At the same time, the pandemic has accelerated digital transformation. Consumers are flocking to the digital channel. Employees are working remotely. Organizations are doubling down on scenario planning to respond to events as they occur.</w:t>
            </w:r>
          </w:p>
        </w:tc>
        <w:tc>
          <w:tcPr>
            <w:tcW w:w="1447" w:type="dxa"/>
          </w:tcPr>
          <w:p w14:paraId="6139A6D9" w14:textId="77777777" w:rsidR="00D03C30" w:rsidRDefault="00D03C30"/>
        </w:tc>
        <w:tc>
          <w:tcPr>
            <w:tcW w:w="1374" w:type="dxa"/>
          </w:tcPr>
          <w:p w14:paraId="7BC2CCF6" w14:textId="6D85B27A" w:rsidR="00D03C30" w:rsidRDefault="00550341" w:rsidP="00DA1521">
            <w:pPr>
              <w:jc w:val="center"/>
            </w:pPr>
            <w:r>
              <w:t>July 20</w:t>
            </w:r>
          </w:p>
        </w:tc>
        <w:tc>
          <w:tcPr>
            <w:tcW w:w="2027" w:type="dxa"/>
          </w:tcPr>
          <w:p w14:paraId="7B3DFC6A" w14:textId="77777777" w:rsidR="00D03C30" w:rsidRDefault="00D03C30"/>
        </w:tc>
      </w:tr>
    </w:tbl>
    <w:p w14:paraId="710756E5" w14:textId="77777777" w:rsidR="008C69E7" w:rsidRDefault="008C69E7"/>
    <w:sectPr w:rsidR="008C69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A1521"/>
    <w:rsid w:val="0009169F"/>
    <w:rsid w:val="000A23CB"/>
    <w:rsid w:val="002750AC"/>
    <w:rsid w:val="00365872"/>
    <w:rsid w:val="003932EF"/>
    <w:rsid w:val="004B7023"/>
    <w:rsid w:val="004D1FCB"/>
    <w:rsid w:val="00550341"/>
    <w:rsid w:val="006030D1"/>
    <w:rsid w:val="00616A5F"/>
    <w:rsid w:val="00654970"/>
    <w:rsid w:val="00697AAA"/>
    <w:rsid w:val="006F122F"/>
    <w:rsid w:val="00714FDF"/>
    <w:rsid w:val="007D1BB3"/>
    <w:rsid w:val="007D72D5"/>
    <w:rsid w:val="007F2FBC"/>
    <w:rsid w:val="008634F6"/>
    <w:rsid w:val="008C69E7"/>
    <w:rsid w:val="00955DCE"/>
    <w:rsid w:val="009B22BF"/>
    <w:rsid w:val="00A914E7"/>
    <w:rsid w:val="00B6645C"/>
    <w:rsid w:val="00D03C30"/>
    <w:rsid w:val="00D258DF"/>
    <w:rsid w:val="00D851F3"/>
    <w:rsid w:val="00D9637E"/>
    <w:rsid w:val="00D97D38"/>
    <w:rsid w:val="00DA1521"/>
    <w:rsid w:val="00DF1B54"/>
    <w:rsid w:val="00DF76DF"/>
    <w:rsid w:val="00E433EF"/>
    <w:rsid w:val="00EB218E"/>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54087"/>
  <w15:docId w15:val="{87EC8FCC-FFA3-4386-88E9-BF7E536D5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A15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9637E"/>
    <w:rPr>
      <w:color w:val="0563C1" w:themeColor="hyperlink"/>
      <w:u w:val="single"/>
    </w:rPr>
  </w:style>
  <w:style w:type="character" w:styleId="UnresolvedMention">
    <w:name w:val="Unresolved Mention"/>
    <w:basedOn w:val="DefaultParagraphFont"/>
    <w:uiPriority w:val="99"/>
    <w:semiHidden/>
    <w:unhideWhenUsed/>
    <w:rsid w:val="00D9637E"/>
    <w:rPr>
      <w:color w:val="605E5C"/>
      <w:shd w:val="clear" w:color="auto" w:fill="E1DFDD"/>
    </w:rPr>
  </w:style>
  <w:style w:type="character" w:styleId="FollowedHyperlink">
    <w:name w:val="FollowedHyperlink"/>
    <w:basedOn w:val="DefaultParagraphFont"/>
    <w:uiPriority w:val="99"/>
    <w:semiHidden/>
    <w:unhideWhenUsed/>
    <w:rsid w:val="00D851F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8902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bain.com/insights/start-stopping-faster-hbr/" TargetMode="External"/><Relationship Id="rId3" Type="http://schemas.openxmlformats.org/officeDocument/2006/relationships/webSettings" Target="webSettings.xml"/><Relationship Id="rId7" Type="http://schemas.openxmlformats.org/officeDocument/2006/relationships/hyperlink" Target="https://www.mckinsey.com/industries/electric-power-and-natural-gas/our-insights/how-brazil-can-optimize-its-cost-of-energ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cg.com/en-sea/publications/2020/machinery-industrial-automation-megatrends" TargetMode="External"/><Relationship Id="rId11" Type="http://schemas.openxmlformats.org/officeDocument/2006/relationships/theme" Target="theme/theme1.xml"/><Relationship Id="rId5" Type="http://schemas.openxmlformats.org/officeDocument/2006/relationships/hyperlink" Target="https://www.mckinsey.com/industries/advanced-electronics/our-insights/implementing-a-digital-transformation-at-industrial-companies" TargetMode="External"/><Relationship Id="rId10" Type="http://schemas.openxmlformats.org/officeDocument/2006/relationships/fontTable" Target="fontTable.xml"/><Relationship Id="rId4" Type="http://schemas.openxmlformats.org/officeDocument/2006/relationships/hyperlink" Target="https://www.mckinsey.com/industries/paper-forest-products-and-packaging/our-insights/true-packaging-sustainability-understanding-the-performance-trade-offs" TargetMode="External"/><Relationship Id="rId9" Type="http://schemas.openxmlformats.org/officeDocument/2006/relationships/hyperlink" Target="https://www.accenture.com/my-en/insights/strategy/coronavirus-zero-based-techn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1</Pages>
  <Words>329</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Dhiya'uddin Md Nasir</dc:creator>
  <cp:keywords/>
  <dc:description/>
  <cp:lastModifiedBy>Ahmad Dhiya'uddin Md Nasir</cp:lastModifiedBy>
  <cp:revision>5</cp:revision>
  <dcterms:created xsi:type="dcterms:W3CDTF">2021-12-14T02:37:00Z</dcterms:created>
  <dcterms:modified xsi:type="dcterms:W3CDTF">2022-01-19T06:07:00Z</dcterms:modified>
</cp:coreProperties>
</file>