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 IT Security Policy</w:t>
      </w:r>
    </w:p>
    <w:p>
      <w:r>
        <w:t>All employee laptops must use full-disk encryption and a screen lock after five minutes of inactivity.</w:t>
      </w:r>
    </w:p>
    <w:p>
      <w:r>
        <w:t>Multi-factor authentication is mandatory for all administrative accounts and remote VPN access.</w:t>
      </w:r>
    </w:p>
    <w:p>
      <w:r>
        <w:t>Software patches classified as critical must be applied within seventy-two hours of release.</w:t>
      </w:r>
    </w:p>
    <w:p>
      <w:r>
        <w:t>Security incidents must be reported to the security team within one hour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