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E2761"/>
          <w:sz w:val="40"/>
          <w:szCs w:val="40"/>
        </w:rPr>
        <w:t xml:space="preserve">EXECUTIVE SUMMARY</w:t>
      </w:r>
    </w:p>
    <w:p>
      <w:pPr>
        <w:spacing w:after="40"/>
      </w:pPr>
      <w:r>
        <w:rPr>
          <w:color w:val="555555"/>
          <w:sz w:val="24"/>
          <w:szCs w:val="24"/>
        </w:rPr>
        <w:t xml:space="preserve">Sales Performance Report — Dealer Motor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Periode: 13 – 19 Juli 2026 (Minggu ke-29)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4F6FB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30"/>
                <w:szCs w:val="30"/>
              </w:rPr>
              <w:t xml:space="preserve">Rp 9,43 Miliar</w:t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7"/>
                <w:szCs w:val="17"/>
              </w:rPr>
              <w:t xml:space="preserve">Total Revenue</w:t>
            </w:r>
          </w:p>
        </w:tc>
        <w:tc>
          <w:tcPr>
            <w:tcW w:type="pct" w:w="33%"/>
            <w:shd w:fill="F4F6FB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30"/>
                <w:szCs w:val="30"/>
              </w:rPr>
              <w:t xml:space="preserve">352 Unit</w:t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7"/>
                <w:szCs w:val="17"/>
              </w:rPr>
              <w:t xml:space="preserve">Total Unit Terjual</w:t>
            </w:r>
          </w:p>
        </w:tc>
        <w:tc>
          <w:tcPr>
            <w:tcW w:type="pct" w:w="33%"/>
            <w:shd w:fill="F4F6FB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30"/>
                <w:szCs w:val="30"/>
              </w:rPr>
              <w:t xml:space="preserve">233,89%</w:t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7"/>
                <w:szCs w:val="17"/>
              </w:rPr>
              <w:t xml:space="preserve">Avg Achievement Rate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E2761"/>
        </w:rPr>
        <w:t xml:space="preserve">1. Sales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Total revenue mingguan mencapai Rp 9.433.489.000 dari 341 transaksi valid (336 transaksi tercatat dari sales rep aktif, 12 transaksi berstatus data entry tanpa nama sales rep).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Rata-rata pencapaian target (Achievement Rate) sebesar 233,89% — seluruh 12 cabang mencatatkan realisasi di atas 100% target mingguan.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Growth Rate dibanding periode sebelumnya belum dapat dihitung karena laporan ini merupakan periode pelaporan pertama pada sistem baru.</w:t>
      </w:r>
    </w:p>
    <w:p>
      <w:pPr>
        <w:pStyle w:val="Heading2"/>
        <w:spacing w:after="120" w:before="300"/>
      </w:pPr>
      <w:r>
        <w:rPr>
          <w:b/>
          <w:bCs/>
          <w:color w:val="1E2761"/>
        </w:rPr>
        <w:t xml:space="preserve">2. Branch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Cabang</w:t>
            </w:r>
          </w:p>
        </w:tc>
        <w:tc>
          <w:tcPr>
            <w:tcW w:type="pct" w:w="30%"/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Sales</w:t>
            </w:r>
          </w:p>
        </w:tc>
        <w:tc>
          <w:tcPr>
            <w:tcW w:type="pct" w:w="30%"/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Achievement</w:t>
            </w:r>
          </w:p>
        </w:tc>
      </w:tr>
      <w:t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Sukabumi (Top Performer)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 924.626.000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197,6%</w:t>
            </w:r>
          </w:p>
        </w:tc>
      </w:tr>
      <w:tr>
        <w:tc>
          <w:tcPr>
            <w:tcW w:type="pct" w:w="40%"/>
            <w:shd w:fill="F4F6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Bekasi</w:t>
            </w:r>
          </w:p>
        </w:tc>
        <w:tc>
          <w:tcPr>
            <w:tcW w:type="pct" w:w="30%"/>
            <w:shd w:fill="F4F6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 923.721.000</w:t>
            </w:r>
          </w:p>
        </w:tc>
        <w:tc>
          <w:tcPr>
            <w:tcW w:type="pct" w:w="30%"/>
            <w:shd w:fill="F4F6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355,3% (Tertinggi)</w:t>
            </w:r>
          </w:p>
        </w:tc>
      </w:tr>
      <w:t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Jakarta Selatan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 918.489.000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196,3%</w:t>
            </w:r>
          </w:p>
        </w:tc>
      </w:tr>
      <w:tr>
        <w:tc>
          <w:tcPr>
            <w:tcW w:type="pct" w:w="40%"/>
            <w:shd w:fill="F4F6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Jakarta Timur (Kontribusi Terendah)</w:t>
            </w:r>
          </w:p>
        </w:tc>
        <w:tc>
          <w:tcPr>
            <w:tcW w:type="pct" w:w="30%"/>
            <w:shd w:fill="F4F6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 532.139.000</w:t>
            </w:r>
          </w:p>
        </w:tc>
        <w:tc>
          <w:tcPr>
            <w:tcW w:type="pct" w:w="30%"/>
            <w:shd w:fill="F4F6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204,7%</w:t>
            </w:r>
          </w:p>
        </w:tc>
      </w:tr>
      <w:t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Serang (Achievement Terendah)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 650.659.000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139,0%</w:t>
            </w:r>
          </w:p>
        </w:tc>
      </w:tr>
    </w:tbl>
    <w:p>
      <w:pPr>
        <w:spacing w:before="120"/>
      </w:pPr>
      <w:r>
        <w:rPr>
          <w:i/>
          <w:iCs/>
          <w:color w:val="555555"/>
          <w:sz w:val="19"/>
          <w:szCs w:val="19"/>
        </w:rPr>
        <w:t xml:space="preserve">Catatan: seluruh 12 cabang berada di atas 100% target — tidak ada cabang dengan performa di bawah target pada periode ini. Distribusi kontribusi antar cabang relatif merata (rentang 5,6%–9,8% dari total revenue).</w:t>
      </w:r>
    </w:p>
    <w:p>
      <w:pPr>
        <w:pStyle w:val="Heading2"/>
        <w:spacing w:after="120" w:before="300"/>
      </w:pPr>
      <w:r>
        <w:rPr>
          <w:b/>
          <w:bCs/>
          <w:color w:val="1E2761"/>
        </w:rPr>
        <w:t xml:space="preserve">3. Product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Produk</w:t>
            </w:r>
          </w:p>
        </w:tc>
        <w:tc>
          <w:tcPr>
            <w:tcW w:type="pct" w:w="30%"/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pct" w:w="30%"/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Kontribusi</w:t>
            </w:r>
          </w:p>
        </w:tc>
      </w:tr>
      <w:t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NMAX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 2.631.760.000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27,9%</w:t>
            </w:r>
          </w:p>
        </w:tc>
      </w:tr>
      <w:tr>
        <w:tc>
          <w:tcPr>
            <w:tcW w:type="pct" w:w="40%"/>
            <w:shd w:fill="F4F6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Aerox</w:t>
            </w:r>
          </w:p>
        </w:tc>
        <w:tc>
          <w:tcPr>
            <w:tcW w:type="pct" w:w="30%"/>
            <w:shd w:fill="F4F6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 1.811.542.000</w:t>
            </w:r>
          </w:p>
        </w:tc>
        <w:tc>
          <w:tcPr>
            <w:tcW w:type="pct" w:w="30%"/>
            <w:shd w:fill="F4F6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19,2%</w:t>
            </w:r>
          </w:p>
        </w:tc>
      </w:tr>
      <w:t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Lexi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 1.025.034.000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10,9%</w:t>
            </w:r>
          </w:p>
        </w:tc>
      </w:tr>
    </w:tbl>
    <w:p>
      <w:pPr>
        <w:spacing w:before="120"/>
      </w:pPr>
      <w:r>
        <w:rPr>
          <w:i/>
          <w:iCs/>
          <w:color w:val="555555"/>
          <w:sz w:val="19"/>
          <w:szCs w:val="19"/>
        </w:rPr>
        <w:t xml:space="preserve">NMAX dan Aerox bersama-sama menyumbang 47,1% dari total revenue mingguan — menjadi dua produk dengan kontribusi terbesar terhadap penjualan.</w:t>
      </w:r>
    </w:p>
    <w:p>
      <w:pPr>
        <w:pStyle w:val="Heading2"/>
        <w:spacing w:after="120" w:before="300"/>
      </w:pPr>
      <w:r>
        <w:rPr>
          <w:b/>
          <w:bCs/>
          <w:color w:val="1E2761"/>
        </w:rPr>
        <w:t xml:space="preserve">4. Business Opportunities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Peluang pertumbuhan: replikasi teknik closing dari sales rep top performer (27 transaksi/minggu) ke sales rep dengan transaksi rendah (9 transaksi/minggu).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Peluang perbaikan: evaluasi metodologi penetapan target mingguan, mengingat rata-rata pencapaian 233,89% di seluruh cabang mengindikasikan target berada di bawah kapasitas riil.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Peluang perbaikan: 12 transaksi (3,4%) tercatat tanpa nama sales rep (data entry tidak lengkap) — perlu ditelusuri untuk akurasi evaluasi performa individu.</w:t>
      </w:r>
    </w:p>
    <w:p>
      <w:pPr>
        <w:pStyle w:val="Heading2"/>
        <w:spacing w:after="120" w:before="300"/>
      </w:pPr>
      <w:r>
        <w:rPr>
          <w:b/>
          <w:bCs/>
          <w:color w:val="1E2761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Pertahankan strategi operasional saat ini di seluruh cabang — distribusi kontribusi revenue sudah merata dan sehat.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Prioritaskan alokasi stok &amp; promosi pada NMAX dan Aerox, dengan tetap menjaga diversifikasi produk lain.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Lakukan review metodologi penetapan target mingguan bersama tim terkait, agar target lebih mencerminkan kapasitas penjualan riil.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Selenggarakan sesi best-practice sharing dari top performer sales rep kepada tim dengan tingkat closing rendah.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Perbaiki kepatuhan data entry (kelengkapan nama sales rep) pada sistem pencatatan transaksi.</w:t>
      </w:r>
    </w:p>
    <w:p>
      <w:pPr>
        <w:pBdr>
          <w:top w:val="single" w:color="CCCCCC" w:sz="6"/>
        </w:pBdr>
        <w:spacing w:before="300"/>
      </w:pPr>
      <w:r>
        <w:rPr>
          <w:i/>
          <w:iCs/>
          <w:color w:val="555555"/>
          <w:sz w:val="17"/>
          <w:szCs w:val="17"/>
        </w:rPr>
        <w:t xml:space="preserve">Laporan ini disusun berdasarkan proses Data Collection, Data Profiling, Data Cleaning, Pivot Table Analysis, dan Dashboard Excel untuk periode 13–19 Juli 2026.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2026-07-18T11:36:20.014Z</dcterms:created>
  <dcterms:modified xsi:type="dcterms:W3CDTF">2026-07-18T11:36:20.026Z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