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BD2C" w14:textId="77777777" w:rsidR="00D642BA" w:rsidRDefault="00185EF4">
      <w:pPr>
        <w:spacing w:after="20" w:line="252" w:lineRule="auto"/>
      </w:pPr>
      <w:r>
        <w:rPr>
          <w:b/>
          <w:color w:val="0F6B78"/>
          <w:sz w:val="24"/>
        </w:rPr>
        <w:t>STAKEHOLDER BRIEF</w:t>
      </w:r>
    </w:p>
    <w:p w14:paraId="4917EDB7" w14:textId="77777777" w:rsidR="00D642BA" w:rsidRDefault="00185EF4">
      <w:pPr>
        <w:pStyle w:val="Title"/>
      </w:pPr>
      <w:r>
        <w:rPr>
          <w:rFonts w:ascii="Arial" w:hAnsi="Arial"/>
        </w:rPr>
        <w:t>Ts. Wan Roshaimi Bin Wan Abdullah</w:t>
      </w:r>
    </w:p>
    <w:p w14:paraId="3607702E" w14:textId="77777777" w:rsidR="00D642BA" w:rsidRDefault="00185EF4">
      <w:pPr>
        <w:spacing w:after="200" w:line="252" w:lineRule="auto"/>
      </w:pPr>
      <w:r>
        <w:rPr>
          <w:b/>
          <w:color w:val="5B6770"/>
          <w:sz w:val="26"/>
        </w:rPr>
        <w:t>Chief Technology Officer, CyberSecurity Malaysia</w:t>
      </w:r>
    </w:p>
    <w:tbl>
      <w:tblPr>
        <w:tblW w:w="0" w:type="auto"/>
        <w:jc w:val="center"/>
        <w:tblBorders>
          <w:top w:val="single" w:sz="7" w:space="0" w:color="B7CDD5"/>
          <w:left w:val="single" w:sz="7" w:space="0" w:color="B7CDD5"/>
          <w:bottom w:val="single" w:sz="7" w:space="0" w:color="B7CDD5"/>
          <w:right w:val="single" w:sz="7" w:space="0" w:color="B7CDD5"/>
          <w:insideH w:val="single" w:sz="7" w:space="0" w:color="B7CDD5"/>
          <w:insideV w:val="single" w:sz="7" w:space="0" w:color="B7CDD5"/>
        </w:tblBorders>
        <w:tblLayout w:type="fixed"/>
        <w:tblLook w:val="04A0" w:firstRow="1" w:lastRow="0" w:firstColumn="1" w:lastColumn="0" w:noHBand="0" w:noVBand="1"/>
      </w:tblPr>
      <w:tblGrid>
        <w:gridCol w:w="9893"/>
      </w:tblGrid>
      <w:tr w:rsidR="00D642BA" w14:paraId="7572A5D2" w14:textId="77777777">
        <w:trPr>
          <w:cantSplit/>
          <w:jc w:val="center"/>
        </w:trPr>
        <w:tc>
          <w:tcPr>
            <w:tcW w:w="9893" w:type="dxa"/>
            <w:shd w:val="clear" w:color="auto" w:fill="EAF2F5"/>
            <w:tcMar>
              <w:top w:w="130" w:type="dxa"/>
              <w:left w:w="150" w:type="dxa"/>
              <w:bottom w:w="120" w:type="dxa"/>
              <w:right w:w="150" w:type="dxa"/>
            </w:tcMar>
          </w:tcPr>
          <w:p w14:paraId="5667615D" w14:textId="77777777" w:rsidR="00D642BA" w:rsidRDefault="00185EF4">
            <w:pPr>
              <w:spacing w:after="60" w:line="252" w:lineRule="auto"/>
            </w:pPr>
            <w:r>
              <w:rPr>
                <w:b/>
                <w:color w:val="0F6B78"/>
              </w:rPr>
              <w:t>EXECUTIVE READ</w:t>
            </w:r>
          </w:p>
          <w:p w14:paraId="570EFFA8" w14:textId="77777777" w:rsidR="00D642BA" w:rsidRDefault="00185EF4">
            <w:pPr>
              <w:spacing w:after="0"/>
            </w:pPr>
            <w:r>
              <w:t>Senior national cybersecurity technology leader with a career spanning consulting, financial services, enterprise technology leadership and cybersecurity governance. His likely decision lens is strongly weighted toward risk reduction, operational readiness, governance, integration and sustainable national capability.</w:t>
            </w:r>
          </w:p>
        </w:tc>
      </w:tr>
    </w:tbl>
    <w:p w14:paraId="4A5068AB" w14:textId="77777777" w:rsidR="00D642BA" w:rsidRDefault="00185EF4">
      <w:pPr>
        <w:pStyle w:val="Heading1"/>
      </w:pPr>
      <w:r>
        <w:t>1. Stakeholder Snapshot</w:t>
      </w:r>
    </w:p>
    <w:tbl>
      <w:tblPr>
        <w:tblW w:w="0" w:type="auto"/>
        <w:jc w:val="center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6" w:space="0" w:color="D6DEE3"/>
          <w:insideV w:val="single" w:sz="6" w:space="0" w:color="D6DEE3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416"/>
      </w:tblGrid>
      <w:tr w:rsidR="00D642BA" w14:paraId="52BC48D4" w14:textId="77777777">
        <w:trPr>
          <w:cantSplit/>
          <w:jc w:val="center"/>
        </w:trPr>
        <w:tc>
          <w:tcPr>
            <w:tcW w:w="2376" w:type="dxa"/>
            <w:shd w:val="clear" w:color="auto" w:fill="F4F7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CC39DF" w14:textId="77777777" w:rsidR="00D642BA" w:rsidRDefault="00185EF4">
            <w:pPr>
              <w:spacing w:after="0" w:line="252" w:lineRule="auto"/>
            </w:pPr>
            <w:r>
              <w:rPr>
                <w:b/>
                <w:color w:val="15324B"/>
              </w:rPr>
              <w:t>Current Role</w:t>
            </w:r>
          </w:p>
        </w:tc>
        <w:tc>
          <w:tcPr>
            <w:tcW w:w="7416" w:type="dxa"/>
            <w:shd w:val="clear" w:color="auto" w:fill="F4F7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D4DA01" w14:textId="77777777" w:rsidR="00D642BA" w:rsidRDefault="00185EF4">
            <w:pPr>
              <w:spacing w:after="0" w:line="252" w:lineRule="auto"/>
            </w:pPr>
            <w:r>
              <w:t>Chief Technology Officer (CTO), CyberSecurity Malaysia</w:t>
            </w:r>
          </w:p>
        </w:tc>
      </w:tr>
      <w:tr w:rsidR="00D642BA" w14:paraId="1E3BDDBF" w14:textId="77777777">
        <w:trPr>
          <w:cantSplit/>
          <w:jc w:val="center"/>
        </w:trPr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42DF95" w14:textId="77777777" w:rsidR="00D642BA" w:rsidRDefault="00185EF4">
            <w:pPr>
              <w:spacing w:after="0" w:line="252" w:lineRule="auto"/>
            </w:pPr>
            <w:r>
              <w:rPr>
                <w:b/>
                <w:color w:val="15324B"/>
              </w:rPr>
              <w:t>CTO Since</w:t>
            </w:r>
          </w:p>
        </w:tc>
        <w:tc>
          <w:tcPr>
            <w:tcW w:w="74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88268D" w14:textId="77777777" w:rsidR="00D642BA" w:rsidRDefault="00185EF4">
            <w:pPr>
              <w:spacing w:after="0" w:line="252" w:lineRule="auto"/>
            </w:pPr>
            <w:r>
              <w:t>July 2024</w:t>
            </w:r>
          </w:p>
        </w:tc>
      </w:tr>
      <w:tr w:rsidR="00D642BA" w14:paraId="28E320F4" w14:textId="77777777">
        <w:trPr>
          <w:cantSplit/>
          <w:jc w:val="center"/>
        </w:trPr>
        <w:tc>
          <w:tcPr>
            <w:tcW w:w="2376" w:type="dxa"/>
            <w:shd w:val="clear" w:color="auto" w:fill="F4F7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B698CA" w14:textId="77777777" w:rsidR="00D642BA" w:rsidRDefault="00185EF4">
            <w:pPr>
              <w:spacing w:after="0" w:line="252" w:lineRule="auto"/>
            </w:pPr>
            <w:r>
              <w:rPr>
                <w:b/>
                <w:color w:val="15324B"/>
              </w:rPr>
              <w:t>Experience</w:t>
            </w:r>
          </w:p>
        </w:tc>
        <w:tc>
          <w:tcPr>
            <w:tcW w:w="7416" w:type="dxa"/>
            <w:shd w:val="clear" w:color="auto" w:fill="F4F7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106442" w14:textId="77777777" w:rsidR="00D642BA" w:rsidRDefault="00185EF4">
            <w:pPr>
              <w:spacing w:after="0" w:line="252" w:lineRule="auto"/>
            </w:pPr>
            <w:r>
              <w:t>25+ years across cybersecurity, consulting, enterprise technology and security leadership</w:t>
            </w:r>
          </w:p>
        </w:tc>
      </w:tr>
      <w:tr w:rsidR="00D642BA" w14:paraId="0C488F89" w14:textId="77777777">
        <w:trPr>
          <w:cantSplit/>
          <w:jc w:val="center"/>
        </w:trPr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73F68D" w14:textId="77777777" w:rsidR="00D642BA" w:rsidRDefault="00185EF4">
            <w:pPr>
              <w:spacing w:after="0" w:line="252" w:lineRule="auto"/>
            </w:pPr>
            <w:r>
              <w:rPr>
                <w:b/>
                <w:color w:val="15324B"/>
              </w:rPr>
              <w:t>Core Domains</w:t>
            </w:r>
          </w:p>
        </w:tc>
        <w:tc>
          <w:tcPr>
            <w:tcW w:w="74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C644C1" w14:textId="77777777" w:rsidR="00D642BA" w:rsidRDefault="00185EF4">
            <w:pPr>
              <w:spacing w:after="0" w:line="252" w:lineRule="auto"/>
            </w:pPr>
            <w:r>
              <w:t>Cyber risk, governance, compliance, security strategy, security operations and resilience</w:t>
            </w:r>
          </w:p>
        </w:tc>
      </w:tr>
      <w:tr w:rsidR="00D642BA" w14:paraId="4B1AE1A7" w14:textId="77777777">
        <w:trPr>
          <w:cantSplit/>
          <w:jc w:val="center"/>
        </w:trPr>
        <w:tc>
          <w:tcPr>
            <w:tcW w:w="2376" w:type="dxa"/>
            <w:shd w:val="clear" w:color="auto" w:fill="F4F7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B73224" w14:textId="77777777" w:rsidR="00D642BA" w:rsidRDefault="00185EF4">
            <w:pPr>
              <w:spacing w:after="0" w:line="252" w:lineRule="auto"/>
            </w:pPr>
            <w:r>
              <w:rPr>
                <w:b/>
                <w:color w:val="15324B"/>
              </w:rPr>
              <w:t>Education</w:t>
            </w:r>
          </w:p>
        </w:tc>
        <w:tc>
          <w:tcPr>
            <w:tcW w:w="7416" w:type="dxa"/>
            <w:shd w:val="clear" w:color="auto" w:fill="F4F7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0B71D5" w14:textId="77777777" w:rsidR="00D642BA" w:rsidRDefault="00185EF4">
            <w:pPr>
              <w:spacing w:after="0" w:line="252" w:lineRule="auto"/>
            </w:pPr>
            <w:r>
              <w:t>B.Sc. Computer Science, University of Wisconsin–Madison</w:t>
            </w:r>
          </w:p>
        </w:tc>
      </w:tr>
      <w:tr w:rsidR="00D642BA" w14:paraId="4D7FA077" w14:textId="77777777">
        <w:trPr>
          <w:cantSplit/>
          <w:jc w:val="center"/>
        </w:trPr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4FA55F" w14:textId="77777777" w:rsidR="00D642BA" w:rsidRDefault="00185EF4">
            <w:pPr>
              <w:spacing w:after="0" w:line="252" w:lineRule="auto"/>
            </w:pPr>
            <w:r>
              <w:rPr>
                <w:b/>
                <w:color w:val="15324B"/>
              </w:rPr>
              <w:t>Credentials</w:t>
            </w:r>
          </w:p>
        </w:tc>
        <w:tc>
          <w:tcPr>
            <w:tcW w:w="74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882852" w14:textId="77777777" w:rsidR="00D642BA" w:rsidRDefault="00185EF4">
            <w:pPr>
              <w:spacing w:after="0" w:line="252" w:lineRule="auto"/>
            </w:pPr>
            <w:r>
              <w:t>CISSP, C|CISO; public profiles also list CISM, CRISC and SABSA Foundation</w:t>
            </w:r>
          </w:p>
        </w:tc>
      </w:tr>
      <w:tr w:rsidR="00D642BA" w14:paraId="2E09AF89" w14:textId="77777777">
        <w:trPr>
          <w:cantSplit/>
          <w:jc w:val="center"/>
        </w:trPr>
        <w:tc>
          <w:tcPr>
            <w:tcW w:w="2376" w:type="dxa"/>
            <w:shd w:val="clear" w:color="auto" w:fill="F4F7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3BC46E" w14:textId="77777777" w:rsidR="00D642BA" w:rsidRDefault="00185EF4">
            <w:pPr>
              <w:spacing w:after="0" w:line="252" w:lineRule="auto"/>
            </w:pPr>
            <w:r>
              <w:rPr>
                <w:b/>
                <w:color w:val="15324B"/>
              </w:rPr>
              <w:t>Institutional Position</w:t>
            </w:r>
          </w:p>
        </w:tc>
        <w:tc>
          <w:tcPr>
            <w:tcW w:w="7416" w:type="dxa"/>
            <w:shd w:val="clear" w:color="auto" w:fill="F4F7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EB8993" w14:textId="77777777" w:rsidR="00D642BA" w:rsidRDefault="00185EF4">
            <w:pPr>
              <w:spacing w:after="0" w:line="252" w:lineRule="auto"/>
            </w:pPr>
            <w:r>
              <w:t>Senior management / national cybersecurity technology leadership</w:t>
            </w:r>
          </w:p>
        </w:tc>
      </w:tr>
    </w:tbl>
    <w:p w14:paraId="449FDA3C" w14:textId="77777777" w:rsidR="00D642BA" w:rsidRDefault="00185EF4">
      <w:pPr>
        <w:pStyle w:val="Heading1"/>
      </w:pPr>
      <w:r>
        <w:t>2. Professional Trajectory</w:t>
      </w:r>
    </w:p>
    <w:p w14:paraId="438403DE" w14:textId="77777777" w:rsidR="00D642BA" w:rsidRDefault="00185EF4">
      <w:pPr>
        <w:spacing w:line="252" w:lineRule="auto"/>
      </w:pPr>
      <w:r>
        <w:rPr>
          <w:b/>
          <w:color w:val="0F6B78"/>
        </w:rPr>
        <w:t xml:space="preserve">Career pattern: </w:t>
      </w:r>
      <w:r>
        <w:t>Technical Security → Cybersecurity Consulting → Executive Advisory → CIO Leadership → Financial-Sector Governance → International Technology Leadership → National Cybersecurity Leadership</w:t>
      </w:r>
    </w:p>
    <w:tbl>
      <w:tblPr>
        <w:tblW w:w="10072" w:type="dxa"/>
        <w:jc w:val="center"/>
        <w:tblBorders>
          <w:top w:val="single" w:sz="6" w:space="0" w:color="CDD7DE"/>
          <w:left w:val="single" w:sz="6" w:space="0" w:color="CDD7DE"/>
          <w:bottom w:val="single" w:sz="6" w:space="0" w:color="CDD7DE"/>
          <w:right w:val="single" w:sz="6" w:space="0" w:color="CDD7DE"/>
          <w:insideH w:val="single" w:sz="6" w:space="0" w:color="CDD7DE"/>
          <w:insideV w:val="single" w:sz="6" w:space="0" w:color="CDD7DE"/>
        </w:tblBorders>
        <w:tblLayout w:type="fixed"/>
        <w:tblLook w:val="04A0" w:firstRow="1" w:lastRow="0" w:firstColumn="1" w:lastColumn="0" w:noHBand="0" w:noVBand="1"/>
      </w:tblPr>
      <w:tblGrid>
        <w:gridCol w:w="2463"/>
        <w:gridCol w:w="4608"/>
        <w:gridCol w:w="3001"/>
      </w:tblGrid>
      <w:tr w:rsidR="00D642BA" w14:paraId="2E7FFA5C" w14:textId="77777777" w:rsidTr="00FE2F41">
        <w:trPr>
          <w:cantSplit/>
          <w:tblHeader/>
          <w:jc w:val="center"/>
        </w:trPr>
        <w:tc>
          <w:tcPr>
            <w:tcW w:w="2463" w:type="dxa"/>
            <w:shd w:val="clear" w:color="auto" w:fill="15324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952DD8" w14:textId="77777777" w:rsidR="00D642BA" w:rsidRDefault="00185EF4">
            <w:pPr>
              <w:spacing w:after="0" w:line="252" w:lineRule="auto"/>
            </w:pPr>
            <w:r>
              <w:rPr>
                <w:b/>
                <w:color w:val="FFFFFF"/>
              </w:rPr>
              <w:t>Period*</w:t>
            </w:r>
          </w:p>
        </w:tc>
        <w:tc>
          <w:tcPr>
            <w:tcW w:w="4608" w:type="dxa"/>
            <w:shd w:val="clear" w:color="auto" w:fill="15324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0C9B47" w14:textId="77777777" w:rsidR="00D642BA" w:rsidRDefault="00185EF4">
            <w:pPr>
              <w:spacing w:after="0" w:line="252" w:lineRule="auto"/>
            </w:pPr>
            <w:r>
              <w:rPr>
                <w:b/>
                <w:color w:val="FFFFFF"/>
              </w:rPr>
              <w:t>Organisation</w:t>
            </w:r>
          </w:p>
        </w:tc>
        <w:tc>
          <w:tcPr>
            <w:tcW w:w="3001" w:type="dxa"/>
            <w:shd w:val="clear" w:color="auto" w:fill="15324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ADA42B" w14:textId="77777777" w:rsidR="00D642BA" w:rsidRDefault="00185EF4">
            <w:pPr>
              <w:spacing w:after="0" w:line="252" w:lineRule="auto"/>
            </w:pPr>
            <w:r>
              <w:rPr>
                <w:b/>
                <w:color w:val="FFFFFF"/>
              </w:rPr>
              <w:t>Position</w:t>
            </w:r>
          </w:p>
        </w:tc>
      </w:tr>
      <w:tr w:rsidR="00D642BA" w14:paraId="0EF03D95" w14:textId="77777777" w:rsidTr="00FE2F41">
        <w:trPr>
          <w:cantSplit/>
          <w:jc w:val="center"/>
        </w:trPr>
        <w:tc>
          <w:tcPr>
            <w:tcW w:w="2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B4751C" w14:textId="77777777" w:rsidR="00D642BA" w:rsidRDefault="00185EF4">
            <w:pPr>
              <w:spacing w:after="0" w:line="252" w:lineRule="auto"/>
            </w:pPr>
            <w:r>
              <w:t>2008–2010</w:t>
            </w:r>
          </w:p>
        </w:tc>
        <w:tc>
          <w:tcPr>
            <w:tcW w:w="460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FD9D45" w14:textId="77777777" w:rsidR="00D642BA" w:rsidRDefault="00185EF4">
            <w:pPr>
              <w:spacing w:after="0" w:line="252" w:lineRule="auto"/>
            </w:pPr>
            <w:r>
              <w:t>Sapura Secured Technologies</w:t>
            </w:r>
          </w:p>
        </w:tc>
        <w:tc>
          <w:tcPr>
            <w:tcW w:w="30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8741B2" w14:textId="77777777" w:rsidR="00D642BA" w:rsidRDefault="00185EF4">
            <w:pPr>
              <w:spacing w:after="0" w:line="252" w:lineRule="auto"/>
            </w:pPr>
            <w:r>
              <w:t>Senior Manager</w:t>
            </w:r>
          </w:p>
        </w:tc>
      </w:tr>
      <w:tr w:rsidR="00D642BA" w14:paraId="3F3B46A1" w14:textId="77777777" w:rsidTr="00FE2F41">
        <w:trPr>
          <w:cantSplit/>
          <w:jc w:val="center"/>
        </w:trPr>
        <w:tc>
          <w:tcPr>
            <w:tcW w:w="2463" w:type="dxa"/>
            <w:shd w:val="clear" w:color="auto" w:fill="F4F7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77309B" w14:textId="77777777" w:rsidR="00D642BA" w:rsidRDefault="00185EF4">
            <w:pPr>
              <w:spacing w:after="0" w:line="252" w:lineRule="auto"/>
            </w:pPr>
            <w:r>
              <w:t>2010–2015</w:t>
            </w:r>
          </w:p>
        </w:tc>
        <w:tc>
          <w:tcPr>
            <w:tcW w:w="4608" w:type="dxa"/>
            <w:shd w:val="clear" w:color="auto" w:fill="F4F7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907BFB" w14:textId="77777777" w:rsidR="00D642BA" w:rsidRDefault="00185EF4">
            <w:pPr>
              <w:spacing w:after="0" w:line="252" w:lineRule="auto"/>
            </w:pPr>
            <w:r>
              <w:t>BAE Systems Detica</w:t>
            </w:r>
          </w:p>
        </w:tc>
        <w:tc>
          <w:tcPr>
            <w:tcW w:w="3001" w:type="dxa"/>
            <w:shd w:val="clear" w:color="auto" w:fill="F4F7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F12592" w14:textId="77777777" w:rsidR="00D642BA" w:rsidRDefault="00185EF4">
            <w:pPr>
              <w:spacing w:after="0" w:line="252" w:lineRule="auto"/>
            </w:pPr>
            <w:r>
              <w:t>Managing Consultant</w:t>
            </w:r>
          </w:p>
        </w:tc>
      </w:tr>
      <w:tr w:rsidR="00D642BA" w14:paraId="5136FF1F" w14:textId="77777777" w:rsidTr="00FE2F41">
        <w:trPr>
          <w:cantSplit/>
          <w:jc w:val="center"/>
        </w:trPr>
        <w:tc>
          <w:tcPr>
            <w:tcW w:w="2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115A3D" w14:textId="77777777" w:rsidR="00D642BA" w:rsidRDefault="00185EF4">
            <w:pPr>
              <w:spacing w:after="0" w:line="252" w:lineRule="auto"/>
            </w:pPr>
            <w:r>
              <w:t>2015</w:t>
            </w:r>
          </w:p>
        </w:tc>
        <w:tc>
          <w:tcPr>
            <w:tcW w:w="460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BFC881" w14:textId="77777777" w:rsidR="00D642BA" w:rsidRDefault="00185EF4">
            <w:pPr>
              <w:spacing w:after="0" w:line="252" w:lineRule="auto"/>
            </w:pPr>
            <w:r>
              <w:t>PwC Consulting Services</w:t>
            </w:r>
          </w:p>
        </w:tc>
        <w:tc>
          <w:tcPr>
            <w:tcW w:w="30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7BB763" w14:textId="77777777" w:rsidR="00D642BA" w:rsidRDefault="00185EF4">
            <w:pPr>
              <w:spacing w:after="0" w:line="252" w:lineRule="auto"/>
            </w:pPr>
            <w:r>
              <w:t>Executive Director</w:t>
            </w:r>
          </w:p>
        </w:tc>
      </w:tr>
      <w:tr w:rsidR="00D642BA" w14:paraId="190CAAC1" w14:textId="77777777" w:rsidTr="00FE2F41">
        <w:trPr>
          <w:cantSplit/>
          <w:jc w:val="center"/>
        </w:trPr>
        <w:tc>
          <w:tcPr>
            <w:tcW w:w="2463" w:type="dxa"/>
            <w:shd w:val="clear" w:color="auto" w:fill="F4F7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E61DE8" w14:textId="77777777" w:rsidR="00D642BA" w:rsidRDefault="00185EF4">
            <w:pPr>
              <w:spacing w:after="0" w:line="252" w:lineRule="auto"/>
            </w:pPr>
            <w:r>
              <w:t>2015–2017</w:t>
            </w:r>
          </w:p>
        </w:tc>
        <w:tc>
          <w:tcPr>
            <w:tcW w:w="4608" w:type="dxa"/>
            <w:shd w:val="clear" w:color="auto" w:fill="F4F7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16185C" w14:textId="77777777" w:rsidR="00D642BA" w:rsidRDefault="00185EF4">
            <w:pPr>
              <w:spacing w:after="0" w:line="252" w:lineRule="auto"/>
            </w:pPr>
            <w:r>
              <w:t>MEPS Sdn Bhd</w:t>
            </w:r>
          </w:p>
        </w:tc>
        <w:tc>
          <w:tcPr>
            <w:tcW w:w="3001" w:type="dxa"/>
            <w:shd w:val="clear" w:color="auto" w:fill="F4F7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B15B68" w14:textId="77777777" w:rsidR="00D642BA" w:rsidRDefault="00185EF4">
            <w:pPr>
              <w:spacing w:after="0" w:line="252" w:lineRule="auto"/>
            </w:pPr>
            <w:r>
              <w:t>Chief Information Officer</w:t>
            </w:r>
          </w:p>
        </w:tc>
      </w:tr>
      <w:tr w:rsidR="00D642BA" w14:paraId="65E92BD8" w14:textId="77777777" w:rsidTr="00FE2F41">
        <w:trPr>
          <w:cantSplit/>
          <w:jc w:val="center"/>
        </w:trPr>
        <w:tc>
          <w:tcPr>
            <w:tcW w:w="2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FF7F43" w14:textId="77777777" w:rsidR="00D642BA" w:rsidRDefault="00185EF4">
            <w:pPr>
              <w:spacing w:after="0" w:line="252" w:lineRule="auto"/>
            </w:pPr>
            <w:r>
              <w:t>2018–2023</w:t>
            </w:r>
          </w:p>
        </w:tc>
        <w:tc>
          <w:tcPr>
            <w:tcW w:w="460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C1FC51" w14:textId="77777777" w:rsidR="00D642BA" w:rsidRDefault="00185EF4">
            <w:pPr>
              <w:spacing w:after="0" w:line="252" w:lineRule="auto"/>
            </w:pPr>
            <w:r>
              <w:t>Permodalan Nasional Berhad (PNB)</w:t>
            </w:r>
          </w:p>
        </w:tc>
        <w:tc>
          <w:tcPr>
            <w:tcW w:w="30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F97422" w14:textId="77777777" w:rsidR="00D642BA" w:rsidRDefault="00185EF4">
            <w:pPr>
              <w:spacing w:after="0" w:line="252" w:lineRule="auto"/>
            </w:pPr>
            <w:r>
              <w:t>Vice President</w:t>
            </w:r>
          </w:p>
        </w:tc>
      </w:tr>
      <w:tr w:rsidR="00D642BA" w14:paraId="0DC0456B" w14:textId="77777777" w:rsidTr="00FE2F41">
        <w:trPr>
          <w:cantSplit/>
          <w:jc w:val="center"/>
        </w:trPr>
        <w:tc>
          <w:tcPr>
            <w:tcW w:w="2463" w:type="dxa"/>
            <w:shd w:val="clear" w:color="auto" w:fill="F4F7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43E219" w14:textId="77777777" w:rsidR="00D642BA" w:rsidRDefault="00185EF4">
            <w:pPr>
              <w:spacing w:after="0" w:line="252" w:lineRule="auto"/>
            </w:pPr>
            <w:r>
              <w:t>2023–Jul 2024</w:t>
            </w:r>
          </w:p>
        </w:tc>
        <w:tc>
          <w:tcPr>
            <w:tcW w:w="4608" w:type="dxa"/>
            <w:shd w:val="clear" w:color="auto" w:fill="F4F7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45B0BF" w14:textId="77777777" w:rsidR="00D642BA" w:rsidRDefault="00185EF4">
            <w:pPr>
              <w:spacing w:after="0" w:line="252" w:lineRule="auto"/>
            </w:pPr>
            <w:r>
              <w:t>Gulf Organisation for Research &amp; Development, Qatar</w:t>
            </w:r>
          </w:p>
        </w:tc>
        <w:tc>
          <w:tcPr>
            <w:tcW w:w="3001" w:type="dxa"/>
            <w:shd w:val="clear" w:color="auto" w:fill="F4F7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9A7D28" w14:textId="77777777" w:rsidR="00D642BA" w:rsidRDefault="00185EF4">
            <w:pPr>
              <w:spacing w:after="0" w:line="252" w:lineRule="auto"/>
            </w:pPr>
            <w:r>
              <w:t>IT Director</w:t>
            </w:r>
          </w:p>
        </w:tc>
      </w:tr>
      <w:tr w:rsidR="00D642BA" w14:paraId="5DE45455" w14:textId="77777777" w:rsidTr="00FE2F41">
        <w:trPr>
          <w:cantSplit/>
          <w:jc w:val="center"/>
        </w:trPr>
        <w:tc>
          <w:tcPr>
            <w:tcW w:w="246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33E434" w14:textId="77777777" w:rsidR="00D642BA" w:rsidRDefault="00185EF4">
            <w:pPr>
              <w:spacing w:after="0" w:line="252" w:lineRule="auto"/>
            </w:pPr>
            <w:r>
              <w:t>Jul 2024–Present</w:t>
            </w:r>
          </w:p>
        </w:tc>
        <w:tc>
          <w:tcPr>
            <w:tcW w:w="460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C6598E" w14:textId="77777777" w:rsidR="00D642BA" w:rsidRDefault="00185EF4">
            <w:pPr>
              <w:spacing w:after="0" w:line="252" w:lineRule="auto"/>
            </w:pPr>
            <w:r>
              <w:t>CyberSecurity Malaysia</w:t>
            </w:r>
          </w:p>
        </w:tc>
        <w:tc>
          <w:tcPr>
            <w:tcW w:w="30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66A567" w14:textId="77777777" w:rsidR="00D642BA" w:rsidRDefault="00185EF4">
            <w:pPr>
              <w:spacing w:after="0" w:line="252" w:lineRule="auto"/>
            </w:pPr>
            <w:r>
              <w:rPr>
                <w:b/>
                <w:color w:val="0F6B78"/>
              </w:rPr>
              <w:t>Chief Technology Officer</w:t>
            </w:r>
          </w:p>
        </w:tc>
      </w:tr>
    </w:tbl>
    <w:p w14:paraId="05F12332" w14:textId="77777777" w:rsidR="00FE2F41" w:rsidRDefault="00FE2F41">
      <w:pPr>
        <w:spacing w:before="40" w:after="80" w:line="252" w:lineRule="auto"/>
        <w:rPr>
          <w:i/>
          <w:color w:val="5B6770"/>
        </w:rPr>
      </w:pPr>
    </w:p>
    <w:p w14:paraId="1B841AA5" w14:textId="4A99B63D" w:rsidR="00D642BA" w:rsidRDefault="00185EF4">
      <w:pPr>
        <w:spacing w:before="40" w:after="80" w:line="252" w:lineRule="auto"/>
      </w:pPr>
      <w:r>
        <w:rPr>
          <w:i/>
          <w:color w:val="5B6770"/>
        </w:rPr>
        <w:t>* Historical dates are based primarily on public professional biographies and directory information and should be treated as secondary-source chronology.</w:t>
      </w:r>
    </w:p>
    <w:p w14:paraId="35FEF6A5" w14:textId="77777777" w:rsidR="00D642BA" w:rsidRDefault="00185EF4">
      <w:r>
        <w:br w:type="page"/>
      </w:r>
    </w:p>
    <w:p w14:paraId="1148F575" w14:textId="77777777" w:rsidR="00D642BA" w:rsidRDefault="00185EF4">
      <w:pPr>
        <w:pStyle w:val="Heading1"/>
      </w:pPr>
      <w:r>
        <w:lastRenderedPageBreak/>
        <w:t>3. Current Role &amp; Institutional Relevance</w:t>
      </w:r>
    </w:p>
    <w:p w14:paraId="36FD30FE" w14:textId="77777777" w:rsidR="00D642BA" w:rsidRDefault="00185EF4">
      <w:pPr>
        <w:spacing w:after="120" w:line="252" w:lineRule="auto"/>
      </w:pPr>
      <w:r>
        <w:t>His current position appears broader than conventional enterprise IT. Public biographies describe responsibility across responsive, proactive and pre-emptive technology and services, placing him near the intersection of national cyber defence, technology strategy, security assurance and operational resilience.</w:t>
      </w:r>
    </w:p>
    <w:tbl>
      <w:tblPr>
        <w:tblW w:w="0" w:type="auto"/>
        <w:jc w:val="center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6" w:space="0" w:color="D6DEE3"/>
          <w:insideV w:val="single" w:sz="6" w:space="0" w:color="D6DEE3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344"/>
      </w:tblGrid>
      <w:tr w:rsidR="00D642BA" w14:paraId="37F26410" w14:textId="77777777">
        <w:trPr>
          <w:cantSplit/>
          <w:jc w:val="center"/>
        </w:trPr>
        <w:tc>
          <w:tcPr>
            <w:tcW w:w="2448" w:type="dxa"/>
            <w:shd w:val="clear" w:color="auto" w:fill="0F6B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4D4F8D" w14:textId="77777777" w:rsidR="00D642BA" w:rsidRDefault="00185EF4">
            <w:pPr>
              <w:spacing w:after="0" w:line="252" w:lineRule="auto"/>
            </w:pPr>
            <w:r>
              <w:rPr>
                <w:b/>
                <w:color w:val="FFFFFF"/>
              </w:rPr>
              <w:t>Responsive</w:t>
            </w:r>
          </w:p>
        </w:tc>
        <w:tc>
          <w:tcPr>
            <w:tcW w:w="7344" w:type="dxa"/>
            <w:shd w:val="clear" w:color="auto" w:fill="F4F7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F18E70" w14:textId="77777777" w:rsidR="00D642BA" w:rsidRDefault="00185EF4">
            <w:pPr>
              <w:spacing w:after="0" w:line="252" w:lineRule="auto"/>
            </w:pPr>
            <w:r>
              <w:t>Incident response, recovery and operational cyber defence</w:t>
            </w:r>
          </w:p>
        </w:tc>
      </w:tr>
      <w:tr w:rsidR="00D642BA" w14:paraId="1188D40C" w14:textId="77777777">
        <w:trPr>
          <w:cantSplit/>
          <w:jc w:val="center"/>
        </w:trPr>
        <w:tc>
          <w:tcPr>
            <w:tcW w:w="2448" w:type="dxa"/>
            <w:shd w:val="clear" w:color="auto" w:fill="0F6B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F57993" w14:textId="77777777" w:rsidR="00D642BA" w:rsidRDefault="00185EF4">
            <w:pPr>
              <w:spacing w:after="0" w:line="252" w:lineRule="auto"/>
            </w:pPr>
            <w:r>
              <w:rPr>
                <w:b/>
                <w:color w:val="FFFFFF"/>
              </w:rPr>
              <w:t>Proactive</w:t>
            </w:r>
          </w:p>
        </w:tc>
        <w:tc>
          <w:tcPr>
            <w:tcW w:w="734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45EC59" w14:textId="77777777" w:rsidR="00D642BA" w:rsidRDefault="00185EF4">
            <w:pPr>
              <w:spacing w:after="0" w:line="252" w:lineRule="auto"/>
            </w:pPr>
            <w:r>
              <w:t>Security assurance, readiness and risk reduction</w:t>
            </w:r>
          </w:p>
        </w:tc>
      </w:tr>
      <w:tr w:rsidR="00D642BA" w14:paraId="38A3572B" w14:textId="77777777">
        <w:trPr>
          <w:cantSplit/>
          <w:jc w:val="center"/>
        </w:trPr>
        <w:tc>
          <w:tcPr>
            <w:tcW w:w="2448" w:type="dxa"/>
            <w:shd w:val="clear" w:color="auto" w:fill="0F6B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3B8F4D" w14:textId="77777777" w:rsidR="00D642BA" w:rsidRDefault="00185EF4">
            <w:pPr>
              <w:spacing w:after="0" w:line="252" w:lineRule="auto"/>
            </w:pPr>
            <w:r>
              <w:rPr>
                <w:b/>
                <w:color w:val="FFFFFF"/>
              </w:rPr>
              <w:t>Pre-Emptive</w:t>
            </w:r>
          </w:p>
        </w:tc>
        <w:tc>
          <w:tcPr>
            <w:tcW w:w="7344" w:type="dxa"/>
            <w:shd w:val="clear" w:color="auto" w:fill="F4F7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F546A1" w14:textId="77777777" w:rsidR="00D642BA" w:rsidRDefault="00185EF4">
            <w:pPr>
              <w:spacing w:after="0" w:line="252" w:lineRule="auto"/>
            </w:pPr>
            <w:r>
              <w:t>Anticipatory capability, emerging threats and future-readiness</w:t>
            </w:r>
          </w:p>
        </w:tc>
      </w:tr>
    </w:tbl>
    <w:p w14:paraId="6D53EDCD" w14:textId="77777777" w:rsidR="00D642BA" w:rsidRDefault="00185EF4">
      <w:pPr>
        <w:pStyle w:val="Heading1"/>
      </w:pPr>
      <w:r>
        <w:t>4. Stakeholder Influence Assessment</w:t>
      </w:r>
    </w:p>
    <w:tbl>
      <w:tblPr>
        <w:tblW w:w="10150" w:type="dxa"/>
        <w:jc w:val="center"/>
        <w:tblBorders>
          <w:top w:val="single" w:sz="6" w:space="0" w:color="D5DEE4"/>
          <w:left w:val="single" w:sz="6" w:space="0" w:color="D5DEE4"/>
          <w:bottom w:val="single" w:sz="6" w:space="0" w:color="D5DEE4"/>
          <w:right w:val="single" w:sz="6" w:space="0" w:color="D5DEE4"/>
          <w:insideH w:val="single" w:sz="6" w:space="0" w:color="D5DEE4"/>
          <w:insideV w:val="single" w:sz="6" w:space="0" w:color="D5DEE4"/>
        </w:tblBorders>
        <w:tblLayout w:type="fixed"/>
        <w:tblLook w:val="04A0" w:firstRow="1" w:lastRow="0" w:firstColumn="1" w:lastColumn="0" w:noHBand="0" w:noVBand="1"/>
      </w:tblPr>
      <w:tblGrid>
        <w:gridCol w:w="3126"/>
        <w:gridCol w:w="3298"/>
        <w:gridCol w:w="3726"/>
      </w:tblGrid>
      <w:tr w:rsidR="00D642BA" w14:paraId="46DF6132" w14:textId="77777777" w:rsidTr="00FE2F41">
        <w:trPr>
          <w:cantSplit/>
          <w:tblHeader/>
          <w:jc w:val="center"/>
        </w:trPr>
        <w:tc>
          <w:tcPr>
            <w:tcW w:w="3126" w:type="dxa"/>
            <w:shd w:val="clear" w:color="auto" w:fill="15324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D6C1DD" w14:textId="77777777" w:rsidR="00D642BA" w:rsidRDefault="00185EF4">
            <w:pPr>
              <w:spacing w:after="0" w:line="252" w:lineRule="auto"/>
            </w:pPr>
            <w:r>
              <w:rPr>
                <w:b/>
                <w:color w:val="FFFFFF"/>
              </w:rPr>
              <w:t>Dimension</w:t>
            </w:r>
          </w:p>
        </w:tc>
        <w:tc>
          <w:tcPr>
            <w:tcW w:w="3298" w:type="dxa"/>
            <w:shd w:val="clear" w:color="auto" w:fill="15324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D826CF" w14:textId="77777777" w:rsidR="00D642BA" w:rsidRDefault="00185EF4">
            <w:pPr>
              <w:spacing w:after="0" w:line="252" w:lineRule="auto"/>
            </w:pPr>
            <w:r>
              <w:rPr>
                <w:b/>
                <w:color w:val="FFFFFF"/>
              </w:rPr>
              <w:t>Assessment</w:t>
            </w:r>
          </w:p>
        </w:tc>
        <w:tc>
          <w:tcPr>
            <w:tcW w:w="3726" w:type="dxa"/>
            <w:shd w:val="clear" w:color="auto" w:fill="15324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559FC7" w14:textId="77777777" w:rsidR="00D642BA" w:rsidRDefault="00185EF4">
            <w:pPr>
              <w:spacing w:after="0" w:line="252" w:lineRule="auto"/>
            </w:pPr>
            <w:r>
              <w:rPr>
                <w:b/>
                <w:color w:val="FFFFFF"/>
              </w:rPr>
              <w:t>Implication</w:t>
            </w:r>
          </w:p>
        </w:tc>
      </w:tr>
      <w:tr w:rsidR="00D642BA" w14:paraId="36D853D4" w14:textId="77777777" w:rsidTr="00FE2F41">
        <w:trPr>
          <w:cantSplit/>
          <w:jc w:val="center"/>
        </w:trPr>
        <w:tc>
          <w:tcPr>
            <w:tcW w:w="3126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02A09515" w14:textId="77777777" w:rsidR="00D642BA" w:rsidRDefault="00185EF4">
            <w:pPr>
              <w:spacing w:after="0" w:line="252" w:lineRule="auto"/>
            </w:pPr>
            <w:r>
              <w:t>Technical authority within CSM</w:t>
            </w:r>
          </w:p>
        </w:tc>
        <w:tc>
          <w:tcPr>
            <w:tcW w:w="3298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6583F8E7" w14:textId="77777777" w:rsidR="00D642BA" w:rsidRDefault="00185EF4">
            <w:pPr>
              <w:spacing w:after="0" w:line="252" w:lineRule="auto"/>
            </w:pPr>
            <w:r>
              <w:rPr>
                <w:b/>
                <w:color w:val="0F6B78"/>
              </w:rPr>
              <w:t>Very High</w:t>
            </w:r>
          </w:p>
        </w:tc>
        <w:tc>
          <w:tcPr>
            <w:tcW w:w="3726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12F0B18E" w14:textId="77777777" w:rsidR="00D642BA" w:rsidRDefault="00185EF4">
            <w:pPr>
              <w:spacing w:after="0" w:line="252" w:lineRule="auto"/>
            </w:pPr>
            <w:r>
              <w:t>Likely material influence over technical direction and credibility</w:t>
            </w:r>
          </w:p>
        </w:tc>
      </w:tr>
      <w:tr w:rsidR="00D642BA" w14:paraId="0689A8B2" w14:textId="77777777" w:rsidTr="00FE2F41">
        <w:trPr>
          <w:cantSplit/>
          <w:jc w:val="center"/>
        </w:trPr>
        <w:tc>
          <w:tcPr>
            <w:tcW w:w="3126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2414AB2F" w14:textId="77777777" w:rsidR="00D642BA" w:rsidRDefault="00185EF4">
            <w:pPr>
              <w:spacing w:after="0" w:line="252" w:lineRule="auto"/>
            </w:pPr>
            <w:r>
              <w:t>Technology strategy influence</w:t>
            </w:r>
          </w:p>
        </w:tc>
        <w:tc>
          <w:tcPr>
            <w:tcW w:w="3298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47F7E245" w14:textId="77777777" w:rsidR="00D642BA" w:rsidRDefault="00185EF4">
            <w:pPr>
              <w:spacing w:after="0" w:line="252" w:lineRule="auto"/>
            </w:pPr>
            <w:r>
              <w:rPr>
                <w:b/>
                <w:color w:val="0F6B78"/>
              </w:rPr>
              <w:t>Very High</w:t>
            </w:r>
          </w:p>
        </w:tc>
        <w:tc>
          <w:tcPr>
            <w:tcW w:w="3726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0BB053C0" w14:textId="77777777" w:rsidR="00D642BA" w:rsidRDefault="00185EF4">
            <w:pPr>
              <w:spacing w:after="0" w:line="252" w:lineRule="auto"/>
            </w:pPr>
            <w:r>
              <w:t>Strong alignment with CTO mandate</w:t>
            </w:r>
          </w:p>
        </w:tc>
      </w:tr>
      <w:tr w:rsidR="00D642BA" w14:paraId="576684D2" w14:textId="77777777" w:rsidTr="00FE2F41">
        <w:trPr>
          <w:cantSplit/>
          <w:jc w:val="center"/>
        </w:trPr>
        <w:tc>
          <w:tcPr>
            <w:tcW w:w="3126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6A197420" w14:textId="77777777" w:rsidR="00D642BA" w:rsidRDefault="00185EF4">
            <w:pPr>
              <w:spacing w:after="0" w:line="252" w:lineRule="auto"/>
            </w:pPr>
            <w:r>
              <w:t>Cybersecurity architecture influence</w:t>
            </w:r>
          </w:p>
        </w:tc>
        <w:tc>
          <w:tcPr>
            <w:tcW w:w="3298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6D88EA0E" w14:textId="77777777" w:rsidR="00D642BA" w:rsidRDefault="00185EF4">
            <w:pPr>
              <w:spacing w:after="0" w:line="252" w:lineRule="auto"/>
            </w:pPr>
            <w:r>
              <w:rPr>
                <w:b/>
                <w:color w:val="0F6B78"/>
              </w:rPr>
              <w:t>Very High</w:t>
            </w:r>
          </w:p>
        </w:tc>
        <w:tc>
          <w:tcPr>
            <w:tcW w:w="3726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388813A5" w14:textId="77777777" w:rsidR="00D642BA" w:rsidRDefault="00185EF4">
            <w:pPr>
              <w:spacing w:after="0" w:line="252" w:lineRule="auto"/>
            </w:pPr>
            <w:r>
              <w:t>Relevant to architecture, assurance and integration choices</w:t>
            </w:r>
          </w:p>
        </w:tc>
      </w:tr>
      <w:tr w:rsidR="00D642BA" w14:paraId="2B95BF6D" w14:textId="77777777" w:rsidTr="00FE2F41">
        <w:trPr>
          <w:cantSplit/>
          <w:jc w:val="center"/>
        </w:trPr>
        <w:tc>
          <w:tcPr>
            <w:tcW w:w="3126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13024B00" w14:textId="77777777" w:rsidR="00D642BA" w:rsidRDefault="00185EF4">
            <w:pPr>
              <w:spacing w:after="0" w:line="252" w:lineRule="auto"/>
            </w:pPr>
            <w:r>
              <w:t>POC credibility / technical endorsement</w:t>
            </w:r>
          </w:p>
        </w:tc>
        <w:tc>
          <w:tcPr>
            <w:tcW w:w="3298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5A040941" w14:textId="77777777" w:rsidR="00D642BA" w:rsidRDefault="00185EF4">
            <w:pPr>
              <w:spacing w:after="0" w:line="252" w:lineRule="auto"/>
            </w:pPr>
            <w:r>
              <w:rPr>
                <w:b/>
                <w:color w:val="0F6B78"/>
              </w:rPr>
              <w:t>Very High</w:t>
            </w:r>
          </w:p>
        </w:tc>
        <w:tc>
          <w:tcPr>
            <w:tcW w:w="3726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67E3DCAD" w14:textId="77777777" w:rsidR="00D642BA" w:rsidRDefault="00185EF4">
            <w:pPr>
              <w:spacing w:after="0" w:line="252" w:lineRule="auto"/>
            </w:pPr>
            <w:r>
              <w:t>High-value validator for emerging capability</w:t>
            </w:r>
          </w:p>
        </w:tc>
      </w:tr>
      <w:tr w:rsidR="00D642BA" w14:paraId="053F051E" w14:textId="77777777" w:rsidTr="00FE2F41">
        <w:trPr>
          <w:cantSplit/>
          <w:jc w:val="center"/>
        </w:trPr>
        <w:tc>
          <w:tcPr>
            <w:tcW w:w="3126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2ADD85A0" w14:textId="77777777" w:rsidR="00D642BA" w:rsidRDefault="00185EF4">
            <w:pPr>
              <w:spacing w:after="0" w:line="252" w:lineRule="auto"/>
            </w:pPr>
            <w:r>
              <w:t>Operationalisation influence</w:t>
            </w:r>
          </w:p>
        </w:tc>
        <w:tc>
          <w:tcPr>
            <w:tcW w:w="3298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0F5C1A7A" w14:textId="77777777" w:rsidR="00D642BA" w:rsidRDefault="00185EF4">
            <w:pPr>
              <w:spacing w:after="0" w:line="252" w:lineRule="auto"/>
            </w:pPr>
            <w:r>
              <w:rPr>
                <w:b/>
                <w:color w:val="0F6B78"/>
              </w:rPr>
              <w:t>High</w:t>
            </w:r>
          </w:p>
        </w:tc>
        <w:tc>
          <w:tcPr>
            <w:tcW w:w="3726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5B707B82" w14:textId="77777777" w:rsidR="00D642BA" w:rsidRDefault="00185EF4">
            <w:pPr>
              <w:spacing w:after="0" w:line="252" w:lineRule="auto"/>
            </w:pPr>
            <w:r>
              <w:t>Likely influential on readiness and sustainability</w:t>
            </w:r>
          </w:p>
        </w:tc>
      </w:tr>
      <w:tr w:rsidR="00D642BA" w14:paraId="42D53EBE" w14:textId="77777777" w:rsidTr="00FE2F41">
        <w:trPr>
          <w:cantSplit/>
          <w:jc w:val="center"/>
        </w:trPr>
        <w:tc>
          <w:tcPr>
            <w:tcW w:w="3126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5DB41009" w14:textId="77777777" w:rsidR="00D642BA" w:rsidRDefault="00185EF4">
            <w:pPr>
              <w:spacing w:after="0" w:line="252" w:lineRule="auto"/>
            </w:pPr>
            <w:r>
              <w:t>Executive-management access</w:t>
            </w:r>
          </w:p>
        </w:tc>
        <w:tc>
          <w:tcPr>
            <w:tcW w:w="3298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5FD815B0" w14:textId="77777777" w:rsidR="00D642BA" w:rsidRDefault="00185EF4">
            <w:pPr>
              <w:spacing w:after="0" w:line="252" w:lineRule="auto"/>
            </w:pPr>
            <w:r>
              <w:rPr>
                <w:b/>
                <w:color w:val="0F6B78"/>
              </w:rPr>
              <w:t>High</w:t>
            </w:r>
          </w:p>
        </w:tc>
        <w:tc>
          <w:tcPr>
            <w:tcW w:w="3726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7FC4FAC4" w14:textId="77777777" w:rsidR="00D642BA" w:rsidRDefault="00185EF4">
            <w:pPr>
              <w:spacing w:after="0" w:line="252" w:lineRule="auto"/>
            </w:pPr>
            <w:r>
              <w:t>Positioned within senior management</w:t>
            </w:r>
          </w:p>
        </w:tc>
      </w:tr>
      <w:tr w:rsidR="00D642BA" w14:paraId="37648C7D" w14:textId="77777777" w:rsidTr="00FE2F41">
        <w:trPr>
          <w:cantSplit/>
          <w:jc w:val="center"/>
        </w:trPr>
        <w:tc>
          <w:tcPr>
            <w:tcW w:w="3126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09D4DD83" w14:textId="77777777" w:rsidR="00D642BA" w:rsidRDefault="00185EF4">
            <w:pPr>
              <w:spacing w:after="0" w:line="252" w:lineRule="auto"/>
            </w:pPr>
            <w:r>
              <w:t>National ecosystem credibility</w:t>
            </w:r>
          </w:p>
        </w:tc>
        <w:tc>
          <w:tcPr>
            <w:tcW w:w="3298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46429FF0" w14:textId="77777777" w:rsidR="00D642BA" w:rsidRDefault="00185EF4">
            <w:pPr>
              <w:spacing w:after="0" w:line="252" w:lineRule="auto"/>
            </w:pPr>
            <w:r>
              <w:rPr>
                <w:b/>
                <w:color w:val="0F6B78"/>
              </w:rPr>
              <w:t>High</w:t>
            </w:r>
          </w:p>
        </w:tc>
        <w:tc>
          <w:tcPr>
            <w:tcW w:w="3726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04FEA09E" w14:textId="77777777" w:rsidR="00D642BA" w:rsidRDefault="00185EF4">
            <w:pPr>
              <w:spacing w:after="0" w:line="252" w:lineRule="auto"/>
            </w:pPr>
            <w:r>
              <w:t>Institutional visibility and speaking role</w:t>
            </w:r>
          </w:p>
        </w:tc>
      </w:tr>
      <w:tr w:rsidR="00D642BA" w14:paraId="589E0BC4" w14:textId="77777777" w:rsidTr="00FE2F41">
        <w:trPr>
          <w:cantSplit/>
          <w:jc w:val="center"/>
        </w:trPr>
        <w:tc>
          <w:tcPr>
            <w:tcW w:w="3126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276E6F01" w14:textId="77777777" w:rsidR="00D642BA" w:rsidRDefault="00185EF4">
            <w:pPr>
              <w:spacing w:after="0" w:line="252" w:lineRule="auto"/>
            </w:pPr>
            <w:r>
              <w:t>Partnership influence</w:t>
            </w:r>
          </w:p>
        </w:tc>
        <w:tc>
          <w:tcPr>
            <w:tcW w:w="3298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52A539CD" w14:textId="77777777" w:rsidR="00D642BA" w:rsidRDefault="00185EF4">
            <w:pPr>
              <w:spacing w:after="0" w:line="252" w:lineRule="auto"/>
            </w:pPr>
            <w:r>
              <w:rPr>
                <w:b/>
                <w:color w:val="0F6B78"/>
              </w:rPr>
              <w:t>High / Shared</w:t>
            </w:r>
          </w:p>
        </w:tc>
        <w:tc>
          <w:tcPr>
            <w:tcW w:w="3726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27A74F68" w14:textId="77777777" w:rsidR="00D642BA" w:rsidRDefault="00185EF4">
            <w:pPr>
              <w:spacing w:after="0" w:line="252" w:lineRule="auto"/>
            </w:pPr>
            <w:r>
              <w:t>Likely shared with commercial, partnership and leadership functions</w:t>
            </w:r>
          </w:p>
        </w:tc>
      </w:tr>
      <w:tr w:rsidR="00D642BA" w14:paraId="3F1BF3F7" w14:textId="77777777" w:rsidTr="00FE2F41">
        <w:trPr>
          <w:cantSplit/>
          <w:jc w:val="center"/>
        </w:trPr>
        <w:tc>
          <w:tcPr>
            <w:tcW w:w="3126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423646E1" w14:textId="77777777" w:rsidR="00D642BA" w:rsidRDefault="00185EF4">
            <w:pPr>
              <w:spacing w:after="0" w:line="252" w:lineRule="auto"/>
            </w:pPr>
            <w:r>
              <w:t>Commercial / procurement authority</w:t>
            </w:r>
          </w:p>
        </w:tc>
        <w:tc>
          <w:tcPr>
            <w:tcW w:w="3298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3749F610" w14:textId="77777777" w:rsidR="00D642BA" w:rsidRDefault="00185EF4">
            <w:pPr>
              <w:spacing w:after="0" w:line="252" w:lineRule="auto"/>
            </w:pPr>
            <w:r>
              <w:rPr>
                <w:b/>
                <w:color w:val="5B6770"/>
              </w:rPr>
              <w:t>To Verify</w:t>
            </w:r>
          </w:p>
        </w:tc>
        <w:tc>
          <w:tcPr>
            <w:tcW w:w="3726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2B7192DD" w14:textId="77777777" w:rsidR="00D642BA" w:rsidRDefault="00185EF4">
            <w:pPr>
              <w:spacing w:after="0" w:line="252" w:lineRule="auto"/>
            </w:pPr>
            <w:r>
              <w:t>Do not assume sole budget or procurement authority</w:t>
            </w:r>
          </w:p>
        </w:tc>
      </w:tr>
      <w:tr w:rsidR="00D642BA" w14:paraId="5A4DEA15" w14:textId="77777777" w:rsidTr="00FE2F41">
        <w:trPr>
          <w:cantSplit/>
          <w:jc w:val="center"/>
        </w:trPr>
        <w:tc>
          <w:tcPr>
            <w:tcW w:w="3126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2E6B0FBE" w14:textId="77777777" w:rsidR="00D642BA" w:rsidRDefault="00185EF4">
            <w:pPr>
              <w:spacing w:after="0" w:line="252" w:lineRule="auto"/>
            </w:pPr>
            <w:r>
              <w:t>Final institutional approval</w:t>
            </w:r>
          </w:p>
        </w:tc>
        <w:tc>
          <w:tcPr>
            <w:tcW w:w="3298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5C47AAA9" w14:textId="77777777" w:rsidR="00D642BA" w:rsidRDefault="00185EF4">
            <w:pPr>
              <w:spacing w:after="0" w:line="252" w:lineRule="auto"/>
            </w:pPr>
            <w:r>
              <w:rPr>
                <w:b/>
                <w:color w:val="5B6770"/>
              </w:rPr>
              <w:t>Context Dependent</w:t>
            </w:r>
          </w:p>
        </w:tc>
        <w:tc>
          <w:tcPr>
            <w:tcW w:w="3726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446B0FE7" w14:textId="77777777" w:rsidR="00D642BA" w:rsidRDefault="00185EF4">
            <w:pPr>
              <w:spacing w:after="0" w:line="252" w:lineRule="auto"/>
            </w:pPr>
            <w:r>
              <w:t>Likely varies by programme and subject matter</w:t>
            </w:r>
          </w:p>
        </w:tc>
      </w:tr>
    </w:tbl>
    <w:p w14:paraId="7A1A074F" w14:textId="77777777" w:rsidR="00D642BA" w:rsidRDefault="00185EF4" w:rsidP="00FE2F41">
      <w:pPr>
        <w:pStyle w:val="Heading1"/>
        <w:pageBreakBefore/>
      </w:pPr>
      <w:r>
        <w:lastRenderedPageBreak/>
        <w:t>5. Likely Decision Lens</w:t>
      </w:r>
    </w:p>
    <w:tbl>
      <w:tblPr>
        <w:tblW w:w="10078" w:type="dxa"/>
        <w:jc w:val="center"/>
        <w:tblBorders>
          <w:top w:val="single" w:sz="6" w:space="0" w:color="D5DEE4"/>
          <w:left w:val="single" w:sz="6" w:space="0" w:color="D5DEE4"/>
          <w:bottom w:val="single" w:sz="6" w:space="0" w:color="D5DEE4"/>
          <w:right w:val="single" w:sz="6" w:space="0" w:color="D5DEE4"/>
          <w:insideH w:val="single" w:sz="6" w:space="0" w:color="D5DEE4"/>
          <w:insideV w:val="single" w:sz="6" w:space="0" w:color="D5DEE4"/>
        </w:tblBorders>
        <w:tblLayout w:type="fixed"/>
        <w:tblLook w:val="04A0" w:firstRow="1" w:lastRow="0" w:firstColumn="1" w:lastColumn="0" w:noHBand="0" w:noVBand="1"/>
      </w:tblPr>
      <w:tblGrid>
        <w:gridCol w:w="3112"/>
        <w:gridCol w:w="3672"/>
        <w:gridCol w:w="3294"/>
      </w:tblGrid>
      <w:tr w:rsidR="00D642BA" w14:paraId="76286898" w14:textId="77777777" w:rsidTr="00FE2F41">
        <w:trPr>
          <w:cantSplit/>
          <w:tblHeader/>
          <w:jc w:val="center"/>
        </w:trPr>
        <w:tc>
          <w:tcPr>
            <w:tcW w:w="3112" w:type="dxa"/>
            <w:shd w:val="clear" w:color="auto" w:fill="0F6B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97602D" w14:textId="77777777" w:rsidR="00D642BA" w:rsidRDefault="00185EF4">
            <w:pPr>
              <w:spacing w:after="0" w:line="252" w:lineRule="auto"/>
            </w:pPr>
            <w:r>
              <w:rPr>
                <w:b/>
                <w:color w:val="FFFFFF"/>
              </w:rPr>
              <w:t>Lens</w:t>
            </w:r>
          </w:p>
        </w:tc>
        <w:tc>
          <w:tcPr>
            <w:tcW w:w="3672" w:type="dxa"/>
            <w:shd w:val="clear" w:color="auto" w:fill="0F6B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518F90" w14:textId="77777777" w:rsidR="00D642BA" w:rsidRDefault="00185EF4">
            <w:pPr>
              <w:spacing w:after="0" w:line="252" w:lineRule="auto"/>
            </w:pPr>
            <w:r>
              <w:rPr>
                <w:b/>
                <w:color w:val="FFFFFF"/>
              </w:rPr>
              <w:t>Likely Question</w:t>
            </w:r>
          </w:p>
        </w:tc>
        <w:tc>
          <w:tcPr>
            <w:tcW w:w="3294" w:type="dxa"/>
            <w:shd w:val="clear" w:color="auto" w:fill="0F6B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FD72C2" w14:textId="77777777" w:rsidR="00D642BA" w:rsidRDefault="00185EF4">
            <w:pPr>
              <w:spacing w:after="0" w:line="252" w:lineRule="auto"/>
            </w:pPr>
            <w:r>
              <w:rPr>
                <w:b/>
                <w:color w:val="FFFFFF"/>
              </w:rPr>
              <w:t>Recommended Response</w:t>
            </w:r>
          </w:p>
        </w:tc>
      </w:tr>
      <w:tr w:rsidR="00D642BA" w14:paraId="0A7777CC" w14:textId="77777777" w:rsidTr="00FE2F41">
        <w:trPr>
          <w:cantSplit/>
          <w:jc w:val="center"/>
        </w:trPr>
        <w:tc>
          <w:tcPr>
            <w:tcW w:w="3112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0741938C" w14:textId="77777777" w:rsidR="00D642BA" w:rsidRDefault="00185EF4">
            <w:pPr>
              <w:spacing w:after="0" w:line="252" w:lineRule="auto"/>
            </w:pPr>
            <w:r>
              <w:rPr>
                <w:b/>
                <w:color w:val="15324B"/>
              </w:rPr>
              <w:t>Strategic relevance</w:t>
            </w:r>
          </w:p>
        </w:tc>
        <w:tc>
          <w:tcPr>
            <w:tcW w:w="3672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79C60CF1" w14:textId="77777777" w:rsidR="00D642BA" w:rsidRDefault="00185EF4">
            <w:pPr>
              <w:spacing w:after="0" w:line="252" w:lineRule="auto"/>
            </w:pPr>
            <w:r>
              <w:t>What national or organisational problem does this solve?</w:t>
            </w:r>
          </w:p>
        </w:tc>
        <w:tc>
          <w:tcPr>
            <w:tcW w:w="3294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3DEB6466" w14:textId="77777777" w:rsidR="00D642BA" w:rsidRDefault="00185EF4">
            <w:pPr>
              <w:spacing w:after="0" w:line="252" w:lineRule="auto"/>
            </w:pPr>
            <w:r>
              <w:t>Lead with mission outcome and institutional value.</w:t>
            </w:r>
          </w:p>
        </w:tc>
      </w:tr>
      <w:tr w:rsidR="00D642BA" w14:paraId="535C9B15" w14:textId="77777777" w:rsidTr="00FE2F41">
        <w:trPr>
          <w:cantSplit/>
          <w:jc w:val="center"/>
        </w:trPr>
        <w:tc>
          <w:tcPr>
            <w:tcW w:w="3112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243B7F50" w14:textId="77777777" w:rsidR="00D642BA" w:rsidRDefault="00185EF4">
            <w:pPr>
              <w:spacing w:after="0" w:line="252" w:lineRule="auto"/>
            </w:pPr>
            <w:r>
              <w:rPr>
                <w:b/>
                <w:color w:val="15324B"/>
              </w:rPr>
              <w:t>Risk reduction</w:t>
            </w:r>
          </w:p>
        </w:tc>
        <w:tc>
          <w:tcPr>
            <w:tcW w:w="3672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198FEE5E" w14:textId="77777777" w:rsidR="00D642BA" w:rsidRDefault="00185EF4">
            <w:pPr>
              <w:spacing w:after="0" w:line="252" w:lineRule="auto"/>
            </w:pPr>
            <w:r>
              <w:t>What risk does it reduce?</w:t>
            </w:r>
          </w:p>
        </w:tc>
        <w:tc>
          <w:tcPr>
            <w:tcW w:w="3294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41B83882" w14:textId="77777777" w:rsidR="00D642BA" w:rsidRDefault="00185EF4">
            <w:pPr>
              <w:spacing w:after="0" w:line="252" w:lineRule="auto"/>
            </w:pPr>
            <w:r>
              <w:t>Quantify exposure, control improvement or resilience gain.</w:t>
            </w:r>
          </w:p>
        </w:tc>
      </w:tr>
      <w:tr w:rsidR="00D642BA" w14:paraId="04758806" w14:textId="77777777" w:rsidTr="00FE2F41">
        <w:trPr>
          <w:cantSplit/>
          <w:jc w:val="center"/>
        </w:trPr>
        <w:tc>
          <w:tcPr>
            <w:tcW w:w="3112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22B655E3" w14:textId="77777777" w:rsidR="00D642BA" w:rsidRDefault="00185EF4">
            <w:pPr>
              <w:spacing w:after="0" w:line="252" w:lineRule="auto"/>
            </w:pPr>
            <w:r>
              <w:rPr>
                <w:b/>
                <w:color w:val="15324B"/>
              </w:rPr>
              <w:t>Operational reliability</w:t>
            </w:r>
          </w:p>
        </w:tc>
        <w:tc>
          <w:tcPr>
            <w:tcW w:w="3672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4809B676" w14:textId="77777777" w:rsidR="00D642BA" w:rsidRDefault="00185EF4">
            <w:pPr>
              <w:spacing w:after="0" w:line="252" w:lineRule="auto"/>
            </w:pPr>
            <w:r>
              <w:t>Can it work reliably in production?</w:t>
            </w:r>
          </w:p>
        </w:tc>
        <w:tc>
          <w:tcPr>
            <w:tcW w:w="3294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37A9B445" w14:textId="77777777" w:rsidR="00D642BA" w:rsidRDefault="00185EF4">
            <w:pPr>
              <w:spacing w:after="0" w:line="252" w:lineRule="auto"/>
            </w:pPr>
            <w:r>
              <w:t>Show architecture, maturity, evidence and operating model.</w:t>
            </w:r>
          </w:p>
        </w:tc>
      </w:tr>
      <w:tr w:rsidR="00D642BA" w14:paraId="702B84A2" w14:textId="77777777" w:rsidTr="00FE2F41">
        <w:trPr>
          <w:cantSplit/>
          <w:jc w:val="center"/>
        </w:trPr>
        <w:tc>
          <w:tcPr>
            <w:tcW w:w="3112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2BEFF033" w14:textId="77777777" w:rsidR="00D642BA" w:rsidRDefault="00185EF4">
            <w:pPr>
              <w:spacing w:after="0" w:line="252" w:lineRule="auto"/>
            </w:pPr>
            <w:r>
              <w:rPr>
                <w:b/>
                <w:color w:val="15324B"/>
              </w:rPr>
              <w:t>Integration</w:t>
            </w:r>
          </w:p>
        </w:tc>
        <w:tc>
          <w:tcPr>
            <w:tcW w:w="3672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2EDE99D6" w14:textId="77777777" w:rsidR="00D642BA" w:rsidRDefault="00185EF4">
            <w:pPr>
              <w:spacing w:after="0" w:line="252" w:lineRule="auto"/>
            </w:pPr>
            <w:r>
              <w:t>How does it fit existing capability?</w:t>
            </w:r>
          </w:p>
        </w:tc>
        <w:tc>
          <w:tcPr>
            <w:tcW w:w="3294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2CC08142" w14:textId="77777777" w:rsidR="00D642BA" w:rsidRDefault="00185EF4">
            <w:pPr>
              <w:spacing w:after="0" w:line="252" w:lineRule="auto"/>
            </w:pPr>
            <w:r>
              <w:t>Position as integration and augmentation, not unnecessary replacement.</w:t>
            </w:r>
          </w:p>
        </w:tc>
      </w:tr>
      <w:tr w:rsidR="00D642BA" w14:paraId="4C6B98E3" w14:textId="77777777" w:rsidTr="00FE2F41">
        <w:trPr>
          <w:cantSplit/>
          <w:jc w:val="center"/>
        </w:trPr>
        <w:tc>
          <w:tcPr>
            <w:tcW w:w="3112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508C3BE1" w14:textId="77777777" w:rsidR="00D642BA" w:rsidRDefault="00185EF4">
            <w:pPr>
              <w:spacing w:after="0" w:line="252" w:lineRule="auto"/>
            </w:pPr>
            <w:r>
              <w:rPr>
                <w:b/>
                <w:color w:val="15324B"/>
              </w:rPr>
              <w:t>Governance</w:t>
            </w:r>
          </w:p>
        </w:tc>
        <w:tc>
          <w:tcPr>
            <w:tcW w:w="3672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2EE1F87D" w14:textId="77777777" w:rsidR="00D642BA" w:rsidRDefault="00185EF4">
            <w:pPr>
              <w:spacing w:after="0" w:line="252" w:lineRule="auto"/>
            </w:pPr>
            <w:r>
              <w:t>How is it governed and controlled?</w:t>
            </w:r>
          </w:p>
        </w:tc>
        <w:tc>
          <w:tcPr>
            <w:tcW w:w="3294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2E068D68" w14:textId="77777777" w:rsidR="00D642BA" w:rsidRDefault="00185EF4">
            <w:pPr>
              <w:spacing w:after="0" w:line="252" w:lineRule="auto"/>
            </w:pPr>
            <w:r>
              <w:t>Define ownership, assurance, auditability and data controls.</w:t>
            </w:r>
          </w:p>
        </w:tc>
      </w:tr>
      <w:tr w:rsidR="00D642BA" w14:paraId="30804605" w14:textId="77777777" w:rsidTr="00FE2F41">
        <w:trPr>
          <w:cantSplit/>
          <w:jc w:val="center"/>
        </w:trPr>
        <w:tc>
          <w:tcPr>
            <w:tcW w:w="3112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56D50897" w14:textId="77777777" w:rsidR="00D642BA" w:rsidRDefault="00185EF4">
            <w:pPr>
              <w:spacing w:after="0" w:line="252" w:lineRule="auto"/>
            </w:pPr>
            <w:r>
              <w:rPr>
                <w:b/>
                <w:color w:val="15324B"/>
              </w:rPr>
              <w:t>Sustainability</w:t>
            </w:r>
          </w:p>
        </w:tc>
        <w:tc>
          <w:tcPr>
            <w:tcW w:w="3672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45B777AD" w14:textId="77777777" w:rsidR="00D642BA" w:rsidRDefault="00185EF4">
            <w:pPr>
              <w:spacing w:after="0" w:line="252" w:lineRule="auto"/>
            </w:pPr>
            <w:r>
              <w:t>Can Malaysia operate it sustainably?</w:t>
            </w:r>
          </w:p>
        </w:tc>
        <w:tc>
          <w:tcPr>
            <w:tcW w:w="3294" w:type="dxa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2A76F420" w14:textId="77777777" w:rsidR="00D642BA" w:rsidRDefault="00185EF4">
            <w:pPr>
              <w:spacing w:after="0" w:line="252" w:lineRule="auto"/>
            </w:pPr>
            <w:r>
              <w:t>Show sovereignty, skills transfer, local operations and support.</w:t>
            </w:r>
          </w:p>
        </w:tc>
      </w:tr>
      <w:tr w:rsidR="00D642BA" w14:paraId="38187707" w14:textId="77777777" w:rsidTr="00FE2F41">
        <w:trPr>
          <w:cantSplit/>
          <w:jc w:val="center"/>
        </w:trPr>
        <w:tc>
          <w:tcPr>
            <w:tcW w:w="3112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440AF1DA" w14:textId="77777777" w:rsidR="00D642BA" w:rsidRDefault="00185EF4">
            <w:pPr>
              <w:spacing w:after="0" w:line="252" w:lineRule="auto"/>
            </w:pPr>
            <w:r>
              <w:rPr>
                <w:b/>
                <w:color w:val="15324B"/>
              </w:rPr>
              <w:t>Post-POC pathway</w:t>
            </w:r>
          </w:p>
        </w:tc>
        <w:tc>
          <w:tcPr>
            <w:tcW w:w="3672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72ED0F56" w14:textId="77777777" w:rsidR="00D642BA" w:rsidRDefault="00185EF4">
            <w:pPr>
              <w:spacing w:after="0" w:line="252" w:lineRule="auto"/>
            </w:pPr>
            <w:r>
              <w:t>What happens after validation?</w:t>
            </w:r>
          </w:p>
        </w:tc>
        <w:tc>
          <w:tcPr>
            <w:tcW w:w="3294" w:type="dxa"/>
            <w:shd w:val="clear" w:color="auto" w:fill="F4F7F9"/>
            <w:tcMar>
              <w:top w:w="58" w:type="dxa"/>
              <w:left w:w="75" w:type="dxa"/>
              <w:bottom w:w="58" w:type="dxa"/>
              <w:right w:w="75" w:type="dxa"/>
            </w:tcMar>
          </w:tcPr>
          <w:p w14:paraId="0B72399A" w14:textId="77777777" w:rsidR="00D642BA" w:rsidRDefault="00185EF4">
            <w:pPr>
              <w:spacing w:after="0" w:line="252" w:lineRule="auto"/>
            </w:pPr>
            <w:r>
              <w:t>Present a clear operationalisation and scale plan.</w:t>
            </w:r>
          </w:p>
        </w:tc>
      </w:tr>
    </w:tbl>
    <w:p w14:paraId="1D9B1638" w14:textId="77777777" w:rsidR="00D642BA" w:rsidRDefault="00185EF4">
      <w:pPr>
        <w:pStyle w:val="Heading1"/>
      </w:pPr>
      <w:r>
        <w:t>6. Engagement Strategy</w:t>
      </w:r>
    </w:p>
    <w:p w14:paraId="61B0318B" w14:textId="77777777" w:rsidR="00D642BA" w:rsidRDefault="00185EF4">
      <w:pPr>
        <w:spacing w:after="120" w:line="252" w:lineRule="auto"/>
      </w:pPr>
      <w:r>
        <w:t>Recommended objective: position the engagement around validated national capability, technical credibility and operationalisation—not product features alone.</w:t>
      </w:r>
    </w:p>
    <w:tbl>
      <w:tblPr>
        <w:tblW w:w="10238" w:type="dxa"/>
        <w:jc w:val="center"/>
        <w:tblBorders>
          <w:top w:val="single" w:sz="6" w:space="0" w:color="D5DEE4"/>
          <w:left w:val="single" w:sz="6" w:space="0" w:color="D5DEE4"/>
          <w:bottom w:val="single" w:sz="6" w:space="0" w:color="D5DEE4"/>
          <w:right w:val="single" w:sz="6" w:space="0" w:color="D5DEE4"/>
          <w:insideH w:val="single" w:sz="6" w:space="0" w:color="D5DEE4"/>
          <w:insideV w:val="single" w:sz="6" w:space="0" w:color="D5DEE4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3298"/>
        <w:gridCol w:w="4680"/>
      </w:tblGrid>
      <w:tr w:rsidR="00D642BA" w14:paraId="2194E3AC" w14:textId="77777777" w:rsidTr="00FE2F41">
        <w:trPr>
          <w:cantSplit/>
          <w:tblHeader/>
          <w:jc w:val="center"/>
        </w:trPr>
        <w:tc>
          <w:tcPr>
            <w:tcW w:w="2260" w:type="dxa"/>
            <w:shd w:val="clear" w:color="auto" w:fill="15324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697B1C" w14:textId="77777777" w:rsidR="00D642BA" w:rsidRDefault="00185EF4">
            <w:pPr>
              <w:spacing w:after="0" w:line="252" w:lineRule="auto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w="3298" w:type="dxa"/>
            <w:shd w:val="clear" w:color="auto" w:fill="15324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A4C44D" w14:textId="77777777" w:rsidR="00D642BA" w:rsidRDefault="00185EF4">
            <w:pPr>
              <w:spacing w:after="0" w:line="252" w:lineRule="auto"/>
            </w:pPr>
            <w:r>
              <w:rPr>
                <w:b/>
                <w:color w:val="FFFFFF"/>
              </w:rPr>
              <w:t>Focus</w:t>
            </w:r>
          </w:p>
        </w:tc>
        <w:tc>
          <w:tcPr>
            <w:tcW w:w="4680" w:type="dxa"/>
            <w:shd w:val="clear" w:color="auto" w:fill="15324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0BA3B9" w14:textId="77777777" w:rsidR="00D642BA" w:rsidRDefault="00185EF4">
            <w:pPr>
              <w:spacing w:after="0" w:line="252" w:lineRule="auto"/>
            </w:pPr>
            <w:r>
              <w:rPr>
                <w:b/>
                <w:color w:val="FFFFFF"/>
              </w:rPr>
              <w:t>Execution</w:t>
            </w:r>
          </w:p>
        </w:tc>
      </w:tr>
      <w:tr w:rsidR="00D642BA" w14:paraId="2A77CEB1" w14:textId="77777777" w:rsidTr="00FE2F41">
        <w:trPr>
          <w:cantSplit/>
          <w:jc w:val="center"/>
        </w:trPr>
        <w:tc>
          <w:tcPr>
            <w:tcW w:w="226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EF13CD" w14:textId="77777777" w:rsidR="00D642BA" w:rsidRDefault="00185EF4">
            <w:pPr>
              <w:spacing w:after="0" w:line="252" w:lineRule="auto"/>
            </w:pPr>
            <w:r>
              <w:rPr>
                <w:b/>
                <w:color w:val="0F6B78"/>
              </w:rPr>
              <w:t>Lead With</w:t>
            </w:r>
          </w:p>
        </w:tc>
        <w:tc>
          <w:tcPr>
            <w:tcW w:w="32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D782E7" w14:textId="77777777" w:rsidR="00D642BA" w:rsidRDefault="00185EF4">
            <w:pPr>
              <w:spacing w:after="0" w:line="252" w:lineRule="auto"/>
            </w:pPr>
            <w:r>
              <w:t>National / institutional outcome</w:t>
            </w:r>
          </w:p>
        </w:tc>
        <w:tc>
          <w:tcPr>
            <w:tcW w:w="468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C5B32E" w14:textId="77777777" w:rsidR="00D642BA" w:rsidRDefault="00185EF4">
            <w:pPr>
              <w:spacing w:after="0" w:line="252" w:lineRule="auto"/>
            </w:pPr>
            <w:r>
              <w:t>Frame the problem, affected stakeholders and desired end-state.</w:t>
            </w:r>
          </w:p>
        </w:tc>
      </w:tr>
      <w:tr w:rsidR="00D642BA" w14:paraId="555EF4D4" w14:textId="77777777" w:rsidTr="00FE2F41">
        <w:trPr>
          <w:cantSplit/>
          <w:jc w:val="center"/>
        </w:trPr>
        <w:tc>
          <w:tcPr>
            <w:tcW w:w="2260" w:type="dxa"/>
            <w:shd w:val="clear" w:color="auto" w:fill="F4F7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41341E" w14:textId="77777777" w:rsidR="00D642BA" w:rsidRDefault="00185EF4">
            <w:pPr>
              <w:spacing w:after="0" w:line="252" w:lineRule="auto"/>
            </w:pPr>
            <w:r>
              <w:rPr>
                <w:b/>
                <w:color w:val="0F6B78"/>
              </w:rPr>
              <w:t>Prove</w:t>
            </w:r>
          </w:p>
        </w:tc>
        <w:tc>
          <w:tcPr>
            <w:tcW w:w="3298" w:type="dxa"/>
            <w:shd w:val="clear" w:color="auto" w:fill="F4F7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79383E" w14:textId="77777777" w:rsidR="00D642BA" w:rsidRDefault="00185EF4">
            <w:pPr>
              <w:spacing w:after="0" w:line="252" w:lineRule="auto"/>
            </w:pPr>
            <w:r>
              <w:t>Technical and operational credibility</w:t>
            </w:r>
          </w:p>
        </w:tc>
        <w:tc>
          <w:tcPr>
            <w:tcW w:w="4680" w:type="dxa"/>
            <w:shd w:val="clear" w:color="auto" w:fill="F4F7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6F7818" w14:textId="77777777" w:rsidR="00D642BA" w:rsidRDefault="00185EF4">
            <w:pPr>
              <w:spacing w:after="0" w:line="252" w:lineRule="auto"/>
            </w:pPr>
            <w:r>
              <w:t>Use architecture, deployment evidence, POC criteria and measurable outcomes.</w:t>
            </w:r>
          </w:p>
        </w:tc>
      </w:tr>
      <w:tr w:rsidR="00D642BA" w14:paraId="0F577D70" w14:textId="77777777" w:rsidTr="00FE2F41">
        <w:trPr>
          <w:cantSplit/>
          <w:jc w:val="center"/>
        </w:trPr>
        <w:tc>
          <w:tcPr>
            <w:tcW w:w="226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E34720" w14:textId="77777777" w:rsidR="00D642BA" w:rsidRDefault="00185EF4">
            <w:pPr>
              <w:spacing w:after="0" w:line="252" w:lineRule="auto"/>
            </w:pPr>
            <w:r>
              <w:rPr>
                <w:b/>
                <w:color w:val="0F6B78"/>
              </w:rPr>
              <w:t>De-Risk</w:t>
            </w:r>
          </w:p>
        </w:tc>
        <w:tc>
          <w:tcPr>
            <w:tcW w:w="32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2C75DC" w14:textId="77777777" w:rsidR="00D642BA" w:rsidRDefault="00185EF4">
            <w:pPr>
              <w:spacing w:after="0" w:line="252" w:lineRule="auto"/>
            </w:pPr>
            <w:r>
              <w:t>Governance and integration</w:t>
            </w:r>
          </w:p>
        </w:tc>
        <w:tc>
          <w:tcPr>
            <w:tcW w:w="468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B24D97" w14:textId="77777777" w:rsidR="00D642BA" w:rsidRDefault="00185EF4">
            <w:pPr>
              <w:spacing w:after="0" w:line="252" w:lineRule="auto"/>
            </w:pPr>
            <w:r>
              <w:t>Show controls, data handling, assurance model, interoperability and ownership.</w:t>
            </w:r>
          </w:p>
        </w:tc>
      </w:tr>
      <w:tr w:rsidR="00D642BA" w14:paraId="36800F31" w14:textId="77777777" w:rsidTr="00FE2F41">
        <w:trPr>
          <w:cantSplit/>
          <w:jc w:val="center"/>
        </w:trPr>
        <w:tc>
          <w:tcPr>
            <w:tcW w:w="2260" w:type="dxa"/>
            <w:shd w:val="clear" w:color="auto" w:fill="F4F7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73F49A" w14:textId="77777777" w:rsidR="00D642BA" w:rsidRDefault="00185EF4">
            <w:pPr>
              <w:spacing w:after="0" w:line="252" w:lineRule="auto"/>
            </w:pPr>
            <w:r>
              <w:rPr>
                <w:b/>
                <w:color w:val="0F6B78"/>
              </w:rPr>
              <w:t>Operationalise</w:t>
            </w:r>
          </w:p>
        </w:tc>
        <w:tc>
          <w:tcPr>
            <w:tcW w:w="3298" w:type="dxa"/>
            <w:shd w:val="clear" w:color="auto" w:fill="F4F7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7B734A" w14:textId="77777777" w:rsidR="00D642BA" w:rsidRDefault="00185EF4">
            <w:pPr>
              <w:spacing w:after="0" w:line="252" w:lineRule="auto"/>
            </w:pPr>
            <w:r>
              <w:t>Sustainable Malaysian capability</w:t>
            </w:r>
          </w:p>
        </w:tc>
        <w:tc>
          <w:tcPr>
            <w:tcW w:w="4680" w:type="dxa"/>
            <w:shd w:val="clear" w:color="auto" w:fill="F4F7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02B254" w14:textId="77777777" w:rsidR="00D642BA" w:rsidRDefault="00185EF4">
            <w:pPr>
              <w:spacing w:after="0" w:line="252" w:lineRule="auto"/>
            </w:pPr>
            <w:r>
              <w:t>Define local support, skills transfer, sovereign infrastructure and scale pathway.</w:t>
            </w:r>
          </w:p>
        </w:tc>
      </w:tr>
      <w:tr w:rsidR="00D642BA" w14:paraId="4EC71616" w14:textId="77777777" w:rsidTr="00FE2F41">
        <w:trPr>
          <w:cantSplit/>
          <w:jc w:val="center"/>
        </w:trPr>
        <w:tc>
          <w:tcPr>
            <w:tcW w:w="226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D399FF" w14:textId="77777777" w:rsidR="00D642BA" w:rsidRDefault="00185EF4">
            <w:pPr>
              <w:spacing w:after="0" w:line="252" w:lineRule="auto"/>
            </w:pPr>
            <w:r>
              <w:rPr>
                <w:b/>
                <w:color w:val="0F6B78"/>
              </w:rPr>
              <w:t>Close</w:t>
            </w:r>
          </w:p>
        </w:tc>
        <w:tc>
          <w:tcPr>
            <w:tcW w:w="32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C7CB9C" w14:textId="77777777" w:rsidR="00D642BA" w:rsidRDefault="00185EF4">
            <w:pPr>
              <w:spacing w:after="0" w:line="252" w:lineRule="auto"/>
            </w:pPr>
            <w:r>
              <w:t>Specific next decision</w:t>
            </w:r>
          </w:p>
        </w:tc>
        <w:tc>
          <w:tcPr>
            <w:tcW w:w="468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DB292B" w14:textId="77777777" w:rsidR="00D642BA" w:rsidRDefault="00185EF4">
            <w:pPr>
              <w:spacing w:after="0" w:line="252" w:lineRule="auto"/>
            </w:pPr>
            <w:r>
              <w:t>Seek a technical validation session, POC gate, architecture review or named next step.</w:t>
            </w:r>
          </w:p>
        </w:tc>
      </w:tr>
    </w:tbl>
    <w:p w14:paraId="46A71E10" w14:textId="77777777" w:rsidR="00D642BA" w:rsidRDefault="00185EF4" w:rsidP="00FE2F41">
      <w:pPr>
        <w:pStyle w:val="Heading1"/>
        <w:pageBreakBefore/>
      </w:pPr>
      <w:r>
        <w:lastRenderedPageBreak/>
        <w:t>7. High-Value Conversation Territories</w:t>
      </w:r>
    </w:p>
    <w:p w14:paraId="14391E03" w14:textId="77777777" w:rsidR="00D642BA" w:rsidRDefault="00185EF4">
      <w:pPr>
        <w:pStyle w:val="Heading2"/>
      </w:pPr>
      <w:r>
        <w:rPr>
          <w:rFonts w:ascii="Arial" w:hAnsi="Arial"/>
        </w:rPr>
        <w:t>Sovereign cybersecurity capability</w:t>
      </w:r>
    </w:p>
    <w:p w14:paraId="6E411687" w14:textId="77777777" w:rsidR="00D642BA" w:rsidRDefault="00185EF4">
      <w:pPr>
        <w:spacing w:after="80" w:line="252" w:lineRule="auto"/>
      </w:pPr>
      <w:r>
        <w:t>Strong fit when tied to measurable Malaysian operational capacity, data sovereignty and institutional collaboration.</w:t>
      </w:r>
    </w:p>
    <w:p w14:paraId="520A3726" w14:textId="77777777" w:rsidR="00D642BA" w:rsidRDefault="00185EF4">
      <w:pPr>
        <w:pStyle w:val="Heading2"/>
      </w:pPr>
      <w:r>
        <w:rPr>
          <w:rFonts w:ascii="Arial" w:hAnsi="Arial"/>
        </w:rPr>
        <w:t>AI-enabled cyber defence</w:t>
      </w:r>
    </w:p>
    <w:p w14:paraId="6CF27B41" w14:textId="77777777" w:rsidR="00D642BA" w:rsidRDefault="00185EF4">
      <w:pPr>
        <w:spacing w:after="80" w:line="252" w:lineRule="auto"/>
      </w:pPr>
      <w:r>
        <w:t>Lead with assurance, explainability, operator control and operational utility—not AI novelty.</w:t>
      </w:r>
    </w:p>
    <w:p w14:paraId="2D6F4D46" w14:textId="77777777" w:rsidR="00D642BA" w:rsidRDefault="00185EF4">
      <w:pPr>
        <w:pStyle w:val="Heading2"/>
      </w:pPr>
      <w:r>
        <w:rPr>
          <w:rFonts w:ascii="Arial" w:hAnsi="Arial"/>
        </w:rPr>
        <w:t>Cyber resilience</w:t>
      </w:r>
    </w:p>
    <w:p w14:paraId="21F43632" w14:textId="77777777" w:rsidR="00D642BA" w:rsidRDefault="00185EF4">
      <w:pPr>
        <w:spacing w:after="80" w:line="252" w:lineRule="auto"/>
      </w:pPr>
      <w:r>
        <w:t>Particularly aligned with governance, business continuity, recovery and institutional readiness.</w:t>
      </w:r>
    </w:p>
    <w:p w14:paraId="30CFE5BF" w14:textId="77777777" w:rsidR="00D642BA" w:rsidRDefault="00185EF4">
      <w:pPr>
        <w:pStyle w:val="Heading2"/>
      </w:pPr>
      <w:r>
        <w:rPr>
          <w:rFonts w:ascii="Arial" w:hAnsi="Arial"/>
        </w:rPr>
        <w:t>Emerging threat readiness</w:t>
      </w:r>
    </w:p>
    <w:p w14:paraId="32AD921A" w14:textId="77777777" w:rsidR="00D642BA" w:rsidRDefault="00185EF4">
      <w:pPr>
        <w:spacing w:after="80" w:line="252" w:lineRule="auto"/>
      </w:pPr>
      <w:r>
        <w:t>Post-quantum migration, new threat classes and anticipatory defence fit his public thought-leadership themes.</w:t>
      </w:r>
    </w:p>
    <w:p w14:paraId="47CAAE63" w14:textId="77777777" w:rsidR="00D642BA" w:rsidRDefault="00185EF4">
      <w:pPr>
        <w:pStyle w:val="Heading2"/>
      </w:pPr>
      <w:r>
        <w:rPr>
          <w:rFonts w:ascii="Arial" w:hAnsi="Arial"/>
        </w:rPr>
        <w:t>Technical validation &amp; POCs</w:t>
      </w:r>
    </w:p>
    <w:p w14:paraId="4590D59F" w14:textId="77777777" w:rsidR="00D642BA" w:rsidRDefault="00185EF4">
      <w:pPr>
        <w:spacing w:after="80" w:line="252" w:lineRule="auto"/>
      </w:pPr>
      <w:r>
        <w:t>Use clear success criteria, evidence collection, integration requirements and post-POC deployment pathway.</w:t>
      </w:r>
    </w:p>
    <w:p w14:paraId="605FFD71" w14:textId="77777777" w:rsidR="00D642BA" w:rsidRDefault="00185EF4">
      <w:pPr>
        <w:pStyle w:val="Heading1"/>
      </w:pPr>
      <w:r>
        <w:t>8. Engagement Guardrails</w:t>
      </w:r>
    </w:p>
    <w:tbl>
      <w:tblPr>
        <w:tblW w:w="0" w:type="auto"/>
        <w:jc w:val="center"/>
        <w:tblBorders>
          <w:top w:val="single" w:sz="6" w:space="0" w:color="CCD8DF"/>
          <w:left w:val="single" w:sz="6" w:space="0" w:color="CCD8DF"/>
          <w:bottom w:val="single" w:sz="6" w:space="0" w:color="CCD8DF"/>
          <w:right w:val="single" w:sz="6" w:space="0" w:color="CCD8DF"/>
          <w:insideH w:val="single" w:sz="6" w:space="0" w:color="CCD8DF"/>
          <w:insideV w:val="single" w:sz="6" w:space="0" w:color="CCD8DF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D642BA" w14:paraId="7E69BFF3" w14:textId="77777777">
        <w:trPr>
          <w:cantSplit/>
          <w:jc w:val="center"/>
        </w:trPr>
        <w:tc>
          <w:tcPr>
            <w:tcW w:w="4946" w:type="dxa"/>
            <w:shd w:val="clear" w:color="auto" w:fill="E8F4EE"/>
            <w:tcMar>
              <w:top w:w="110" w:type="dxa"/>
              <w:left w:w="120" w:type="dxa"/>
              <w:bottom w:w="100" w:type="dxa"/>
              <w:right w:w="120" w:type="dxa"/>
            </w:tcMar>
          </w:tcPr>
          <w:p w14:paraId="5D8AB93B" w14:textId="77777777" w:rsidR="00D642BA" w:rsidRDefault="00185EF4">
            <w:pPr>
              <w:spacing w:after="80" w:line="252" w:lineRule="auto"/>
            </w:pPr>
            <w:r>
              <w:rPr>
                <w:b/>
                <w:color w:val="0F6B78"/>
              </w:rPr>
              <w:t>DO</w:t>
            </w:r>
          </w:p>
          <w:p w14:paraId="2DF0FCD4" w14:textId="77777777" w:rsidR="00D642BA" w:rsidRDefault="00185EF4">
            <w:pPr>
              <w:pStyle w:val="ListBullet"/>
              <w:spacing w:after="40" w:line="252" w:lineRule="auto"/>
              <w:ind w:left="259" w:hanging="72"/>
            </w:pPr>
            <w:r>
              <w:t>Anchor on mission, resilience and measurable outcomes.</w:t>
            </w:r>
          </w:p>
          <w:p w14:paraId="1120162D" w14:textId="77777777" w:rsidR="00D642BA" w:rsidRDefault="00185EF4">
            <w:pPr>
              <w:pStyle w:val="ListBullet"/>
              <w:spacing w:after="40" w:line="252" w:lineRule="auto"/>
              <w:ind w:left="259" w:hanging="72"/>
            </w:pPr>
            <w:r>
              <w:t>Bring technical evidence and a realistic operating model.</w:t>
            </w:r>
          </w:p>
          <w:p w14:paraId="16FF88ED" w14:textId="77777777" w:rsidR="00D642BA" w:rsidRDefault="00185EF4">
            <w:pPr>
              <w:pStyle w:val="ListBullet"/>
              <w:spacing w:after="40" w:line="252" w:lineRule="auto"/>
              <w:ind w:left="259" w:hanging="72"/>
            </w:pPr>
            <w:r>
              <w:t>Show how the capability integrates with existing CSM ecosystem assets.</w:t>
            </w:r>
          </w:p>
          <w:p w14:paraId="6434B800" w14:textId="77777777" w:rsidR="00D642BA" w:rsidRDefault="00185EF4">
            <w:pPr>
              <w:pStyle w:val="ListBullet"/>
              <w:spacing w:after="40" w:line="252" w:lineRule="auto"/>
              <w:ind w:left="259" w:hanging="72"/>
            </w:pPr>
            <w:r>
              <w:t>Define governance, ownership and post-POC path early.</w:t>
            </w:r>
          </w:p>
        </w:tc>
        <w:tc>
          <w:tcPr>
            <w:tcW w:w="4946" w:type="dxa"/>
            <w:shd w:val="clear" w:color="auto" w:fill="FDECEC"/>
            <w:tcMar>
              <w:top w:w="110" w:type="dxa"/>
              <w:left w:w="120" w:type="dxa"/>
              <w:bottom w:w="100" w:type="dxa"/>
              <w:right w:w="120" w:type="dxa"/>
            </w:tcMar>
          </w:tcPr>
          <w:p w14:paraId="5583B1EA" w14:textId="77777777" w:rsidR="00D642BA" w:rsidRDefault="00185EF4">
            <w:pPr>
              <w:spacing w:after="80" w:line="252" w:lineRule="auto"/>
            </w:pPr>
            <w:r>
              <w:rPr>
                <w:b/>
                <w:color w:val="9B2C2C"/>
              </w:rPr>
              <w:t>AVOID</w:t>
            </w:r>
          </w:p>
          <w:p w14:paraId="384D36A6" w14:textId="77777777" w:rsidR="00D642BA" w:rsidRDefault="00185EF4">
            <w:pPr>
              <w:pStyle w:val="ListBullet"/>
              <w:spacing w:after="40" w:line="252" w:lineRule="auto"/>
              <w:ind w:left="259" w:hanging="72"/>
            </w:pPr>
            <w:r>
              <w:t>Leading with product features or generic AI claims.</w:t>
            </w:r>
          </w:p>
          <w:p w14:paraId="05365394" w14:textId="77777777" w:rsidR="00D642BA" w:rsidRDefault="00185EF4">
            <w:pPr>
              <w:pStyle w:val="ListBullet"/>
              <w:spacing w:after="40" w:line="252" w:lineRule="auto"/>
              <w:ind w:left="259" w:hanging="72"/>
            </w:pPr>
            <w:r>
              <w:t>Assuming technical endorsement equals procurement authority.</w:t>
            </w:r>
          </w:p>
          <w:p w14:paraId="1030FD01" w14:textId="77777777" w:rsidR="00D642BA" w:rsidRDefault="00185EF4">
            <w:pPr>
              <w:pStyle w:val="ListBullet"/>
              <w:spacing w:after="40" w:line="252" w:lineRule="auto"/>
              <w:ind w:left="259" w:hanging="72"/>
            </w:pPr>
            <w:r>
              <w:t>Presenting a POC without success criteria or operationalisation plan.</w:t>
            </w:r>
          </w:p>
          <w:p w14:paraId="4266D798" w14:textId="77777777" w:rsidR="00D642BA" w:rsidRDefault="00185EF4">
            <w:pPr>
              <w:pStyle w:val="ListBullet"/>
              <w:spacing w:after="40" w:line="252" w:lineRule="auto"/>
              <w:ind w:left="259" w:hanging="72"/>
            </w:pPr>
            <w:r>
              <w:t>Overstating institutional alignment before formal validation.</w:t>
            </w:r>
          </w:p>
        </w:tc>
      </w:tr>
    </w:tbl>
    <w:p w14:paraId="39F5D666" w14:textId="77777777" w:rsidR="00D642BA" w:rsidRDefault="00185EF4">
      <w:pPr>
        <w:pStyle w:val="Heading1"/>
      </w:pPr>
      <w:r>
        <w:t>9. Recommended Stakeholder Positioning</w:t>
      </w:r>
    </w:p>
    <w:tbl>
      <w:tblPr>
        <w:tblW w:w="0" w:type="auto"/>
        <w:jc w:val="center"/>
        <w:tblBorders>
          <w:top w:val="single" w:sz="9" w:space="0" w:color="9BC3CC"/>
          <w:left w:val="single" w:sz="9" w:space="0" w:color="9BC3CC"/>
          <w:bottom w:val="single" w:sz="9" w:space="0" w:color="9BC3CC"/>
          <w:right w:val="single" w:sz="9" w:space="0" w:color="9BC3CC"/>
          <w:insideH w:val="single" w:sz="9" w:space="0" w:color="9BC3CC"/>
          <w:insideV w:val="single" w:sz="9" w:space="0" w:color="9BC3CC"/>
        </w:tblBorders>
        <w:tblLayout w:type="fixed"/>
        <w:tblLook w:val="04A0" w:firstRow="1" w:lastRow="0" w:firstColumn="1" w:lastColumn="0" w:noHBand="0" w:noVBand="1"/>
      </w:tblPr>
      <w:tblGrid>
        <w:gridCol w:w="9893"/>
      </w:tblGrid>
      <w:tr w:rsidR="00D642BA" w14:paraId="490CAA2E" w14:textId="77777777">
        <w:trPr>
          <w:cantSplit/>
          <w:jc w:val="center"/>
        </w:trPr>
        <w:tc>
          <w:tcPr>
            <w:tcW w:w="9893" w:type="dxa"/>
            <w:shd w:val="clear" w:color="auto" w:fill="EAF2F5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72ECA1E" w14:textId="77777777" w:rsidR="00D642BA" w:rsidRDefault="00185EF4">
            <w:pPr>
              <w:spacing w:after="0"/>
            </w:pPr>
            <w:r>
              <w:rPr>
                <w:b/>
                <w:color w:val="15324B"/>
              </w:rPr>
              <w:t>Position Wan Roshaimi as a high-value technical and institutional validator whose endorsement can materially strengthen the credibility of an emerging national cybersecurity capability. Engage him with strategic relevance, architecture, governance, operational evidence and a clear route from POC to sustained deployment.</w:t>
            </w:r>
          </w:p>
        </w:tc>
      </w:tr>
    </w:tbl>
    <w:p w14:paraId="05E972EB" w14:textId="77777777" w:rsidR="00D642BA" w:rsidRDefault="00185EF4">
      <w:pPr>
        <w:pStyle w:val="Heading1"/>
      </w:pPr>
      <w:r>
        <w:t>10. Source &amp; Confidence Note</w:t>
      </w:r>
    </w:p>
    <w:p w14:paraId="67EA4A6E" w14:textId="77777777" w:rsidR="00D642BA" w:rsidRDefault="00185EF4">
      <w:pPr>
        <w:spacing w:after="80" w:line="252" w:lineRule="auto"/>
      </w:pPr>
      <w:r>
        <w:rPr>
          <w:b/>
          <w:color w:val="0F6B78"/>
        </w:rPr>
        <w:t xml:space="preserve">Confidence: </w:t>
      </w:r>
      <w:r>
        <w:t>High on current CTO position, principal career organisations, education and core expertise; moderate on exact historical employment dates and any additional CISO designation.</w:t>
      </w:r>
    </w:p>
    <w:p w14:paraId="22364C7B" w14:textId="77777777" w:rsidR="00D642BA" w:rsidRDefault="00185EF4">
      <w:pPr>
        <w:pStyle w:val="ListBullet"/>
        <w:spacing w:after="40" w:line="252" w:lineRule="auto"/>
        <w:ind w:hanging="115"/>
      </w:pPr>
      <w:r>
        <w:rPr>
          <w:b/>
          <w:color w:val="15324B"/>
        </w:rPr>
        <w:t xml:space="preserve">CyberSecurity Malaysia Annual Report 2025: </w:t>
      </w:r>
      <w:r>
        <w:rPr>
          <w:color w:val="0F6B78"/>
        </w:rPr>
        <w:t>https://www.cybersecurity.my/AR2025-v10.pdf</w:t>
      </w:r>
    </w:p>
    <w:p w14:paraId="1820E174" w14:textId="77777777" w:rsidR="00D642BA" w:rsidRDefault="00185EF4">
      <w:pPr>
        <w:pStyle w:val="ListBullet"/>
        <w:spacing w:after="40" w:line="252" w:lineRule="auto"/>
        <w:ind w:hanging="115"/>
      </w:pPr>
      <w:r>
        <w:rPr>
          <w:b/>
          <w:color w:val="15324B"/>
        </w:rPr>
        <w:t xml:space="preserve">SEA-PQC / UPM Speaker Biography: </w:t>
      </w:r>
      <w:r>
        <w:rPr>
          <w:color w:val="0F6B78"/>
        </w:rPr>
        <w:t>https://einspem.upm.edu.my/sea-pqc/img/Roshaimi-short-bio.pdf</w:t>
      </w:r>
    </w:p>
    <w:p w14:paraId="4075DFA7" w14:textId="77777777" w:rsidR="00D642BA" w:rsidRDefault="00185EF4">
      <w:pPr>
        <w:pStyle w:val="ListBullet"/>
        <w:spacing w:after="40" w:line="252" w:lineRule="auto"/>
        <w:ind w:hanging="115"/>
      </w:pPr>
      <w:r>
        <w:rPr>
          <w:b/>
          <w:color w:val="15324B"/>
        </w:rPr>
        <w:t xml:space="preserve">CyberSecMalaysia 2026: </w:t>
      </w:r>
      <w:r>
        <w:rPr>
          <w:color w:val="0F6B78"/>
        </w:rPr>
        <w:t>https://cybersecasia.org/csmy2026</w:t>
      </w:r>
    </w:p>
    <w:p w14:paraId="0511F292" w14:textId="77777777" w:rsidR="00D642BA" w:rsidRDefault="00185EF4">
      <w:pPr>
        <w:pStyle w:val="ListBullet"/>
        <w:spacing w:after="40" w:line="252" w:lineRule="auto"/>
        <w:ind w:hanging="115"/>
      </w:pPr>
      <w:r>
        <w:rPr>
          <w:b/>
          <w:color w:val="15324B"/>
        </w:rPr>
        <w:t xml:space="preserve">CyberSecMalaysia 2025: </w:t>
      </w:r>
      <w:r>
        <w:rPr>
          <w:color w:val="0F6B78"/>
        </w:rPr>
        <w:t>https://cybersecasia.org/csmy2025</w:t>
      </w:r>
    </w:p>
    <w:p w14:paraId="1C9389E8" w14:textId="77777777" w:rsidR="00D642BA" w:rsidRDefault="00185EF4">
      <w:pPr>
        <w:spacing w:before="140" w:after="0" w:line="252" w:lineRule="auto"/>
      </w:pPr>
      <w:r>
        <w:rPr>
          <w:b/>
          <w:color w:val="5B6770"/>
        </w:rPr>
        <w:t xml:space="preserve">Use note: </w:t>
      </w:r>
      <w:r>
        <w:rPr>
          <w:i/>
          <w:color w:val="5B6770"/>
        </w:rPr>
        <w:t>This brief is intended for stakeholder planning and engagement preparation. Public-source observations should not be treated as confirmation of private decision rights, procurement authority or internal organisational arrangements.</w:t>
      </w:r>
    </w:p>
    <w:sectPr w:rsidR="00D642BA" w:rsidSect="00034616">
      <w:headerReference w:type="default" r:id="rId8"/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C99EC" w14:textId="77777777" w:rsidR="00185EF4" w:rsidRDefault="00185EF4">
      <w:pPr>
        <w:spacing w:after="0" w:line="240" w:lineRule="auto"/>
      </w:pPr>
      <w:r>
        <w:separator/>
      </w:r>
    </w:p>
  </w:endnote>
  <w:endnote w:type="continuationSeparator" w:id="0">
    <w:p w14:paraId="042EA742" w14:textId="77777777" w:rsidR="00185EF4" w:rsidRDefault="00185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AE0CE" w14:textId="77777777" w:rsidR="00D642BA" w:rsidRDefault="00185EF4">
    <w:pPr>
      <w:pStyle w:val="Footer"/>
      <w:jc w:val="center"/>
    </w:pPr>
    <w:r>
      <w:rPr>
        <w:color w:val="5B6770"/>
      </w:rPr>
      <w:t xml:space="preserve">Prepared 21 August </w:t>
    </w:r>
    <w:proofErr w:type="gramStart"/>
    <w:r>
      <w:rPr>
        <w:color w:val="5B6770"/>
      </w:rPr>
      <w:t>2026  •</w:t>
    </w:r>
    <w:proofErr w:type="gramEnd"/>
    <w:r>
      <w:rPr>
        <w:color w:val="5B6770"/>
      </w:rPr>
      <w:t xml:space="preserve">  Public-source stakeholder assessment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A1FD2" w14:textId="77777777" w:rsidR="00185EF4" w:rsidRDefault="00185EF4">
      <w:pPr>
        <w:spacing w:after="0" w:line="240" w:lineRule="auto"/>
      </w:pPr>
      <w:r>
        <w:separator/>
      </w:r>
    </w:p>
  </w:footnote>
  <w:footnote w:type="continuationSeparator" w:id="0">
    <w:p w14:paraId="26017A0F" w14:textId="77777777" w:rsidR="00185EF4" w:rsidRDefault="00185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5E6D" w14:textId="77777777" w:rsidR="00D642BA" w:rsidRDefault="00185EF4">
    <w:pPr>
      <w:pStyle w:val="Header"/>
      <w:jc w:val="right"/>
    </w:pPr>
    <w:r>
      <w:rPr>
        <w:b/>
        <w:color w:val="0F6B78"/>
      </w:rPr>
      <w:t xml:space="preserve">STAKEHOLDER </w:t>
    </w:r>
    <w:proofErr w:type="gramStart"/>
    <w:r>
      <w:rPr>
        <w:b/>
        <w:color w:val="0F6B78"/>
      </w:rPr>
      <w:t>BRIEF  |</w:t>
    </w:r>
    <w:proofErr w:type="gramEnd"/>
    <w:r>
      <w:rPr>
        <w:b/>
        <w:color w:val="0F6B78"/>
      </w:rPr>
      <w:t xml:space="preserve">  CYBERSECURITY MALAYSIA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2765213">
    <w:abstractNumId w:val="8"/>
  </w:num>
  <w:num w:numId="2" w16cid:durableId="238639611">
    <w:abstractNumId w:val="6"/>
  </w:num>
  <w:num w:numId="3" w16cid:durableId="1549678907">
    <w:abstractNumId w:val="5"/>
  </w:num>
  <w:num w:numId="4" w16cid:durableId="788012917">
    <w:abstractNumId w:val="4"/>
  </w:num>
  <w:num w:numId="5" w16cid:durableId="1374690066">
    <w:abstractNumId w:val="7"/>
  </w:num>
  <w:num w:numId="6" w16cid:durableId="1168208220">
    <w:abstractNumId w:val="3"/>
  </w:num>
  <w:num w:numId="7" w16cid:durableId="2016377420">
    <w:abstractNumId w:val="2"/>
  </w:num>
  <w:num w:numId="8" w16cid:durableId="1241258824">
    <w:abstractNumId w:val="1"/>
  </w:num>
  <w:num w:numId="9" w16cid:durableId="173311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EF4"/>
    <w:rsid w:val="001B58E0"/>
    <w:rsid w:val="0029639D"/>
    <w:rsid w:val="00326F90"/>
    <w:rsid w:val="00AA1D8D"/>
    <w:rsid w:val="00B47730"/>
    <w:rsid w:val="00CB0664"/>
    <w:rsid w:val="00D642BA"/>
    <w:rsid w:val="00FC693F"/>
    <w:rsid w:val="00FE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24192-A7EA-4228-BBBE-07EF5E63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532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0F6B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532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Arial" w:hAnsi="Arial"/>
      <w:b/>
      <w:color w:val="0F6B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Stakeholder Brief - Ts. Wan Roshaimi Bin Wan Abdullah</dc:title>
  <dc:subject>CyberSecurity Malaysia stakeholder engagement brief</dc:subject>
  <dc:creator>OpenAI</dc:creator>
  <cp:keywords>Stakeholder Brief, CyberSecurity Malaysia, Wan Roshaimi, CTO</cp:keywords>
  <dc:description>generated by python-docx</dc:description>
  <cp:lastModifiedBy>Faurani Jaafar</cp:lastModifiedBy>
  <cp:revision>2</cp:revision>
  <dcterms:created xsi:type="dcterms:W3CDTF">2013-12-23T23:15:00Z</dcterms:created>
  <dcterms:modified xsi:type="dcterms:W3CDTF">2026-08-21T06:15:00Z</dcterms:modified>
  <cp:category/>
</cp:coreProperties>
</file>