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0B477" w14:textId="77777777" w:rsidR="0040529B" w:rsidRDefault="00E52693">
      <w:pPr>
        <w:spacing w:before="1600"/>
      </w:pPr>
      <w:r>
        <w:rPr>
          <w:rFonts w:ascii="Aptos Display" w:hAnsi="Aptos Display"/>
          <w:b/>
          <w:color w:val="2F5597"/>
          <w:sz w:val="28"/>
        </w:rPr>
        <w:t>CYBERDSA 2026</w:t>
      </w:r>
    </w:p>
    <w:p w14:paraId="7147F997" w14:textId="77777777" w:rsidR="0040529B" w:rsidRDefault="00E52693">
      <w:pPr>
        <w:pStyle w:val="Title"/>
      </w:pPr>
      <w:r>
        <w:t>Executive Stakeholder Engagement</w:t>
      </w:r>
      <w:r>
        <w:br/>
        <w:t>&amp; Activation Framework</w:t>
      </w:r>
    </w:p>
    <w:p w14:paraId="713F172E" w14:textId="77777777" w:rsidR="0040529B" w:rsidRDefault="00E52693">
      <w:pPr>
        <w:pStyle w:val="ExecutiveLead"/>
        <w:rPr>
          <w:rFonts w:hint="eastAsia"/>
        </w:rPr>
      </w:pPr>
      <w:r>
        <w:t>Document 1 — Operational Playbook for CyberSecurity Malaysia and NACSA Stakeholder Activation</w:t>
      </w:r>
    </w:p>
    <w:p w14:paraId="1C692D2F" w14:textId="77777777" w:rsidR="0040529B" w:rsidRDefault="00E52693">
      <w:r>
        <w:rPr>
          <w:color w:val="2F5597"/>
          <w:sz w:val="20"/>
        </w:rPr>
        <w:t>━━━━━━━━━━━━━━━━━━━━━━━━━━━━━━━━━━━━━━━━━━━━</w:t>
      </w:r>
    </w:p>
    <w:p w14:paraId="09F72617" w14:textId="77777777" w:rsidR="0040529B" w:rsidRDefault="00E52693">
      <w:pPr>
        <w:spacing w:before="400"/>
      </w:pPr>
      <w:r>
        <w:rPr>
          <w:b/>
          <w:color w:val="1F4E79"/>
          <w:sz w:val="22"/>
        </w:rPr>
        <w:t>Strategic Intent</w:t>
      </w:r>
      <w:r>
        <w:br/>
        <w:t>Secure the stakeholder alignment required to position the Aras Integrasi × CyberSecurity Malaysia collaboration at CyberDSA 2026 as a credible, commercially actionable and nationally aligned sovereign cybersecurity capability.</w:t>
      </w:r>
    </w:p>
    <w:p w14:paraId="697CF4CE" w14:textId="77777777" w:rsidR="0040529B" w:rsidRDefault="00E52693">
      <w:pPr>
        <w:spacing w:before="1600"/>
      </w:pPr>
      <w:r>
        <w:rPr>
          <w:color w:val="595959"/>
          <w:sz w:val="20"/>
        </w:rPr>
        <w:t>Prepared for: Director – Cyber Security Practice, Aras Integrasi Sdn Bhd</w:t>
      </w:r>
    </w:p>
    <w:p w14:paraId="79C8625E" w14:textId="77777777" w:rsidR="0040529B" w:rsidRDefault="00E52693">
      <w:r>
        <w:rPr>
          <w:color w:val="7F7F7F"/>
          <w:sz w:val="18"/>
        </w:rPr>
        <w:t>Status: Internal Activation Framework | Version 1.0 | 19 August 2026</w:t>
      </w:r>
    </w:p>
    <w:p w14:paraId="1772A0B2" w14:textId="77777777" w:rsidR="0040529B" w:rsidRDefault="00E52693">
      <w:r>
        <w:br w:type="page"/>
      </w:r>
    </w:p>
    <w:p w14:paraId="238B7966" w14:textId="77777777" w:rsidR="0040529B" w:rsidRDefault="00E52693">
      <w:pPr>
        <w:pStyle w:val="Heading1"/>
      </w:pPr>
      <w:r>
        <w:t>1. Executive Summary</w:t>
      </w:r>
    </w:p>
    <w:p w14:paraId="38BD0264" w14:textId="77777777" w:rsidR="0040529B" w:rsidRDefault="00E52693">
      <w:pPr>
        <w:pStyle w:val="ExecutiveLead"/>
        <w:rPr>
          <w:rFonts w:hint="eastAsia"/>
        </w:rPr>
      </w:pPr>
      <w:r>
        <w:t>CyberDSA 2026 is being used as an activation point for a broader strategic outcome: establishing Aras Integrasi and CyberSecurity Malaysia (CSM) as an aligned ecosystem capable of presenting, commercialising and operationalising national-grade sovereign cybersecurity technology.</w:t>
      </w:r>
    </w:p>
    <w:p w14:paraId="461182FB" w14:textId="77777777" w:rsidR="0040529B" w:rsidRDefault="00E52693">
      <w:r>
        <w:rPr>
          <w:b/>
        </w:rPr>
        <w:t xml:space="preserve">The immediate priority is not additional product development. </w:t>
      </w:r>
      <w:r>
        <w:t>The priority is stakeholder alignment. The programme must secure the right internal CSM sponsorship, commercial ownership, market amplification, technical confidence and operational coordination before seeking higher-level national strategic alignment with NACSA.</w:t>
      </w:r>
    </w:p>
    <w:tbl>
      <w:tblPr>
        <w:tblW w:w="0" w:type="auto"/>
        <w:jc w:val="center"/>
        <w:tblBorders>
          <w:top w:val="single" w:sz="0" w:space="0" w:color="EAF2F8"/>
          <w:left w:val="single" w:sz="0" w:space="0" w:color="EAF2F8"/>
          <w:bottom w:val="single" w:sz="0" w:space="0" w:color="EAF2F8"/>
          <w:right w:val="single" w:sz="0" w:space="0" w:color="EAF2F8"/>
          <w:insideH w:val="single" w:sz="0" w:space="0" w:color="EAF2F8"/>
          <w:insideV w:val="single" w:sz="0" w:space="0" w:color="EAF2F8"/>
        </w:tblBorders>
        <w:tblLook w:val="04A0" w:firstRow="1" w:lastRow="0" w:firstColumn="1" w:lastColumn="0" w:noHBand="0" w:noVBand="1"/>
      </w:tblPr>
      <w:tblGrid>
        <w:gridCol w:w="10080"/>
      </w:tblGrid>
      <w:tr w:rsidR="0040529B" w14:paraId="67BAB0E0" w14:textId="77777777">
        <w:trPr>
          <w:cantSplit/>
          <w:jc w:val="center"/>
        </w:trPr>
        <w:tc>
          <w:tcPr>
            <w:tcW w:w="10080" w:type="dxa"/>
            <w:shd w:val="clear" w:color="auto" w:fill="EAF2F8"/>
            <w:tcMar>
              <w:top w:w="140" w:type="dxa"/>
              <w:left w:w="160" w:type="dxa"/>
              <w:bottom w:w="140" w:type="dxa"/>
              <w:right w:w="160" w:type="dxa"/>
            </w:tcMar>
          </w:tcPr>
          <w:p w14:paraId="28DAAA0E" w14:textId="77777777" w:rsidR="0040529B" w:rsidRDefault="00E52693">
            <w:r>
              <w:rPr>
                <w:b/>
                <w:color w:val="1F4E79"/>
              </w:rPr>
              <w:t>Primary Mission</w:t>
            </w:r>
            <w:r>
              <w:br/>
            </w:r>
            <w:r>
              <w:t>Create a sequence of willing, informed and accountable stakeholders who each own a defined part of the CyberDSA outcome — partnership, commercial activation, media amplification, technical confidence, operational coordination and national strategic alignment.</w:t>
            </w:r>
          </w:p>
        </w:tc>
      </w:tr>
    </w:tbl>
    <w:p w14:paraId="002080C2" w14:textId="77777777" w:rsidR="0040529B" w:rsidRDefault="0040529B">
      <w:pPr>
        <w:spacing w:after="40"/>
      </w:pPr>
    </w:p>
    <w:p w14:paraId="79F83DDB" w14:textId="77777777" w:rsidR="0040529B" w:rsidRDefault="00E52693">
      <w:pPr>
        <w:pStyle w:val="Heading2"/>
      </w:pPr>
      <w:r>
        <w:t>1.1 Required End State</w:t>
      </w:r>
    </w:p>
    <w:p w14:paraId="436A0148" w14:textId="77777777" w:rsidR="0040529B" w:rsidRDefault="00E52693">
      <w:pPr>
        <w:pStyle w:val="ListBullet"/>
      </w:pPr>
      <w:r>
        <w:t>CSM and Aras Integrasi share one coherent CyberDSA positioning and understand the intended national-grade sovereign technology story.</w:t>
      </w:r>
    </w:p>
    <w:p w14:paraId="54BFFFA5" w14:textId="77777777" w:rsidR="0040529B" w:rsidRDefault="00E52693">
      <w:pPr>
        <w:pStyle w:val="ListBullet"/>
      </w:pPr>
      <w:r>
        <w:t>Each critical stakeholder has one explicit role, one primary ask and one measurable outcome.</w:t>
      </w:r>
    </w:p>
    <w:p w14:paraId="64BF4AA2" w14:textId="77777777" w:rsidR="0040529B" w:rsidRDefault="00E52693">
      <w:pPr>
        <w:pStyle w:val="ListBullet"/>
      </w:pPr>
      <w:r>
        <w:t>Commercial follow-through is designed before the event rather than improvised after the event.</w:t>
      </w:r>
    </w:p>
    <w:p w14:paraId="199F260F" w14:textId="77777777" w:rsidR="0040529B" w:rsidRDefault="00E52693">
      <w:pPr>
        <w:pStyle w:val="ListBullet"/>
      </w:pPr>
      <w:r>
        <w:t>Marketing and media amplification are coordinated around the same narrative and proof points.</w:t>
      </w:r>
    </w:p>
    <w:p w14:paraId="0983D4EF" w14:textId="77777777" w:rsidR="0040529B" w:rsidRDefault="00E52693">
      <w:pPr>
        <w:pStyle w:val="ListBullet"/>
      </w:pPr>
      <w:r>
        <w:t>The CSM technical leadership is confident in architecture, deployment posture and governance without being burdened with Aras-delivered POC execution.</w:t>
      </w:r>
    </w:p>
    <w:p w14:paraId="218C933E" w14:textId="77777777" w:rsidR="0040529B" w:rsidRDefault="00E52693">
      <w:pPr>
        <w:pStyle w:val="ListBullet"/>
      </w:pPr>
      <w:r>
        <w:t>NACSA engagement occurs only after the CSM alignment is sufficiently mature to present a credible, already-organised initiative.</w:t>
      </w:r>
    </w:p>
    <w:p w14:paraId="28F970C4" w14:textId="77777777" w:rsidR="0040529B" w:rsidRDefault="00E52693">
      <w:pPr>
        <w:pStyle w:val="Heading2"/>
      </w:pPr>
      <w:r>
        <w:t>1.2 Immediate Priority</w:t>
      </w:r>
    </w:p>
    <w:tbl>
      <w:tblPr>
        <w:tblW w:w="0" w:type="auto"/>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val="04A0" w:firstRow="1" w:lastRow="0" w:firstColumn="1" w:lastColumn="0" w:noHBand="0" w:noVBand="1"/>
      </w:tblPr>
      <w:tblGrid>
        <w:gridCol w:w="1800"/>
        <w:gridCol w:w="8568"/>
      </w:tblGrid>
      <w:tr w:rsidR="0040529B" w14:paraId="3EC1646F" w14:textId="77777777">
        <w:trPr>
          <w:cantSplit/>
          <w:jc w:val="center"/>
        </w:trPr>
        <w:tc>
          <w:tcPr>
            <w:tcW w:w="1800" w:type="dxa"/>
            <w:shd w:val="clear" w:color="auto" w:fill="1F4E79"/>
            <w:tcMar>
              <w:top w:w="90" w:type="dxa"/>
              <w:left w:w="100" w:type="dxa"/>
              <w:bottom w:w="90" w:type="dxa"/>
              <w:right w:w="100" w:type="dxa"/>
            </w:tcMar>
            <w:vAlign w:val="center"/>
          </w:tcPr>
          <w:p w14:paraId="0467CE5F" w14:textId="77777777" w:rsidR="0040529B" w:rsidRDefault="00E52693">
            <w:r>
              <w:rPr>
                <w:b/>
                <w:color w:val="FFFFFF"/>
                <w:sz w:val="18"/>
              </w:rPr>
              <w:t>ACTION</w:t>
            </w:r>
          </w:p>
        </w:tc>
        <w:tc>
          <w:tcPr>
            <w:tcW w:w="8568" w:type="dxa"/>
            <w:tcMar>
              <w:top w:w="90" w:type="dxa"/>
              <w:left w:w="100" w:type="dxa"/>
              <w:bottom w:w="90" w:type="dxa"/>
              <w:right w:w="100" w:type="dxa"/>
            </w:tcMar>
          </w:tcPr>
          <w:p w14:paraId="1D64CAB6" w14:textId="77777777" w:rsidR="0040529B" w:rsidRDefault="00E52693">
            <w:r>
              <w:t>Secure Azrul’s partnership and alliance buy-in for the CyberDSA narrative and use that alignment as the entry point for the remaining stakeholder sequence.</w:t>
            </w:r>
          </w:p>
        </w:tc>
      </w:tr>
      <w:tr w:rsidR="0040529B" w14:paraId="42F7BD7F" w14:textId="77777777">
        <w:trPr>
          <w:cantSplit/>
          <w:jc w:val="center"/>
        </w:trPr>
        <w:tc>
          <w:tcPr>
            <w:tcW w:w="1800" w:type="dxa"/>
            <w:shd w:val="clear" w:color="auto" w:fill="1F4E79"/>
            <w:tcMar>
              <w:top w:w="90" w:type="dxa"/>
              <w:left w:w="100" w:type="dxa"/>
              <w:bottom w:w="90" w:type="dxa"/>
              <w:right w:w="100" w:type="dxa"/>
            </w:tcMar>
            <w:vAlign w:val="center"/>
          </w:tcPr>
          <w:p w14:paraId="1C36D8A2" w14:textId="77777777" w:rsidR="0040529B" w:rsidRDefault="00E52693">
            <w:r>
              <w:rPr>
                <w:b/>
                <w:color w:val="FFFFFF"/>
                <w:sz w:val="18"/>
              </w:rPr>
              <w:t>OWNER</w:t>
            </w:r>
          </w:p>
        </w:tc>
        <w:tc>
          <w:tcPr>
            <w:tcW w:w="8568" w:type="dxa"/>
            <w:tcMar>
              <w:top w:w="90" w:type="dxa"/>
              <w:left w:w="100" w:type="dxa"/>
              <w:bottom w:w="90" w:type="dxa"/>
              <w:right w:w="100" w:type="dxa"/>
            </w:tcMar>
          </w:tcPr>
          <w:p w14:paraId="7F217E50" w14:textId="77777777" w:rsidR="0040529B" w:rsidRDefault="00E52693">
            <w:r>
              <w:t>DAF / Aras Integrasi</w:t>
            </w:r>
          </w:p>
        </w:tc>
      </w:tr>
      <w:tr w:rsidR="0040529B" w14:paraId="58A90C50" w14:textId="77777777">
        <w:trPr>
          <w:cantSplit/>
          <w:jc w:val="center"/>
        </w:trPr>
        <w:tc>
          <w:tcPr>
            <w:tcW w:w="1800" w:type="dxa"/>
            <w:shd w:val="clear" w:color="auto" w:fill="1F4E79"/>
            <w:tcMar>
              <w:top w:w="90" w:type="dxa"/>
              <w:left w:w="100" w:type="dxa"/>
              <w:bottom w:w="90" w:type="dxa"/>
              <w:right w:w="100" w:type="dxa"/>
            </w:tcMar>
            <w:vAlign w:val="center"/>
          </w:tcPr>
          <w:p w14:paraId="352D8356" w14:textId="77777777" w:rsidR="0040529B" w:rsidRDefault="00E52693">
            <w:r>
              <w:rPr>
                <w:b/>
                <w:color w:val="FFFFFF"/>
                <w:sz w:val="18"/>
              </w:rPr>
              <w:t>TIMING</w:t>
            </w:r>
          </w:p>
        </w:tc>
        <w:tc>
          <w:tcPr>
            <w:tcW w:w="8568" w:type="dxa"/>
            <w:tcMar>
              <w:top w:w="90" w:type="dxa"/>
              <w:left w:w="100" w:type="dxa"/>
              <w:bottom w:w="90" w:type="dxa"/>
              <w:right w:w="100" w:type="dxa"/>
            </w:tcMar>
          </w:tcPr>
          <w:p w14:paraId="2E1437AF" w14:textId="77777777" w:rsidR="0040529B" w:rsidRDefault="00E52693">
            <w:r>
              <w:t>Priority 1 — initiate first</w:t>
            </w:r>
          </w:p>
        </w:tc>
      </w:tr>
    </w:tbl>
    <w:p w14:paraId="684A4DCC" w14:textId="77777777" w:rsidR="0040529B" w:rsidRDefault="0040529B">
      <w:pPr>
        <w:spacing w:after="40"/>
      </w:pPr>
    </w:p>
    <w:p w14:paraId="05978B2A" w14:textId="77777777" w:rsidR="0040529B" w:rsidRDefault="00E52693">
      <w:pPr>
        <w:pStyle w:val="Heading1"/>
      </w:pPr>
      <w:r>
        <w:t>2. Mission, Scope and Activation Logic</w:t>
      </w:r>
    </w:p>
    <w:p w14:paraId="21C28DFF" w14:textId="77777777" w:rsidR="0040529B" w:rsidRDefault="00E52693">
      <w:r>
        <w:rPr>
          <w:b/>
        </w:rPr>
        <w:t xml:space="preserve">Mission Objective. </w:t>
      </w:r>
      <w:r>
        <w:t>Engineer the stakeholder conditions required for CyberDSA 2026 to become a credible launch and market-activation platform for an integrated Malaysian sovereign cybersecurity capability, with Aras Integrasi acting as the operational technology integrator and CSM acting as a strategic ecosystem partner.</w:t>
      </w:r>
    </w:p>
    <w:p w14:paraId="3FCE2AE8" w14:textId="77777777" w:rsidR="0040529B" w:rsidRDefault="00E52693">
      <w:pPr>
        <w:pStyle w:val="Heading2"/>
      </w:pPr>
      <w:r>
        <w:t>2.1 What This Framework Covers</w:t>
      </w:r>
    </w:p>
    <w:p w14:paraId="6350D3C1" w14:textId="77777777" w:rsidR="0040529B" w:rsidRDefault="00E52693">
      <w:pPr>
        <w:pStyle w:val="ListBullet"/>
      </w:pPr>
      <w:r>
        <w:t>Stakeholder roles and influence objectives.</w:t>
      </w:r>
    </w:p>
    <w:p w14:paraId="2ED88C46" w14:textId="77777777" w:rsidR="0040529B" w:rsidRDefault="00E52693">
      <w:pPr>
        <w:pStyle w:val="ListBullet"/>
      </w:pPr>
      <w:r>
        <w:t>Engagement sequence and dependencies.</w:t>
      </w:r>
    </w:p>
    <w:p w14:paraId="448A2841" w14:textId="77777777" w:rsidR="0040529B" w:rsidRDefault="00E52693">
      <w:pPr>
        <w:pStyle w:val="ListBullet"/>
      </w:pPr>
      <w:r>
        <w:t>The specific decision or commitment required from each stakeholder.</w:t>
      </w:r>
    </w:p>
    <w:p w14:paraId="033722C1" w14:textId="77777777" w:rsidR="0040529B" w:rsidRDefault="00E52693">
      <w:pPr>
        <w:pStyle w:val="ListBullet"/>
      </w:pPr>
      <w:r>
        <w:t>Meeting design, messaging and follow-up mechanics.</w:t>
      </w:r>
    </w:p>
    <w:p w14:paraId="753CF11F" w14:textId="77777777" w:rsidR="0040529B" w:rsidRDefault="00E52693">
      <w:pPr>
        <w:pStyle w:val="ListBullet"/>
      </w:pPr>
      <w:r>
        <w:t>Activation governance, cadence and escalation.</w:t>
      </w:r>
    </w:p>
    <w:p w14:paraId="3DFB1625" w14:textId="77777777" w:rsidR="0040529B" w:rsidRDefault="00E52693">
      <w:pPr>
        <w:pStyle w:val="ListBullet"/>
      </w:pPr>
      <w:r>
        <w:t>Success measures and executive tracking.</w:t>
      </w:r>
    </w:p>
    <w:p w14:paraId="648D58CA" w14:textId="77777777" w:rsidR="0040529B" w:rsidRDefault="00E52693">
      <w:pPr>
        <w:pStyle w:val="Heading2"/>
      </w:pPr>
      <w:r>
        <w:t>2.2 What This Framework Does Not Cover</w:t>
      </w:r>
    </w:p>
    <w:p w14:paraId="1D9424F0" w14:textId="77777777" w:rsidR="0040529B" w:rsidRDefault="00E52693">
      <w:pPr>
        <w:pStyle w:val="ListBullet"/>
      </w:pPr>
      <w:r>
        <w:t>Detailed product architecture, development backlog or engineering delivery plan.</w:t>
      </w:r>
    </w:p>
    <w:p w14:paraId="5759BFB6" w14:textId="77777777" w:rsidR="0040529B" w:rsidRDefault="00E52693">
      <w:pPr>
        <w:pStyle w:val="ListBullet"/>
      </w:pPr>
      <w:r>
        <w:t>A standalone CyberDSA media plan or creative campaign plan.</w:t>
      </w:r>
    </w:p>
    <w:p w14:paraId="291C8F9F" w14:textId="77777777" w:rsidR="0040529B" w:rsidRDefault="00E52693">
      <w:pPr>
        <w:pStyle w:val="ListBullet"/>
      </w:pPr>
      <w:r>
        <w:t>A full post-event sales operating model.</w:t>
      </w:r>
    </w:p>
    <w:p w14:paraId="47BE8CD2" w14:textId="77777777" w:rsidR="0040529B" w:rsidRDefault="00E52693">
      <w:pPr>
        <w:pStyle w:val="ListBullet"/>
      </w:pPr>
      <w:r>
        <w:t>A request for CSM technical personnel to execute Aras POCs; Aras will support and deliver the POC activity on CSM’s behalf where required.</w:t>
      </w:r>
    </w:p>
    <w:p w14:paraId="742D27C2" w14:textId="77777777" w:rsidR="0040529B" w:rsidRDefault="00E52693">
      <w:pPr>
        <w:pStyle w:val="Heading2"/>
      </w:pPr>
      <w:r>
        <w:t>2.3 Activation Doctrine</w:t>
      </w:r>
    </w:p>
    <w:p w14:paraId="035B24A8" w14:textId="77777777" w:rsidR="0040529B" w:rsidRDefault="00E52693">
      <w:r>
        <w:rPr>
          <w:b/>
          <w:color w:val="1F4E79"/>
        </w:rPr>
        <w:t>1. Align before asking</w:t>
      </w:r>
      <w:r>
        <w:t xml:space="preserve"> — Stakeholders should first understand the intended outcome and why their role matters before receiving a task or commitment request.</w:t>
      </w:r>
    </w:p>
    <w:p w14:paraId="5A99F927" w14:textId="77777777" w:rsidR="0040529B" w:rsidRDefault="00E52693">
      <w:r>
        <w:rPr>
          <w:b/>
          <w:color w:val="1F4E79"/>
        </w:rPr>
        <w:t>2. One stakeholder, one primary ask</w:t>
      </w:r>
      <w:r>
        <w:t xml:space="preserve"> — Avoid broad or ambiguous requests. Each engagement should close on one principal commitment.</w:t>
      </w:r>
    </w:p>
    <w:p w14:paraId="5FF828E1" w14:textId="77777777" w:rsidR="0040529B" w:rsidRDefault="00E52693">
      <w:r>
        <w:rPr>
          <w:b/>
          <w:color w:val="1F4E79"/>
        </w:rPr>
        <w:t>3. Build internal coherence before external validation</w:t>
      </w:r>
      <w:r>
        <w:t xml:space="preserve"> — CSM alignment precedes NACSA strategic alignment.</w:t>
      </w:r>
    </w:p>
    <w:p w14:paraId="4E45262A" w14:textId="77777777" w:rsidR="0040529B" w:rsidRDefault="00E52693">
      <w:r>
        <w:rPr>
          <w:b/>
          <w:color w:val="1F4E79"/>
        </w:rPr>
        <w:t>4. Make participation valuable</w:t>
      </w:r>
      <w:r>
        <w:t xml:space="preserve"> — Each stakeholder should see a direct institutional benefit — partnership relevance, commercial opportunity, visibility, technical credibility or national contribution.</w:t>
      </w:r>
    </w:p>
    <w:p w14:paraId="4DD5FEB6" w14:textId="77777777" w:rsidR="0040529B" w:rsidRDefault="00E52693">
      <w:r>
        <w:rPr>
          <w:b/>
          <w:color w:val="1F4E79"/>
        </w:rPr>
        <w:t>5. Convert verbal support into operating behaviour</w:t>
      </w:r>
      <w:r>
        <w:t xml:space="preserve"> — Every positive discussion must produce a named next action, owner and follow-up date.</w:t>
      </w:r>
    </w:p>
    <w:p w14:paraId="259963B6" w14:textId="77777777" w:rsidR="0040529B" w:rsidRDefault="00E52693">
      <w:r>
        <w:rPr>
          <w:b/>
          <w:color w:val="1F4E79"/>
        </w:rPr>
        <w:t>6. Keep the narrative integrated</w:t>
      </w:r>
      <w:r>
        <w:t xml:space="preserve"> — The three product pillars are proof of an integrated sovereign capability, not disconnected product launches.</w:t>
      </w:r>
    </w:p>
    <w:p w14:paraId="0892FD8F" w14:textId="77777777" w:rsidR="0040529B" w:rsidRDefault="00E52693">
      <w:pPr>
        <w:pStyle w:val="Heading1"/>
      </w:pPr>
      <w:r>
        <w:t>3. Stakeholder Architecture</w:t>
      </w:r>
    </w:p>
    <w:p w14:paraId="0A161285" w14:textId="77777777" w:rsidR="0040529B" w:rsidRDefault="00E52693">
      <w:r>
        <w:t>The stakeholder model is deliberately compact. The objective is to create a clear chain of alignment rather than a large stakeholder committee with diluted accountability.</w:t>
      </w:r>
    </w:p>
    <w:tbl>
      <w:tblPr>
        <w:tblW w:w="0" w:type="auto"/>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val="04A0" w:firstRow="1" w:lastRow="0" w:firstColumn="1" w:lastColumn="0" w:noHBand="0" w:noVBand="1"/>
      </w:tblPr>
      <w:tblGrid>
        <w:gridCol w:w="648"/>
        <w:gridCol w:w="1512"/>
        <w:gridCol w:w="1944"/>
        <w:gridCol w:w="4536"/>
        <w:gridCol w:w="2088"/>
      </w:tblGrid>
      <w:tr w:rsidR="0040529B" w14:paraId="43D4AD92" w14:textId="77777777">
        <w:trPr>
          <w:cantSplit/>
          <w:tblHeader/>
          <w:jc w:val="center"/>
        </w:trPr>
        <w:tc>
          <w:tcPr>
            <w:tcW w:w="648" w:type="dxa"/>
            <w:shd w:val="clear" w:color="auto" w:fill="17365D"/>
            <w:tcMar>
              <w:top w:w="90" w:type="dxa"/>
              <w:left w:w="100" w:type="dxa"/>
              <w:bottom w:w="90" w:type="dxa"/>
              <w:right w:w="100" w:type="dxa"/>
            </w:tcMar>
          </w:tcPr>
          <w:p w14:paraId="0BD13B4E" w14:textId="77777777" w:rsidR="0040529B" w:rsidRDefault="00E52693">
            <w:r>
              <w:rPr>
                <w:b/>
                <w:color w:val="FFFFFF"/>
                <w:sz w:val="18"/>
              </w:rPr>
              <w:t>#</w:t>
            </w:r>
          </w:p>
        </w:tc>
        <w:tc>
          <w:tcPr>
            <w:tcW w:w="1512" w:type="dxa"/>
            <w:shd w:val="clear" w:color="auto" w:fill="17365D"/>
            <w:tcMar>
              <w:top w:w="90" w:type="dxa"/>
              <w:left w:w="100" w:type="dxa"/>
              <w:bottom w:w="90" w:type="dxa"/>
              <w:right w:w="100" w:type="dxa"/>
            </w:tcMar>
          </w:tcPr>
          <w:p w14:paraId="74DCE1A5" w14:textId="77777777" w:rsidR="0040529B" w:rsidRDefault="00E52693">
            <w:r>
              <w:rPr>
                <w:b/>
                <w:color w:val="FFFFFF"/>
                <w:sz w:val="18"/>
              </w:rPr>
              <w:t>Stakeholder</w:t>
            </w:r>
          </w:p>
        </w:tc>
        <w:tc>
          <w:tcPr>
            <w:tcW w:w="1944" w:type="dxa"/>
            <w:shd w:val="clear" w:color="auto" w:fill="17365D"/>
            <w:tcMar>
              <w:top w:w="90" w:type="dxa"/>
              <w:left w:w="100" w:type="dxa"/>
              <w:bottom w:w="90" w:type="dxa"/>
              <w:right w:w="100" w:type="dxa"/>
            </w:tcMar>
          </w:tcPr>
          <w:p w14:paraId="58C96DA0" w14:textId="77777777" w:rsidR="0040529B" w:rsidRDefault="00E52693">
            <w:r>
              <w:rPr>
                <w:b/>
                <w:color w:val="FFFFFF"/>
                <w:sz w:val="18"/>
              </w:rPr>
              <w:t>Role Lens</w:t>
            </w:r>
          </w:p>
        </w:tc>
        <w:tc>
          <w:tcPr>
            <w:tcW w:w="4536" w:type="dxa"/>
            <w:shd w:val="clear" w:color="auto" w:fill="17365D"/>
            <w:tcMar>
              <w:top w:w="90" w:type="dxa"/>
              <w:left w:w="100" w:type="dxa"/>
              <w:bottom w:w="90" w:type="dxa"/>
              <w:right w:w="100" w:type="dxa"/>
            </w:tcMar>
          </w:tcPr>
          <w:p w14:paraId="427F888A" w14:textId="77777777" w:rsidR="0040529B" w:rsidRDefault="00E52693">
            <w:r>
              <w:rPr>
                <w:b/>
                <w:color w:val="FFFFFF"/>
                <w:sz w:val="18"/>
              </w:rPr>
              <w:t>Primary Objective</w:t>
            </w:r>
          </w:p>
        </w:tc>
        <w:tc>
          <w:tcPr>
            <w:tcW w:w="2088" w:type="dxa"/>
            <w:shd w:val="clear" w:color="auto" w:fill="17365D"/>
            <w:tcMar>
              <w:top w:w="90" w:type="dxa"/>
              <w:left w:w="100" w:type="dxa"/>
              <w:bottom w:w="90" w:type="dxa"/>
              <w:right w:w="100" w:type="dxa"/>
            </w:tcMar>
          </w:tcPr>
          <w:p w14:paraId="31A5E1D0" w14:textId="77777777" w:rsidR="0040529B" w:rsidRDefault="00E52693">
            <w:r>
              <w:rPr>
                <w:b/>
                <w:color w:val="FFFFFF"/>
                <w:sz w:val="18"/>
              </w:rPr>
              <w:t>Required Outcome</w:t>
            </w:r>
          </w:p>
        </w:tc>
      </w:tr>
      <w:tr w:rsidR="0040529B" w14:paraId="1488095E" w14:textId="77777777">
        <w:trPr>
          <w:cantSplit/>
          <w:jc w:val="center"/>
        </w:trPr>
        <w:tc>
          <w:tcPr>
            <w:tcW w:w="648" w:type="dxa"/>
            <w:tcMar>
              <w:top w:w="90" w:type="dxa"/>
              <w:left w:w="100" w:type="dxa"/>
              <w:bottom w:w="90" w:type="dxa"/>
              <w:right w:w="100" w:type="dxa"/>
            </w:tcMar>
          </w:tcPr>
          <w:p w14:paraId="51139F0B" w14:textId="77777777" w:rsidR="0040529B" w:rsidRDefault="00E52693">
            <w:r>
              <w:t>1</w:t>
            </w:r>
          </w:p>
        </w:tc>
        <w:tc>
          <w:tcPr>
            <w:tcW w:w="1512" w:type="dxa"/>
            <w:tcMar>
              <w:top w:w="90" w:type="dxa"/>
              <w:left w:w="100" w:type="dxa"/>
              <w:bottom w:w="90" w:type="dxa"/>
              <w:right w:w="100" w:type="dxa"/>
            </w:tcMar>
          </w:tcPr>
          <w:p w14:paraId="78C93D23" w14:textId="77777777" w:rsidR="0040529B" w:rsidRDefault="00E52693">
            <w:r>
              <w:t>Azrul</w:t>
            </w:r>
          </w:p>
        </w:tc>
        <w:tc>
          <w:tcPr>
            <w:tcW w:w="1944" w:type="dxa"/>
            <w:tcMar>
              <w:top w:w="90" w:type="dxa"/>
              <w:left w:w="100" w:type="dxa"/>
              <w:bottom w:w="90" w:type="dxa"/>
              <w:right w:w="100" w:type="dxa"/>
            </w:tcMar>
          </w:tcPr>
          <w:p w14:paraId="5B3B673E" w14:textId="77777777" w:rsidR="0040529B" w:rsidRDefault="00E52693">
            <w:r>
              <w:t>Partnership &amp; Alliance</w:t>
            </w:r>
          </w:p>
        </w:tc>
        <w:tc>
          <w:tcPr>
            <w:tcW w:w="4536" w:type="dxa"/>
            <w:tcMar>
              <w:top w:w="90" w:type="dxa"/>
              <w:left w:w="100" w:type="dxa"/>
              <w:bottom w:w="90" w:type="dxa"/>
              <w:right w:w="100" w:type="dxa"/>
            </w:tcMar>
          </w:tcPr>
          <w:p w14:paraId="10F49536" w14:textId="77777777" w:rsidR="0040529B" w:rsidRDefault="00E52693">
            <w:r>
              <w:t>Anchor the CSM–Aras strategic partnership and secure internal sponsorship for the joint CyberDSA narrative.</w:t>
            </w:r>
          </w:p>
        </w:tc>
        <w:tc>
          <w:tcPr>
            <w:tcW w:w="2088" w:type="dxa"/>
            <w:tcMar>
              <w:top w:w="90" w:type="dxa"/>
              <w:left w:w="100" w:type="dxa"/>
              <w:bottom w:w="90" w:type="dxa"/>
              <w:right w:w="100" w:type="dxa"/>
            </w:tcMar>
          </w:tcPr>
          <w:p w14:paraId="120CEA5F" w14:textId="77777777" w:rsidR="0040529B" w:rsidRDefault="00E52693">
            <w:r>
              <w:t>Partnership buy-in and sponsorship</w:t>
            </w:r>
          </w:p>
        </w:tc>
      </w:tr>
      <w:tr w:rsidR="0040529B" w14:paraId="77726A24" w14:textId="77777777">
        <w:trPr>
          <w:cantSplit/>
          <w:jc w:val="center"/>
        </w:trPr>
        <w:tc>
          <w:tcPr>
            <w:tcW w:w="648" w:type="dxa"/>
            <w:tcMar>
              <w:top w:w="90" w:type="dxa"/>
              <w:left w:w="100" w:type="dxa"/>
              <w:bottom w:w="90" w:type="dxa"/>
              <w:right w:w="100" w:type="dxa"/>
            </w:tcMar>
          </w:tcPr>
          <w:p w14:paraId="41DC203C" w14:textId="77777777" w:rsidR="0040529B" w:rsidRDefault="00E52693">
            <w:r>
              <w:t>2</w:t>
            </w:r>
          </w:p>
        </w:tc>
        <w:tc>
          <w:tcPr>
            <w:tcW w:w="1512" w:type="dxa"/>
            <w:tcMar>
              <w:top w:w="90" w:type="dxa"/>
              <w:left w:w="100" w:type="dxa"/>
              <w:bottom w:w="90" w:type="dxa"/>
              <w:right w:w="100" w:type="dxa"/>
            </w:tcMar>
          </w:tcPr>
          <w:p w14:paraId="34CD6368" w14:textId="77777777" w:rsidR="0040529B" w:rsidRDefault="00E52693">
            <w:r>
              <w:t>Zulfikar</w:t>
            </w:r>
          </w:p>
        </w:tc>
        <w:tc>
          <w:tcPr>
            <w:tcW w:w="1944" w:type="dxa"/>
            <w:tcMar>
              <w:top w:w="90" w:type="dxa"/>
              <w:left w:w="100" w:type="dxa"/>
              <w:bottom w:w="90" w:type="dxa"/>
              <w:right w:w="100" w:type="dxa"/>
            </w:tcMar>
          </w:tcPr>
          <w:p w14:paraId="466B5CCE" w14:textId="77777777" w:rsidR="0040529B" w:rsidRDefault="00E52693">
            <w:r>
              <w:t>Commercial</w:t>
            </w:r>
          </w:p>
        </w:tc>
        <w:tc>
          <w:tcPr>
            <w:tcW w:w="4536" w:type="dxa"/>
            <w:tcMar>
              <w:top w:w="90" w:type="dxa"/>
              <w:left w:w="100" w:type="dxa"/>
              <w:bottom w:w="90" w:type="dxa"/>
              <w:right w:w="100" w:type="dxa"/>
            </w:tcMar>
          </w:tcPr>
          <w:p w14:paraId="1FD42461" w14:textId="77777777" w:rsidR="0040529B" w:rsidRDefault="00E52693">
            <w:r>
              <w:t>Translate the partnership narrative into market activation, priority accounts and post-event commercial follow-through.</w:t>
            </w:r>
          </w:p>
        </w:tc>
        <w:tc>
          <w:tcPr>
            <w:tcW w:w="2088" w:type="dxa"/>
            <w:tcMar>
              <w:top w:w="90" w:type="dxa"/>
              <w:left w:w="100" w:type="dxa"/>
              <w:bottom w:w="90" w:type="dxa"/>
              <w:right w:w="100" w:type="dxa"/>
            </w:tcMar>
          </w:tcPr>
          <w:p w14:paraId="2884530A" w14:textId="77777777" w:rsidR="0040529B" w:rsidRDefault="00E52693">
            <w:r>
              <w:t>Commercial ownership</w:t>
            </w:r>
          </w:p>
        </w:tc>
      </w:tr>
      <w:tr w:rsidR="0040529B" w14:paraId="481D5273" w14:textId="77777777">
        <w:trPr>
          <w:cantSplit/>
          <w:jc w:val="center"/>
        </w:trPr>
        <w:tc>
          <w:tcPr>
            <w:tcW w:w="648" w:type="dxa"/>
            <w:tcMar>
              <w:top w:w="90" w:type="dxa"/>
              <w:left w:w="100" w:type="dxa"/>
              <w:bottom w:w="90" w:type="dxa"/>
              <w:right w:w="100" w:type="dxa"/>
            </w:tcMar>
          </w:tcPr>
          <w:p w14:paraId="7B5EDA2A" w14:textId="77777777" w:rsidR="0040529B" w:rsidRDefault="00E52693">
            <w:r>
              <w:t>3</w:t>
            </w:r>
          </w:p>
        </w:tc>
        <w:tc>
          <w:tcPr>
            <w:tcW w:w="1512" w:type="dxa"/>
            <w:tcMar>
              <w:top w:w="90" w:type="dxa"/>
              <w:left w:w="100" w:type="dxa"/>
              <w:bottom w:w="90" w:type="dxa"/>
              <w:right w:w="100" w:type="dxa"/>
            </w:tcMar>
          </w:tcPr>
          <w:p w14:paraId="00E47D77" w14:textId="77777777" w:rsidR="0040529B" w:rsidRDefault="00E52693">
            <w:r>
              <w:t>Bala</w:t>
            </w:r>
          </w:p>
        </w:tc>
        <w:tc>
          <w:tcPr>
            <w:tcW w:w="1944" w:type="dxa"/>
            <w:tcMar>
              <w:top w:w="90" w:type="dxa"/>
              <w:left w:w="100" w:type="dxa"/>
              <w:bottom w:w="90" w:type="dxa"/>
              <w:right w:w="100" w:type="dxa"/>
            </w:tcMar>
          </w:tcPr>
          <w:p w14:paraId="58ADE99D" w14:textId="77777777" w:rsidR="0040529B" w:rsidRDefault="00E52693">
            <w:r>
              <w:t>Marketing &amp; Media Engagement</w:t>
            </w:r>
          </w:p>
        </w:tc>
        <w:tc>
          <w:tcPr>
            <w:tcW w:w="4536" w:type="dxa"/>
            <w:tcMar>
              <w:top w:w="90" w:type="dxa"/>
              <w:left w:w="100" w:type="dxa"/>
              <w:bottom w:w="90" w:type="dxa"/>
              <w:right w:w="100" w:type="dxa"/>
            </w:tcMar>
          </w:tcPr>
          <w:p w14:paraId="22E80C65" w14:textId="77777777" w:rsidR="0040529B" w:rsidRDefault="00E52693">
            <w:r>
              <w:t>Shape, coordinate and amplify the external story across branding, media and stakeholder communications.</w:t>
            </w:r>
          </w:p>
        </w:tc>
        <w:tc>
          <w:tcPr>
            <w:tcW w:w="2088" w:type="dxa"/>
            <w:tcMar>
              <w:top w:w="90" w:type="dxa"/>
              <w:left w:w="100" w:type="dxa"/>
              <w:bottom w:w="90" w:type="dxa"/>
              <w:right w:w="100" w:type="dxa"/>
            </w:tcMar>
          </w:tcPr>
          <w:p w14:paraId="3B305443" w14:textId="77777777" w:rsidR="0040529B" w:rsidRDefault="00E52693">
            <w:r>
              <w:t>Market visibility and message consistency</w:t>
            </w:r>
          </w:p>
        </w:tc>
      </w:tr>
      <w:tr w:rsidR="0040529B" w14:paraId="75BBF368" w14:textId="77777777">
        <w:trPr>
          <w:cantSplit/>
          <w:jc w:val="center"/>
        </w:trPr>
        <w:tc>
          <w:tcPr>
            <w:tcW w:w="648" w:type="dxa"/>
            <w:tcMar>
              <w:top w:w="90" w:type="dxa"/>
              <w:left w:w="100" w:type="dxa"/>
              <w:bottom w:w="90" w:type="dxa"/>
              <w:right w:w="100" w:type="dxa"/>
            </w:tcMar>
          </w:tcPr>
          <w:p w14:paraId="27F0E3E4" w14:textId="77777777" w:rsidR="0040529B" w:rsidRDefault="00E52693">
            <w:r>
              <w:t>4</w:t>
            </w:r>
          </w:p>
        </w:tc>
        <w:tc>
          <w:tcPr>
            <w:tcW w:w="1512" w:type="dxa"/>
            <w:tcMar>
              <w:top w:w="90" w:type="dxa"/>
              <w:left w:w="100" w:type="dxa"/>
              <w:bottom w:w="90" w:type="dxa"/>
              <w:right w:w="100" w:type="dxa"/>
            </w:tcMar>
          </w:tcPr>
          <w:p w14:paraId="5F635AB2" w14:textId="77777777" w:rsidR="0040529B" w:rsidRDefault="00E52693">
            <w:r>
              <w:t>Wan Roshaimi</w:t>
            </w:r>
          </w:p>
        </w:tc>
        <w:tc>
          <w:tcPr>
            <w:tcW w:w="1944" w:type="dxa"/>
            <w:tcMar>
              <w:top w:w="90" w:type="dxa"/>
              <w:left w:w="100" w:type="dxa"/>
              <w:bottom w:w="90" w:type="dxa"/>
              <w:right w:w="100" w:type="dxa"/>
            </w:tcMar>
          </w:tcPr>
          <w:p w14:paraId="019B59B3" w14:textId="77777777" w:rsidR="0040529B" w:rsidRDefault="00E52693">
            <w:r>
              <w:t>CTO / Technology Strategy</w:t>
            </w:r>
          </w:p>
        </w:tc>
        <w:tc>
          <w:tcPr>
            <w:tcW w:w="4536" w:type="dxa"/>
            <w:tcMar>
              <w:top w:w="90" w:type="dxa"/>
              <w:left w:w="100" w:type="dxa"/>
              <w:bottom w:w="90" w:type="dxa"/>
              <w:right w:w="100" w:type="dxa"/>
            </w:tcMar>
          </w:tcPr>
          <w:p w14:paraId="3FCCE53E" w14:textId="77777777" w:rsidR="0040529B" w:rsidRDefault="00E52693">
            <w:r>
              <w:t>Provide technical confidence, architecture alignment and governance-level validation of the integrated capability.</w:t>
            </w:r>
          </w:p>
        </w:tc>
        <w:tc>
          <w:tcPr>
            <w:tcW w:w="2088" w:type="dxa"/>
            <w:tcMar>
              <w:top w:w="90" w:type="dxa"/>
              <w:left w:w="100" w:type="dxa"/>
              <w:bottom w:w="90" w:type="dxa"/>
              <w:right w:w="100" w:type="dxa"/>
            </w:tcMar>
          </w:tcPr>
          <w:p w14:paraId="328364BA" w14:textId="77777777" w:rsidR="0040529B" w:rsidRDefault="00E52693">
            <w:r>
              <w:t>Technical confidence and strategic fit</w:t>
            </w:r>
          </w:p>
        </w:tc>
      </w:tr>
      <w:tr w:rsidR="0040529B" w14:paraId="4B230946" w14:textId="77777777">
        <w:trPr>
          <w:cantSplit/>
          <w:jc w:val="center"/>
        </w:trPr>
        <w:tc>
          <w:tcPr>
            <w:tcW w:w="648" w:type="dxa"/>
            <w:tcMar>
              <w:top w:w="90" w:type="dxa"/>
              <w:left w:w="100" w:type="dxa"/>
              <w:bottom w:w="90" w:type="dxa"/>
              <w:right w:w="100" w:type="dxa"/>
            </w:tcMar>
          </w:tcPr>
          <w:p w14:paraId="4675D3B1" w14:textId="77777777" w:rsidR="0040529B" w:rsidRDefault="00E52693">
            <w:r>
              <w:t>5</w:t>
            </w:r>
          </w:p>
        </w:tc>
        <w:tc>
          <w:tcPr>
            <w:tcW w:w="1512" w:type="dxa"/>
            <w:tcMar>
              <w:top w:w="90" w:type="dxa"/>
              <w:left w:w="100" w:type="dxa"/>
              <w:bottom w:w="90" w:type="dxa"/>
              <w:right w:w="100" w:type="dxa"/>
            </w:tcMar>
          </w:tcPr>
          <w:p w14:paraId="31471155" w14:textId="77777777" w:rsidR="0040529B" w:rsidRDefault="00E52693">
            <w:r>
              <w:t>Zaharudin</w:t>
            </w:r>
          </w:p>
        </w:tc>
        <w:tc>
          <w:tcPr>
            <w:tcW w:w="1944" w:type="dxa"/>
            <w:tcMar>
              <w:top w:w="90" w:type="dxa"/>
              <w:left w:w="100" w:type="dxa"/>
              <w:bottom w:w="90" w:type="dxa"/>
              <w:right w:w="100" w:type="dxa"/>
            </w:tcMar>
          </w:tcPr>
          <w:p w14:paraId="0E70B02A" w14:textId="77777777" w:rsidR="0040529B" w:rsidRDefault="00E52693">
            <w:r>
              <w:t>Operational / Technical Coordination</w:t>
            </w:r>
          </w:p>
        </w:tc>
        <w:tc>
          <w:tcPr>
            <w:tcW w:w="4536" w:type="dxa"/>
            <w:tcMar>
              <w:top w:w="90" w:type="dxa"/>
              <w:left w:w="100" w:type="dxa"/>
              <w:bottom w:w="90" w:type="dxa"/>
              <w:right w:w="100" w:type="dxa"/>
            </w:tcMar>
          </w:tcPr>
          <w:p w14:paraId="1422FD46" w14:textId="77777777" w:rsidR="0040529B" w:rsidRDefault="00E52693">
            <w:r>
              <w:t>Enable coordination, access and implementation touchpoints between CSM and Aras without shifting POC delivery responsibility to CSM.</w:t>
            </w:r>
          </w:p>
        </w:tc>
        <w:tc>
          <w:tcPr>
            <w:tcW w:w="2088" w:type="dxa"/>
            <w:tcMar>
              <w:top w:w="90" w:type="dxa"/>
              <w:left w:w="100" w:type="dxa"/>
              <w:bottom w:w="90" w:type="dxa"/>
              <w:right w:w="100" w:type="dxa"/>
            </w:tcMar>
          </w:tcPr>
          <w:p w14:paraId="1D5B1AE2" w14:textId="77777777" w:rsidR="0040529B" w:rsidRDefault="00E52693">
            <w:r>
              <w:t>Operational enablement</w:t>
            </w:r>
          </w:p>
        </w:tc>
      </w:tr>
      <w:tr w:rsidR="0040529B" w14:paraId="4B33AD70" w14:textId="77777777">
        <w:trPr>
          <w:cantSplit/>
          <w:jc w:val="center"/>
        </w:trPr>
        <w:tc>
          <w:tcPr>
            <w:tcW w:w="648" w:type="dxa"/>
            <w:tcMar>
              <w:top w:w="90" w:type="dxa"/>
              <w:left w:w="100" w:type="dxa"/>
              <w:bottom w:w="90" w:type="dxa"/>
              <w:right w:w="100" w:type="dxa"/>
            </w:tcMar>
          </w:tcPr>
          <w:p w14:paraId="1A278C9D" w14:textId="77777777" w:rsidR="0040529B" w:rsidRDefault="00E52693">
            <w:r>
              <w:t>6</w:t>
            </w:r>
          </w:p>
        </w:tc>
        <w:tc>
          <w:tcPr>
            <w:tcW w:w="1512" w:type="dxa"/>
            <w:tcMar>
              <w:top w:w="90" w:type="dxa"/>
              <w:left w:w="100" w:type="dxa"/>
              <w:bottom w:w="90" w:type="dxa"/>
              <w:right w:w="100" w:type="dxa"/>
            </w:tcMar>
          </w:tcPr>
          <w:p w14:paraId="7A4A0FC4" w14:textId="77777777" w:rsidR="0040529B" w:rsidRDefault="00E52693">
            <w:r>
              <w:t>Dr. Megat</w:t>
            </w:r>
          </w:p>
        </w:tc>
        <w:tc>
          <w:tcPr>
            <w:tcW w:w="1944" w:type="dxa"/>
            <w:tcMar>
              <w:top w:w="90" w:type="dxa"/>
              <w:left w:w="100" w:type="dxa"/>
              <w:bottom w:w="90" w:type="dxa"/>
              <w:right w:w="100" w:type="dxa"/>
            </w:tcMar>
          </w:tcPr>
          <w:p w14:paraId="064BBCE8" w14:textId="77777777" w:rsidR="0040529B" w:rsidRDefault="00E52693">
            <w:r>
              <w:t>NACSA – National Strategic Alignment</w:t>
            </w:r>
          </w:p>
        </w:tc>
        <w:tc>
          <w:tcPr>
            <w:tcW w:w="4536" w:type="dxa"/>
            <w:tcMar>
              <w:top w:w="90" w:type="dxa"/>
              <w:left w:w="100" w:type="dxa"/>
              <w:bottom w:w="90" w:type="dxa"/>
              <w:right w:w="100" w:type="dxa"/>
            </w:tcMar>
          </w:tcPr>
          <w:p w14:paraId="229AB692" w14:textId="77777777" w:rsidR="0040529B" w:rsidRDefault="00E52693">
            <w:r>
              <w:t>Assess alignment of the mature proposition with national sovereign cybersecurity priorities and provide an appropriate pathway for strategic recognition/engagement.</w:t>
            </w:r>
          </w:p>
        </w:tc>
        <w:tc>
          <w:tcPr>
            <w:tcW w:w="2088" w:type="dxa"/>
            <w:tcMar>
              <w:top w:w="90" w:type="dxa"/>
              <w:left w:w="100" w:type="dxa"/>
              <w:bottom w:w="90" w:type="dxa"/>
              <w:right w:w="100" w:type="dxa"/>
            </w:tcMar>
          </w:tcPr>
          <w:p w14:paraId="245AD1E9" w14:textId="77777777" w:rsidR="0040529B" w:rsidRDefault="00E52693">
            <w:r>
              <w:t>National strategic alignment</w:t>
            </w:r>
          </w:p>
        </w:tc>
      </w:tr>
    </w:tbl>
    <w:p w14:paraId="18917AB4" w14:textId="77777777" w:rsidR="0040529B" w:rsidRDefault="00E52693">
      <w:pPr>
        <w:pStyle w:val="Heading2"/>
      </w:pPr>
      <w:r>
        <w:t>3.1 The Dependency Chain</w:t>
      </w:r>
    </w:p>
    <w:p w14:paraId="201D1D24" w14:textId="77777777" w:rsidR="0040529B" w:rsidRDefault="00E52693">
      <w:r>
        <w:rPr>
          <w:b/>
          <w:color w:val="1F4E79"/>
          <w:sz w:val="24"/>
        </w:rPr>
        <w:t>Azrul → Zulfikar → Bala → Wan Roshaimi → Zaharudin → Dr. Megat</w:t>
      </w:r>
    </w:p>
    <w:p w14:paraId="17F3A813" w14:textId="77777777" w:rsidR="0040529B" w:rsidRDefault="00E52693">
      <w:r>
        <w:t>This sequence is not merely administrative. It progressively builds the proposition from internal partnership legitimacy to commercial relevance, market readiness, technical confidence, operational feasibility and finally national strategic alignment.</w:t>
      </w:r>
    </w:p>
    <w:p w14:paraId="7983AB01" w14:textId="77777777" w:rsidR="0040529B" w:rsidRDefault="00E52693">
      <w:pPr>
        <w:pStyle w:val="Heading1"/>
      </w:pPr>
      <w:r>
        <w:t>4. Engagement Sequence and Decision Gates</w:t>
      </w:r>
    </w:p>
    <w:tbl>
      <w:tblPr>
        <w:tblW w:w="0" w:type="auto"/>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val="04A0" w:firstRow="1" w:lastRow="0" w:firstColumn="1" w:lastColumn="0" w:noHBand="0" w:noVBand="1"/>
      </w:tblPr>
      <w:tblGrid>
        <w:gridCol w:w="2088"/>
        <w:gridCol w:w="1584"/>
        <w:gridCol w:w="4896"/>
        <w:gridCol w:w="2592"/>
      </w:tblGrid>
      <w:tr w:rsidR="0040529B" w14:paraId="60B47C8D" w14:textId="77777777">
        <w:trPr>
          <w:cantSplit/>
          <w:tblHeader/>
          <w:jc w:val="center"/>
        </w:trPr>
        <w:tc>
          <w:tcPr>
            <w:tcW w:w="2088" w:type="dxa"/>
            <w:shd w:val="clear" w:color="auto" w:fill="1F4E79"/>
            <w:tcMar>
              <w:top w:w="90" w:type="dxa"/>
              <w:left w:w="100" w:type="dxa"/>
              <w:bottom w:w="90" w:type="dxa"/>
              <w:right w:w="100" w:type="dxa"/>
            </w:tcMar>
          </w:tcPr>
          <w:p w14:paraId="4B4437DA" w14:textId="77777777" w:rsidR="0040529B" w:rsidRDefault="00E52693">
            <w:r>
              <w:rPr>
                <w:b/>
                <w:color w:val="FFFFFF"/>
                <w:sz w:val="18"/>
              </w:rPr>
              <w:t>Decision Gate</w:t>
            </w:r>
          </w:p>
        </w:tc>
        <w:tc>
          <w:tcPr>
            <w:tcW w:w="1584" w:type="dxa"/>
            <w:shd w:val="clear" w:color="auto" w:fill="1F4E79"/>
            <w:tcMar>
              <w:top w:w="90" w:type="dxa"/>
              <w:left w:w="100" w:type="dxa"/>
              <w:bottom w:w="90" w:type="dxa"/>
              <w:right w:w="100" w:type="dxa"/>
            </w:tcMar>
          </w:tcPr>
          <w:p w14:paraId="131F9504" w14:textId="77777777" w:rsidR="0040529B" w:rsidRDefault="00E52693">
            <w:r>
              <w:rPr>
                <w:b/>
                <w:color w:val="FFFFFF"/>
                <w:sz w:val="18"/>
              </w:rPr>
              <w:t>Lead Stakeholder</w:t>
            </w:r>
          </w:p>
        </w:tc>
        <w:tc>
          <w:tcPr>
            <w:tcW w:w="4896" w:type="dxa"/>
            <w:shd w:val="clear" w:color="auto" w:fill="1F4E79"/>
            <w:tcMar>
              <w:top w:w="90" w:type="dxa"/>
              <w:left w:w="100" w:type="dxa"/>
              <w:bottom w:w="90" w:type="dxa"/>
              <w:right w:w="100" w:type="dxa"/>
            </w:tcMar>
          </w:tcPr>
          <w:p w14:paraId="3DA486BB" w14:textId="77777777" w:rsidR="0040529B" w:rsidRDefault="00E52693">
            <w:r>
              <w:rPr>
                <w:b/>
                <w:color w:val="FFFFFF"/>
                <w:sz w:val="18"/>
              </w:rPr>
              <w:t>Close Required</w:t>
            </w:r>
          </w:p>
        </w:tc>
        <w:tc>
          <w:tcPr>
            <w:tcW w:w="2592" w:type="dxa"/>
            <w:shd w:val="clear" w:color="auto" w:fill="1F4E79"/>
            <w:tcMar>
              <w:top w:w="90" w:type="dxa"/>
              <w:left w:w="100" w:type="dxa"/>
              <w:bottom w:w="90" w:type="dxa"/>
              <w:right w:w="100" w:type="dxa"/>
            </w:tcMar>
          </w:tcPr>
          <w:p w14:paraId="6BD18A53" w14:textId="77777777" w:rsidR="0040529B" w:rsidRDefault="00E52693">
            <w:r>
              <w:rPr>
                <w:b/>
                <w:color w:val="FFFFFF"/>
                <w:sz w:val="18"/>
              </w:rPr>
              <w:t>Control Point</w:t>
            </w:r>
          </w:p>
        </w:tc>
      </w:tr>
      <w:tr w:rsidR="0040529B" w14:paraId="489E397A" w14:textId="77777777">
        <w:trPr>
          <w:cantSplit/>
          <w:jc w:val="center"/>
        </w:trPr>
        <w:tc>
          <w:tcPr>
            <w:tcW w:w="2088" w:type="dxa"/>
            <w:tcMar>
              <w:top w:w="90" w:type="dxa"/>
              <w:left w:w="100" w:type="dxa"/>
              <w:bottom w:w="90" w:type="dxa"/>
              <w:right w:w="100" w:type="dxa"/>
            </w:tcMar>
          </w:tcPr>
          <w:p w14:paraId="071B045E" w14:textId="77777777" w:rsidR="0040529B" w:rsidRDefault="00E52693">
            <w:r>
              <w:t>Gate 1 — Partnership Alignment</w:t>
            </w:r>
          </w:p>
        </w:tc>
        <w:tc>
          <w:tcPr>
            <w:tcW w:w="1584" w:type="dxa"/>
            <w:tcMar>
              <w:top w:w="90" w:type="dxa"/>
              <w:left w:w="100" w:type="dxa"/>
              <w:bottom w:w="90" w:type="dxa"/>
              <w:right w:w="100" w:type="dxa"/>
            </w:tcMar>
          </w:tcPr>
          <w:p w14:paraId="32834724" w14:textId="77777777" w:rsidR="0040529B" w:rsidRDefault="00E52693">
            <w:r>
              <w:t>Azrul</w:t>
            </w:r>
          </w:p>
        </w:tc>
        <w:tc>
          <w:tcPr>
            <w:tcW w:w="4896" w:type="dxa"/>
            <w:tcMar>
              <w:top w:w="90" w:type="dxa"/>
              <w:left w:w="100" w:type="dxa"/>
              <w:bottom w:w="90" w:type="dxa"/>
              <w:right w:w="100" w:type="dxa"/>
            </w:tcMar>
          </w:tcPr>
          <w:p w14:paraId="714D045F" w14:textId="77777777" w:rsidR="0040529B" w:rsidRDefault="00E52693">
            <w:r>
              <w:t>Confirm the partnership intent, joint CyberDSA narrative and CSM sponsorship pathway.</w:t>
            </w:r>
          </w:p>
        </w:tc>
        <w:tc>
          <w:tcPr>
            <w:tcW w:w="2592" w:type="dxa"/>
            <w:tcMar>
              <w:top w:w="90" w:type="dxa"/>
              <w:left w:w="100" w:type="dxa"/>
              <w:bottom w:w="90" w:type="dxa"/>
              <w:right w:w="100" w:type="dxa"/>
            </w:tcMar>
          </w:tcPr>
          <w:p w14:paraId="32AD979D" w14:textId="77777777" w:rsidR="0040529B" w:rsidRDefault="00E52693">
            <w:r>
              <w:t>Do not activate broader CSM asks until the partnership narrative is sufficiently stable.</w:t>
            </w:r>
          </w:p>
        </w:tc>
      </w:tr>
      <w:tr w:rsidR="0040529B" w14:paraId="3F92D023" w14:textId="77777777">
        <w:trPr>
          <w:cantSplit/>
          <w:jc w:val="center"/>
        </w:trPr>
        <w:tc>
          <w:tcPr>
            <w:tcW w:w="2088" w:type="dxa"/>
            <w:tcMar>
              <w:top w:w="90" w:type="dxa"/>
              <w:left w:w="100" w:type="dxa"/>
              <w:bottom w:w="90" w:type="dxa"/>
              <w:right w:w="100" w:type="dxa"/>
            </w:tcMar>
          </w:tcPr>
          <w:p w14:paraId="790FD62F" w14:textId="77777777" w:rsidR="0040529B" w:rsidRDefault="00E52693">
            <w:r>
              <w:t>Gate 2 — Commercial Ownership</w:t>
            </w:r>
          </w:p>
        </w:tc>
        <w:tc>
          <w:tcPr>
            <w:tcW w:w="1584" w:type="dxa"/>
            <w:tcMar>
              <w:top w:w="90" w:type="dxa"/>
              <w:left w:w="100" w:type="dxa"/>
              <w:bottom w:w="90" w:type="dxa"/>
              <w:right w:w="100" w:type="dxa"/>
            </w:tcMar>
          </w:tcPr>
          <w:p w14:paraId="6F98B33F" w14:textId="77777777" w:rsidR="0040529B" w:rsidRDefault="00E52693">
            <w:r>
              <w:t>Zulfikar</w:t>
            </w:r>
          </w:p>
        </w:tc>
        <w:tc>
          <w:tcPr>
            <w:tcW w:w="4896" w:type="dxa"/>
            <w:tcMar>
              <w:top w:w="90" w:type="dxa"/>
              <w:left w:w="100" w:type="dxa"/>
              <w:bottom w:w="90" w:type="dxa"/>
              <w:right w:w="100" w:type="dxa"/>
            </w:tcMar>
          </w:tcPr>
          <w:p w14:paraId="50216090" w14:textId="77777777" w:rsidR="0040529B" w:rsidRDefault="00E52693">
            <w:r>
              <w:t>Agree what commercial success looks like, target engagement priorities and post-event follow-through.</w:t>
            </w:r>
          </w:p>
        </w:tc>
        <w:tc>
          <w:tcPr>
            <w:tcW w:w="2592" w:type="dxa"/>
            <w:tcMar>
              <w:top w:w="90" w:type="dxa"/>
              <w:left w:w="100" w:type="dxa"/>
              <w:bottom w:w="90" w:type="dxa"/>
              <w:right w:w="100" w:type="dxa"/>
            </w:tcMar>
          </w:tcPr>
          <w:p w14:paraId="2B8244B6" w14:textId="77777777" w:rsidR="0040529B" w:rsidRDefault="00E52693">
            <w:r>
              <w:t>No event activation should proceed without a conversion path.</w:t>
            </w:r>
          </w:p>
        </w:tc>
      </w:tr>
      <w:tr w:rsidR="0040529B" w14:paraId="6518C697" w14:textId="77777777">
        <w:trPr>
          <w:cantSplit/>
          <w:jc w:val="center"/>
        </w:trPr>
        <w:tc>
          <w:tcPr>
            <w:tcW w:w="2088" w:type="dxa"/>
            <w:tcMar>
              <w:top w:w="90" w:type="dxa"/>
              <w:left w:w="100" w:type="dxa"/>
              <w:bottom w:w="90" w:type="dxa"/>
              <w:right w:w="100" w:type="dxa"/>
            </w:tcMar>
          </w:tcPr>
          <w:p w14:paraId="7E479645" w14:textId="77777777" w:rsidR="0040529B" w:rsidRDefault="00E52693">
            <w:r>
              <w:t>Gate 3 — Market &amp; Media Activation</w:t>
            </w:r>
          </w:p>
        </w:tc>
        <w:tc>
          <w:tcPr>
            <w:tcW w:w="1584" w:type="dxa"/>
            <w:tcMar>
              <w:top w:w="90" w:type="dxa"/>
              <w:left w:w="100" w:type="dxa"/>
              <w:bottom w:w="90" w:type="dxa"/>
              <w:right w:w="100" w:type="dxa"/>
            </w:tcMar>
          </w:tcPr>
          <w:p w14:paraId="1B5CC0D1" w14:textId="77777777" w:rsidR="0040529B" w:rsidRDefault="00E52693">
            <w:r>
              <w:t>Bala</w:t>
            </w:r>
          </w:p>
        </w:tc>
        <w:tc>
          <w:tcPr>
            <w:tcW w:w="4896" w:type="dxa"/>
            <w:tcMar>
              <w:top w:w="90" w:type="dxa"/>
              <w:left w:w="100" w:type="dxa"/>
              <w:bottom w:w="90" w:type="dxa"/>
              <w:right w:w="100" w:type="dxa"/>
            </w:tcMar>
          </w:tcPr>
          <w:p w14:paraId="505DCD0B" w14:textId="77777777" w:rsidR="0040529B" w:rsidRDefault="00E52693">
            <w:r>
              <w:t>Agree external messaging, spokesperson coordination, media opportunities and amplification responsibilities.</w:t>
            </w:r>
          </w:p>
        </w:tc>
        <w:tc>
          <w:tcPr>
            <w:tcW w:w="2592" w:type="dxa"/>
            <w:tcMar>
              <w:top w:w="90" w:type="dxa"/>
              <w:left w:w="100" w:type="dxa"/>
              <w:bottom w:w="90" w:type="dxa"/>
              <w:right w:w="100" w:type="dxa"/>
            </w:tcMar>
          </w:tcPr>
          <w:p w14:paraId="399004E6" w14:textId="77777777" w:rsidR="0040529B" w:rsidRDefault="00E52693">
            <w:r>
              <w:t>No fragmented product-by-product messaging.</w:t>
            </w:r>
          </w:p>
        </w:tc>
      </w:tr>
      <w:tr w:rsidR="0040529B" w14:paraId="7FBD864E" w14:textId="77777777">
        <w:trPr>
          <w:cantSplit/>
          <w:jc w:val="center"/>
        </w:trPr>
        <w:tc>
          <w:tcPr>
            <w:tcW w:w="2088" w:type="dxa"/>
            <w:tcMar>
              <w:top w:w="90" w:type="dxa"/>
              <w:left w:w="100" w:type="dxa"/>
              <w:bottom w:w="90" w:type="dxa"/>
              <w:right w:w="100" w:type="dxa"/>
            </w:tcMar>
          </w:tcPr>
          <w:p w14:paraId="0287834C" w14:textId="77777777" w:rsidR="0040529B" w:rsidRDefault="00E52693">
            <w:r>
              <w:t>Gate 4 — Technical Confidence</w:t>
            </w:r>
          </w:p>
        </w:tc>
        <w:tc>
          <w:tcPr>
            <w:tcW w:w="1584" w:type="dxa"/>
            <w:tcMar>
              <w:top w:w="90" w:type="dxa"/>
              <w:left w:w="100" w:type="dxa"/>
              <w:bottom w:w="90" w:type="dxa"/>
              <w:right w:w="100" w:type="dxa"/>
            </w:tcMar>
          </w:tcPr>
          <w:p w14:paraId="23C4B86D" w14:textId="77777777" w:rsidR="0040529B" w:rsidRDefault="00E52693">
            <w:r>
              <w:t>Wan Roshaimi</w:t>
            </w:r>
          </w:p>
        </w:tc>
        <w:tc>
          <w:tcPr>
            <w:tcW w:w="4896" w:type="dxa"/>
            <w:tcMar>
              <w:top w:w="90" w:type="dxa"/>
              <w:left w:w="100" w:type="dxa"/>
              <w:bottom w:w="90" w:type="dxa"/>
              <w:right w:w="100" w:type="dxa"/>
            </w:tcMar>
          </w:tcPr>
          <w:p w14:paraId="4CE401D2" w14:textId="77777777" w:rsidR="0040529B" w:rsidRDefault="00E52693">
            <w:r>
              <w:t>Validate technical posture, architecture fit, integration boundaries and governance concerns.</w:t>
            </w:r>
          </w:p>
        </w:tc>
        <w:tc>
          <w:tcPr>
            <w:tcW w:w="2592" w:type="dxa"/>
            <w:tcMar>
              <w:top w:w="90" w:type="dxa"/>
              <w:left w:w="100" w:type="dxa"/>
              <w:bottom w:w="90" w:type="dxa"/>
              <w:right w:w="100" w:type="dxa"/>
            </w:tcMar>
          </w:tcPr>
          <w:p w14:paraId="6226A60F" w14:textId="77777777" w:rsidR="0040529B" w:rsidRDefault="00E52693">
            <w:r>
              <w:t>Technical leadership validates; Aras remains responsible for POC execution.</w:t>
            </w:r>
          </w:p>
        </w:tc>
      </w:tr>
      <w:tr w:rsidR="0040529B" w14:paraId="4B3B1FC7" w14:textId="77777777">
        <w:trPr>
          <w:cantSplit/>
          <w:jc w:val="center"/>
        </w:trPr>
        <w:tc>
          <w:tcPr>
            <w:tcW w:w="2088" w:type="dxa"/>
            <w:tcMar>
              <w:top w:w="90" w:type="dxa"/>
              <w:left w:w="100" w:type="dxa"/>
              <w:bottom w:w="90" w:type="dxa"/>
              <w:right w:w="100" w:type="dxa"/>
            </w:tcMar>
          </w:tcPr>
          <w:p w14:paraId="24D65E04" w14:textId="77777777" w:rsidR="0040529B" w:rsidRDefault="00E52693">
            <w:r>
              <w:t>Gate 5 — Operational Coordination</w:t>
            </w:r>
          </w:p>
        </w:tc>
        <w:tc>
          <w:tcPr>
            <w:tcW w:w="1584" w:type="dxa"/>
            <w:tcMar>
              <w:top w:w="90" w:type="dxa"/>
              <w:left w:w="100" w:type="dxa"/>
              <w:bottom w:w="90" w:type="dxa"/>
              <w:right w:w="100" w:type="dxa"/>
            </w:tcMar>
          </w:tcPr>
          <w:p w14:paraId="4EE186B6" w14:textId="77777777" w:rsidR="0040529B" w:rsidRDefault="00E52693">
            <w:r>
              <w:t>Zaharudin</w:t>
            </w:r>
          </w:p>
        </w:tc>
        <w:tc>
          <w:tcPr>
            <w:tcW w:w="4896" w:type="dxa"/>
            <w:tcMar>
              <w:top w:w="90" w:type="dxa"/>
              <w:left w:w="100" w:type="dxa"/>
              <w:bottom w:w="90" w:type="dxa"/>
              <w:right w:w="100" w:type="dxa"/>
            </w:tcMar>
          </w:tcPr>
          <w:p w14:paraId="3CF9C3FE" w14:textId="77777777" w:rsidR="0040529B" w:rsidRDefault="00E52693">
            <w:r>
              <w:t>Agree implementation touchpoints, access, coordination and issue-resolution mechanisms.</w:t>
            </w:r>
          </w:p>
        </w:tc>
        <w:tc>
          <w:tcPr>
            <w:tcW w:w="2592" w:type="dxa"/>
            <w:tcMar>
              <w:top w:w="90" w:type="dxa"/>
              <w:left w:w="100" w:type="dxa"/>
              <w:bottom w:w="90" w:type="dxa"/>
              <w:right w:w="100" w:type="dxa"/>
            </w:tcMar>
          </w:tcPr>
          <w:p w14:paraId="54E0B2E0" w14:textId="77777777" w:rsidR="0040529B" w:rsidRDefault="00E52693">
            <w:r>
              <w:t>Keep coordination light, practical and owner-based.</w:t>
            </w:r>
          </w:p>
        </w:tc>
      </w:tr>
      <w:tr w:rsidR="0040529B" w14:paraId="2957D6BC" w14:textId="77777777">
        <w:trPr>
          <w:cantSplit/>
          <w:jc w:val="center"/>
        </w:trPr>
        <w:tc>
          <w:tcPr>
            <w:tcW w:w="2088" w:type="dxa"/>
            <w:tcMar>
              <w:top w:w="90" w:type="dxa"/>
              <w:left w:w="100" w:type="dxa"/>
              <w:bottom w:w="90" w:type="dxa"/>
              <w:right w:w="100" w:type="dxa"/>
            </w:tcMar>
          </w:tcPr>
          <w:p w14:paraId="363EFE6B" w14:textId="77777777" w:rsidR="0040529B" w:rsidRDefault="00E52693">
            <w:r>
              <w:t>Gate 6 — National Strategic Alignment</w:t>
            </w:r>
          </w:p>
        </w:tc>
        <w:tc>
          <w:tcPr>
            <w:tcW w:w="1584" w:type="dxa"/>
            <w:tcMar>
              <w:top w:w="90" w:type="dxa"/>
              <w:left w:w="100" w:type="dxa"/>
              <w:bottom w:w="90" w:type="dxa"/>
              <w:right w:w="100" w:type="dxa"/>
            </w:tcMar>
          </w:tcPr>
          <w:p w14:paraId="29B322A5" w14:textId="77777777" w:rsidR="0040529B" w:rsidRDefault="00E52693">
            <w:r>
              <w:t>Dr. Megat</w:t>
            </w:r>
          </w:p>
        </w:tc>
        <w:tc>
          <w:tcPr>
            <w:tcW w:w="4896" w:type="dxa"/>
            <w:tcMar>
              <w:top w:w="90" w:type="dxa"/>
              <w:left w:w="100" w:type="dxa"/>
              <w:bottom w:w="90" w:type="dxa"/>
              <w:right w:w="100" w:type="dxa"/>
            </w:tcMar>
          </w:tcPr>
          <w:p w14:paraId="5844CA43" w14:textId="77777777" w:rsidR="0040529B" w:rsidRDefault="00E52693">
            <w:r>
              <w:t>Present a mature proposition and explore NACSA alignment, acknowledgement, participation or appropriate strategic pathway.</w:t>
            </w:r>
          </w:p>
        </w:tc>
        <w:tc>
          <w:tcPr>
            <w:tcW w:w="2592" w:type="dxa"/>
            <w:tcMar>
              <w:top w:w="90" w:type="dxa"/>
              <w:left w:w="100" w:type="dxa"/>
              <w:bottom w:w="90" w:type="dxa"/>
              <w:right w:w="100" w:type="dxa"/>
            </w:tcMar>
          </w:tcPr>
          <w:p w14:paraId="621060A0" w14:textId="77777777" w:rsidR="0040529B" w:rsidRDefault="00E52693">
            <w:r>
              <w:t>Approach with evidence of prior CSM alignment, not as an unformed endorsement request.</w:t>
            </w:r>
          </w:p>
        </w:tc>
      </w:tr>
    </w:tbl>
    <w:p w14:paraId="29D5A066" w14:textId="77777777" w:rsidR="0040529B" w:rsidRDefault="00E52693">
      <w:pPr>
        <w:pStyle w:val="Heading1"/>
      </w:pPr>
      <w:r>
        <w:t>5. Stakeholder Engagement Playbooks</w:t>
      </w:r>
    </w:p>
    <w:p w14:paraId="03772214" w14:textId="77777777" w:rsidR="0040529B" w:rsidRDefault="00E52693">
      <w:r>
        <w:t>Each playbook below is designed to produce one defined commitment. Secondary discussion points are permitted, but the primary ask should remain clear throughout the engagement.</w:t>
      </w:r>
    </w:p>
    <w:p w14:paraId="0C631583" w14:textId="77777777" w:rsidR="0040529B" w:rsidRDefault="00E52693">
      <w:pPr>
        <w:pStyle w:val="Heading2"/>
      </w:pPr>
      <w:r>
        <w:t>5.1 Azrul — Partnership &amp; Alliance Anchor</w:t>
      </w:r>
    </w:p>
    <w:tbl>
      <w:tblPr>
        <w:tblW w:w="0" w:type="auto"/>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val="04A0" w:firstRow="1" w:lastRow="0" w:firstColumn="1" w:lastColumn="0" w:noHBand="0" w:noVBand="1"/>
      </w:tblPr>
      <w:tblGrid>
        <w:gridCol w:w="2160"/>
        <w:gridCol w:w="8424"/>
      </w:tblGrid>
      <w:tr w:rsidR="0040529B" w14:paraId="608B9308" w14:textId="77777777">
        <w:trPr>
          <w:cantSplit/>
          <w:jc w:val="center"/>
        </w:trPr>
        <w:tc>
          <w:tcPr>
            <w:tcW w:w="2160" w:type="dxa"/>
            <w:shd w:val="clear" w:color="auto" w:fill="D9EAF7"/>
            <w:tcMar>
              <w:top w:w="90" w:type="dxa"/>
              <w:left w:w="100" w:type="dxa"/>
              <w:bottom w:w="90" w:type="dxa"/>
              <w:right w:w="100" w:type="dxa"/>
            </w:tcMar>
          </w:tcPr>
          <w:p w14:paraId="503CF790" w14:textId="77777777" w:rsidR="0040529B" w:rsidRDefault="00E52693">
            <w:r>
              <w:rPr>
                <w:b/>
                <w:color w:val="1F4E79"/>
              </w:rPr>
              <w:t>Role Lens</w:t>
            </w:r>
          </w:p>
        </w:tc>
        <w:tc>
          <w:tcPr>
            <w:tcW w:w="8424" w:type="dxa"/>
            <w:tcMar>
              <w:top w:w="90" w:type="dxa"/>
              <w:left w:w="100" w:type="dxa"/>
              <w:bottom w:w="90" w:type="dxa"/>
              <w:right w:w="100" w:type="dxa"/>
            </w:tcMar>
          </w:tcPr>
          <w:p w14:paraId="4DF23943" w14:textId="77777777" w:rsidR="0040529B" w:rsidRDefault="00E52693">
            <w:r>
              <w:t>Partnership &amp; Alliance</w:t>
            </w:r>
          </w:p>
        </w:tc>
      </w:tr>
      <w:tr w:rsidR="0040529B" w14:paraId="230B78E0" w14:textId="77777777">
        <w:trPr>
          <w:cantSplit/>
          <w:jc w:val="center"/>
        </w:trPr>
        <w:tc>
          <w:tcPr>
            <w:tcW w:w="2160" w:type="dxa"/>
            <w:shd w:val="clear" w:color="auto" w:fill="D9EAF7"/>
            <w:tcMar>
              <w:top w:w="90" w:type="dxa"/>
              <w:left w:w="100" w:type="dxa"/>
              <w:bottom w:w="90" w:type="dxa"/>
              <w:right w:w="100" w:type="dxa"/>
            </w:tcMar>
          </w:tcPr>
          <w:p w14:paraId="659495FC" w14:textId="77777777" w:rsidR="0040529B" w:rsidRDefault="00E52693">
            <w:r>
              <w:rPr>
                <w:b/>
                <w:color w:val="1F4E79"/>
              </w:rPr>
              <w:t>Engagement Purpose</w:t>
            </w:r>
          </w:p>
        </w:tc>
        <w:tc>
          <w:tcPr>
            <w:tcW w:w="8424" w:type="dxa"/>
            <w:tcMar>
              <w:top w:w="90" w:type="dxa"/>
              <w:left w:w="100" w:type="dxa"/>
              <w:bottom w:w="90" w:type="dxa"/>
              <w:right w:w="100" w:type="dxa"/>
            </w:tcMar>
          </w:tcPr>
          <w:p w14:paraId="104ADCF6" w14:textId="77777777" w:rsidR="0040529B" w:rsidRDefault="00E52693">
            <w:r>
              <w:t>Position the CyberDSA initiative as a strategic CSM–Aras alliance outcome rather than a vendor-led product promotion.</w:t>
            </w:r>
          </w:p>
        </w:tc>
      </w:tr>
      <w:tr w:rsidR="0040529B" w14:paraId="562AD112" w14:textId="77777777">
        <w:trPr>
          <w:cantSplit/>
          <w:jc w:val="center"/>
        </w:trPr>
        <w:tc>
          <w:tcPr>
            <w:tcW w:w="2160" w:type="dxa"/>
            <w:shd w:val="clear" w:color="auto" w:fill="D9EAF7"/>
            <w:tcMar>
              <w:top w:w="90" w:type="dxa"/>
              <w:left w:w="100" w:type="dxa"/>
              <w:bottom w:w="90" w:type="dxa"/>
              <w:right w:w="100" w:type="dxa"/>
            </w:tcMar>
          </w:tcPr>
          <w:p w14:paraId="0A28E300" w14:textId="77777777" w:rsidR="0040529B" w:rsidRDefault="00E52693">
            <w:r>
              <w:rPr>
                <w:b/>
                <w:color w:val="1F4E79"/>
              </w:rPr>
              <w:t>Primary Ask</w:t>
            </w:r>
          </w:p>
        </w:tc>
        <w:tc>
          <w:tcPr>
            <w:tcW w:w="8424" w:type="dxa"/>
            <w:tcMar>
              <w:top w:w="90" w:type="dxa"/>
              <w:left w:w="100" w:type="dxa"/>
              <w:bottom w:w="90" w:type="dxa"/>
              <w:right w:w="100" w:type="dxa"/>
            </w:tcMar>
          </w:tcPr>
          <w:p w14:paraId="5D991E43" w14:textId="77777777" w:rsidR="0040529B" w:rsidRDefault="00E52693">
            <w:r>
              <w:t>Secure Azrul’s explicit support for the joint CyberDSA narrative and his sponsorship for the relevant CSM stakeholders to participate in the activation sequence.</w:t>
            </w:r>
          </w:p>
        </w:tc>
      </w:tr>
      <w:tr w:rsidR="0040529B" w14:paraId="6E4DF127" w14:textId="77777777">
        <w:trPr>
          <w:cantSplit/>
          <w:jc w:val="center"/>
        </w:trPr>
        <w:tc>
          <w:tcPr>
            <w:tcW w:w="2160" w:type="dxa"/>
            <w:shd w:val="clear" w:color="auto" w:fill="D9EAF7"/>
            <w:tcMar>
              <w:top w:w="90" w:type="dxa"/>
              <w:left w:w="100" w:type="dxa"/>
              <w:bottom w:w="90" w:type="dxa"/>
              <w:right w:w="100" w:type="dxa"/>
            </w:tcMar>
          </w:tcPr>
          <w:p w14:paraId="43A38C7C" w14:textId="77777777" w:rsidR="0040529B" w:rsidRDefault="00E52693">
            <w:r>
              <w:rPr>
                <w:b/>
                <w:color w:val="1F4E79"/>
              </w:rPr>
              <w:t>Stakeholder Value</w:t>
            </w:r>
          </w:p>
        </w:tc>
        <w:tc>
          <w:tcPr>
            <w:tcW w:w="8424" w:type="dxa"/>
            <w:tcMar>
              <w:top w:w="90" w:type="dxa"/>
              <w:left w:w="100" w:type="dxa"/>
              <w:bottom w:w="90" w:type="dxa"/>
              <w:right w:w="100" w:type="dxa"/>
            </w:tcMar>
          </w:tcPr>
          <w:p w14:paraId="74514EEE" w14:textId="77777777" w:rsidR="0040529B" w:rsidRDefault="00E52693">
            <w:r>
              <w:t>Strengthens CSM’s partnership visibility, demonstrates tangible post-MOU execution, and creates a coherent institutional story around sovereign technology development and market activation.</w:t>
            </w:r>
          </w:p>
        </w:tc>
      </w:tr>
    </w:tbl>
    <w:p w14:paraId="3F294633" w14:textId="77777777" w:rsidR="0040529B" w:rsidRDefault="00E52693">
      <w:pPr>
        <w:pStyle w:val="Heading3"/>
      </w:pPr>
      <w:r>
        <w:t>Message Emphasis</w:t>
      </w:r>
    </w:p>
    <w:p w14:paraId="2D76F50F" w14:textId="77777777" w:rsidR="0040529B" w:rsidRDefault="00E52693">
      <w:pPr>
        <w:pStyle w:val="ListBullet"/>
      </w:pPr>
      <w:r>
        <w:t>CyberDSA should demonstrate what the CSM–Aras partnership can operationalise, not merely what individual products can do.</w:t>
      </w:r>
    </w:p>
    <w:p w14:paraId="47A414D1" w14:textId="77777777" w:rsidR="0040529B" w:rsidRDefault="00E52693">
      <w:pPr>
        <w:pStyle w:val="ListBullet"/>
      </w:pPr>
      <w:r>
        <w:t>The collaboration can be framed as Partnership → Sovereign Technology Development → National Market Activation.</w:t>
      </w:r>
    </w:p>
    <w:p w14:paraId="7CBF83FE" w14:textId="77777777" w:rsidR="0040529B" w:rsidRDefault="00E52693">
      <w:pPr>
        <w:pStyle w:val="ListBullet"/>
      </w:pPr>
      <w:r>
        <w:t>Aras will carry the execution burden; CSM’s value is strategic partnership, institutional credibility and ecosystem activation.</w:t>
      </w:r>
    </w:p>
    <w:p w14:paraId="5A37A0F5" w14:textId="77777777" w:rsidR="0040529B" w:rsidRDefault="00E52693">
      <w:pPr>
        <w:pStyle w:val="ListBullet"/>
      </w:pPr>
      <w:r>
        <w:t>The immediate ask is alignment and sponsorship, not operational workload.</w:t>
      </w:r>
    </w:p>
    <w:p w14:paraId="2326B03F" w14:textId="77777777" w:rsidR="0040529B" w:rsidRDefault="00E52693">
      <w:r>
        <w:rPr>
          <w:b/>
          <w:color w:val="1F4E79"/>
        </w:rPr>
        <w:t xml:space="preserve">Required Close: </w:t>
      </w:r>
      <w:r>
        <w:t>Agreement on narrative direction, stakeholder activation sequence and permission/support to mobilise the commercial, marketing, technical and coordination tracks.</w:t>
      </w:r>
    </w:p>
    <w:p w14:paraId="1E44212D" w14:textId="77777777" w:rsidR="0040529B" w:rsidRDefault="00E52693">
      <w:r>
        <w:rPr>
          <w:b/>
          <w:color w:val="1F4E79"/>
        </w:rPr>
        <w:t xml:space="preserve">Follow-through: </w:t>
      </w:r>
      <w:r>
        <w:t>Send a short written alignment note within 24 hours, listing agreed narrative, named stakeholders and next engagements.</w:t>
      </w:r>
    </w:p>
    <w:p w14:paraId="36B98F58" w14:textId="77777777" w:rsidR="0040529B" w:rsidRDefault="00E52693">
      <w:pPr>
        <w:pStyle w:val="Heading2"/>
      </w:pPr>
      <w:r>
        <w:t>5.2 Zulfikar — Commercial Activation Owner</w:t>
      </w:r>
    </w:p>
    <w:tbl>
      <w:tblPr>
        <w:tblW w:w="0" w:type="auto"/>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val="04A0" w:firstRow="1" w:lastRow="0" w:firstColumn="1" w:lastColumn="0" w:noHBand="0" w:noVBand="1"/>
      </w:tblPr>
      <w:tblGrid>
        <w:gridCol w:w="2160"/>
        <w:gridCol w:w="8424"/>
      </w:tblGrid>
      <w:tr w:rsidR="0040529B" w14:paraId="19AA35B9" w14:textId="77777777">
        <w:trPr>
          <w:cantSplit/>
          <w:jc w:val="center"/>
        </w:trPr>
        <w:tc>
          <w:tcPr>
            <w:tcW w:w="2160" w:type="dxa"/>
            <w:shd w:val="clear" w:color="auto" w:fill="D9EAF7"/>
            <w:tcMar>
              <w:top w:w="90" w:type="dxa"/>
              <w:left w:w="100" w:type="dxa"/>
              <w:bottom w:w="90" w:type="dxa"/>
              <w:right w:w="100" w:type="dxa"/>
            </w:tcMar>
          </w:tcPr>
          <w:p w14:paraId="07BCEE33" w14:textId="77777777" w:rsidR="0040529B" w:rsidRDefault="00E52693">
            <w:r>
              <w:rPr>
                <w:b/>
                <w:color w:val="1F4E79"/>
              </w:rPr>
              <w:t>Role Lens</w:t>
            </w:r>
          </w:p>
        </w:tc>
        <w:tc>
          <w:tcPr>
            <w:tcW w:w="8424" w:type="dxa"/>
            <w:tcMar>
              <w:top w:w="90" w:type="dxa"/>
              <w:left w:w="100" w:type="dxa"/>
              <w:bottom w:w="90" w:type="dxa"/>
              <w:right w:w="100" w:type="dxa"/>
            </w:tcMar>
          </w:tcPr>
          <w:p w14:paraId="760ADC16" w14:textId="77777777" w:rsidR="0040529B" w:rsidRDefault="00E52693">
            <w:r>
              <w:t>Head of Commercial</w:t>
            </w:r>
          </w:p>
        </w:tc>
      </w:tr>
      <w:tr w:rsidR="0040529B" w14:paraId="0EC70DE4" w14:textId="77777777">
        <w:trPr>
          <w:cantSplit/>
          <w:jc w:val="center"/>
        </w:trPr>
        <w:tc>
          <w:tcPr>
            <w:tcW w:w="2160" w:type="dxa"/>
            <w:shd w:val="clear" w:color="auto" w:fill="D9EAF7"/>
            <w:tcMar>
              <w:top w:w="90" w:type="dxa"/>
              <w:left w:w="100" w:type="dxa"/>
              <w:bottom w:w="90" w:type="dxa"/>
              <w:right w:w="100" w:type="dxa"/>
            </w:tcMar>
          </w:tcPr>
          <w:p w14:paraId="31DBCC1B" w14:textId="77777777" w:rsidR="0040529B" w:rsidRDefault="00E52693">
            <w:r>
              <w:rPr>
                <w:b/>
                <w:color w:val="1F4E79"/>
              </w:rPr>
              <w:t>Engagement Purpose</w:t>
            </w:r>
          </w:p>
        </w:tc>
        <w:tc>
          <w:tcPr>
            <w:tcW w:w="8424" w:type="dxa"/>
            <w:tcMar>
              <w:top w:w="90" w:type="dxa"/>
              <w:left w:w="100" w:type="dxa"/>
              <w:bottom w:w="90" w:type="dxa"/>
              <w:right w:w="100" w:type="dxa"/>
            </w:tcMar>
          </w:tcPr>
          <w:p w14:paraId="5831EFBD" w14:textId="77777777" w:rsidR="0040529B" w:rsidRDefault="00E52693">
            <w:r>
              <w:t>Convert the CyberDSA narrative into measurable market activity and establish a post-event commercial conversion pathway.</w:t>
            </w:r>
          </w:p>
        </w:tc>
      </w:tr>
      <w:tr w:rsidR="0040529B" w14:paraId="27686008" w14:textId="77777777">
        <w:trPr>
          <w:cantSplit/>
          <w:jc w:val="center"/>
        </w:trPr>
        <w:tc>
          <w:tcPr>
            <w:tcW w:w="2160" w:type="dxa"/>
            <w:shd w:val="clear" w:color="auto" w:fill="D9EAF7"/>
            <w:tcMar>
              <w:top w:w="90" w:type="dxa"/>
              <w:left w:w="100" w:type="dxa"/>
              <w:bottom w:w="90" w:type="dxa"/>
              <w:right w:w="100" w:type="dxa"/>
            </w:tcMar>
          </w:tcPr>
          <w:p w14:paraId="056C8A58" w14:textId="77777777" w:rsidR="0040529B" w:rsidRDefault="00E52693">
            <w:r>
              <w:rPr>
                <w:b/>
                <w:color w:val="1F4E79"/>
              </w:rPr>
              <w:t>Primary Ask</w:t>
            </w:r>
          </w:p>
        </w:tc>
        <w:tc>
          <w:tcPr>
            <w:tcW w:w="8424" w:type="dxa"/>
            <w:tcMar>
              <w:top w:w="90" w:type="dxa"/>
              <w:left w:w="100" w:type="dxa"/>
              <w:bottom w:w="90" w:type="dxa"/>
              <w:right w:w="100" w:type="dxa"/>
            </w:tcMar>
          </w:tcPr>
          <w:p w14:paraId="30041362" w14:textId="77777777" w:rsidR="0040529B" w:rsidRDefault="00E52693">
            <w:r>
              <w:t>Agree the priority market segments/accounts, the commercial engagement mechanism at CyberDSA and the post-event follow-up model jointly supported by CSM and Aras.</w:t>
            </w:r>
          </w:p>
        </w:tc>
      </w:tr>
      <w:tr w:rsidR="0040529B" w14:paraId="59EA1966" w14:textId="77777777">
        <w:trPr>
          <w:cantSplit/>
          <w:jc w:val="center"/>
        </w:trPr>
        <w:tc>
          <w:tcPr>
            <w:tcW w:w="2160" w:type="dxa"/>
            <w:shd w:val="clear" w:color="auto" w:fill="D9EAF7"/>
            <w:tcMar>
              <w:top w:w="90" w:type="dxa"/>
              <w:left w:w="100" w:type="dxa"/>
              <w:bottom w:w="90" w:type="dxa"/>
              <w:right w:w="100" w:type="dxa"/>
            </w:tcMar>
          </w:tcPr>
          <w:p w14:paraId="6A38ED0B" w14:textId="77777777" w:rsidR="0040529B" w:rsidRDefault="00E52693">
            <w:r>
              <w:rPr>
                <w:b/>
                <w:color w:val="1F4E79"/>
              </w:rPr>
              <w:t>Stakeholder Value</w:t>
            </w:r>
          </w:p>
        </w:tc>
        <w:tc>
          <w:tcPr>
            <w:tcW w:w="8424" w:type="dxa"/>
            <w:tcMar>
              <w:top w:w="90" w:type="dxa"/>
              <w:left w:w="100" w:type="dxa"/>
              <w:bottom w:w="90" w:type="dxa"/>
              <w:right w:w="100" w:type="dxa"/>
            </w:tcMar>
          </w:tcPr>
          <w:p w14:paraId="24EAAC8B" w14:textId="77777777" w:rsidR="0040529B" w:rsidRDefault="00E52693">
            <w:r>
              <w:t>Creates commercial proof that the partnership can generate market outcomes, not only event visibility.</w:t>
            </w:r>
          </w:p>
        </w:tc>
      </w:tr>
    </w:tbl>
    <w:p w14:paraId="04DD5425" w14:textId="77777777" w:rsidR="0040529B" w:rsidRDefault="00E52693">
      <w:pPr>
        <w:pStyle w:val="Heading3"/>
      </w:pPr>
      <w:r>
        <w:t>Message Emphasis</w:t>
      </w:r>
    </w:p>
    <w:p w14:paraId="39F1CD1C" w14:textId="77777777" w:rsidR="0040529B" w:rsidRDefault="00E52693">
      <w:pPr>
        <w:pStyle w:val="ListBullet"/>
      </w:pPr>
      <w:r>
        <w:t>The event must produce a managed pipeline, not a list of visitors.</w:t>
      </w:r>
    </w:p>
    <w:p w14:paraId="0C567175" w14:textId="77777777" w:rsidR="0040529B" w:rsidRDefault="00E52693">
      <w:pPr>
        <w:pStyle w:val="ListBullet"/>
      </w:pPr>
      <w:r>
        <w:t>Aras can lead demos, solutioning and POC execution; the commercial track should focus on access, prioritisation and conversion.</w:t>
      </w:r>
    </w:p>
    <w:p w14:paraId="6B4B5783" w14:textId="77777777" w:rsidR="0040529B" w:rsidRDefault="00E52693">
      <w:pPr>
        <w:pStyle w:val="ListBullet"/>
      </w:pPr>
      <w:r>
        <w:t>The strongest accounts are those where CSM credibility and Aras delivery capability create a differentiated entry point.</w:t>
      </w:r>
    </w:p>
    <w:p w14:paraId="44693DC4" w14:textId="77777777" w:rsidR="0040529B" w:rsidRDefault="00E52693">
      <w:pPr>
        <w:pStyle w:val="ListBullet"/>
      </w:pPr>
      <w:r>
        <w:t>Post-event ownership must be agreed before the event.</w:t>
      </w:r>
    </w:p>
    <w:p w14:paraId="147367BD" w14:textId="77777777" w:rsidR="0040529B" w:rsidRDefault="00E52693">
      <w:r>
        <w:rPr>
          <w:b/>
          <w:color w:val="1F4E79"/>
        </w:rPr>
        <w:t xml:space="preserve">Required Close: </w:t>
      </w:r>
      <w:r>
        <w:t>Named priority accounts/segments, clear CSM and Aras commercial owners, agreed lead-capture and follow-up mechanism, and target outcomes for meetings/POCs.</w:t>
      </w:r>
    </w:p>
    <w:p w14:paraId="2A5F87D7" w14:textId="77777777" w:rsidR="0040529B" w:rsidRDefault="00E52693">
      <w:r>
        <w:rPr>
          <w:b/>
          <w:color w:val="1F4E79"/>
        </w:rPr>
        <w:t xml:space="preserve">Follow-through: </w:t>
      </w:r>
      <w:r>
        <w:t>Create a one-page joint target-account and follow-up sheet; review weekly until CyberDSA.</w:t>
      </w:r>
    </w:p>
    <w:p w14:paraId="2DEB1634" w14:textId="77777777" w:rsidR="0040529B" w:rsidRDefault="00E52693">
      <w:pPr>
        <w:pStyle w:val="Heading2"/>
      </w:pPr>
      <w:r>
        <w:t>5.3 Bala — Marketing &amp; Media Engagement Owner</w:t>
      </w:r>
    </w:p>
    <w:tbl>
      <w:tblPr>
        <w:tblW w:w="0" w:type="auto"/>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val="04A0" w:firstRow="1" w:lastRow="0" w:firstColumn="1" w:lastColumn="0" w:noHBand="0" w:noVBand="1"/>
      </w:tblPr>
      <w:tblGrid>
        <w:gridCol w:w="2160"/>
        <w:gridCol w:w="8424"/>
      </w:tblGrid>
      <w:tr w:rsidR="0040529B" w14:paraId="7503AA13" w14:textId="77777777">
        <w:trPr>
          <w:cantSplit/>
          <w:jc w:val="center"/>
        </w:trPr>
        <w:tc>
          <w:tcPr>
            <w:tcW w:w="2160" w:type="dxa"/>
            <w:shd w:val="clear" w:color="auto" w:fill="D9EAF7"/>
            <w:tcMar>
              <w:top w:w="90" w:type="dxa"/>
              <w:left w:w="100" w:type="dxa"/>
              <w:bottom w:w="90" w:type="dxa"/>
              <w:right w:w="100" w:type="dxa"/>
            </w:tcMar>
          </w:tcPr>
          <w:p w14:paraId="2EBF8D3A" w14:textId="77777777" w:rsidR="0040529B" w:rsidRDefault="00E52693">
            <w:r>
              <w:rPr>
                <w:b/>
                <w:color w:val="1F4E79"/>
              </w:rPr>
              <w:t>Role Lens</w:t>
            </w:r>
          </w:p>
        </w:tc>
        <w:tc>
          <w:tcPr>
            <w:tcW w:w="8424" w:type="dxa"/>
            <w:tcMar>
              <w:top w:w="90" w:type="dxa"/>
              <w:left w:w="100" w:type="dxa"/>
              <w:bottom w:w="90" w:type="dxa"/>
              <w:right w:w="100" w:type="dxa"/>
            </w:tcMar>
          </w:tcPr>
          <w:p w14:paraId="0599B6BA" w14:textId="77777777" w:rsidR="0040529B" w:rsidRDefault="00E52693">
            <w:r>
              <w:t>Marketing &amp; Media Engagement</w:t>
            </w:r>
          </w:p>
        </w:tc>
      </w:tr>
      <w:tr w:rsidR="0040529B" w14:paraId="4BBECDD9" w14:textId="77777777">
        <w:trPr>
          <w:cantSplit/>
          <w:jc w:val="center"/>
        </w:trPr>
        <w:tc>
          <w:tcPr>
            <w:tcW w:w="2160" w:type="dxa"/>
            <w:shd w:val="clear" w:color="auto" w:fill="D9EAF7"/>
            <w:tcMar>
              <w:top w:w="90" w:type="dxa"/>
              <w:left w:w="100" w:type="dxa"/>
              <w:bottom w:w="90" w:type="dxa"/>
              <w:right w:w="100" w:type="dxa"/>
            </w:tcMar>
          </w:tcPr>
          <w:p w14:paraId="28A0970F" w14:textId="77777777" w:rsidR="0040529B" w:rsidRDefault="00E52693">
            <w:r>
              <w:rPr>
                <w:b/>
                <w:color w:val="1F4E79"/>
              </w:rPr>
              <w:t>Engagement Purpose</w:t>
            </w:r>
          </w:p>
        </w:tc>
        <w:tc>
          <w:tcPr>
            <w:tcW w:w="8424" w:type="dxa"/>
            <w:tcMar>
              <w:top w:w="90" w:type="dxa"/>
              <w:left w:w="100" w:type="dxa"/>
              <w:bottom w:w="90" w:type="dxa"/>
              <w:right w:w="100" w:type="dxa"/>
            </w:tcMar>
          </w:tcPr>
          <w:p w14:paraId="33CFF38A" w14:textId="77777777" w:rsidR="0040529B" w:rsidRDefault="00E52693">
            <w:r>
              <w:t>Create one consistent public narrative and amplify it through coordinated branding, media, content and stakeholder communications.</w:t>
            </w:r>
          </w:p>
        </w:tc>
      </w:tr>
      <w:tr w:rsidR="0040529B" w14:paraId="745C1B6B" w14:textId="77777777">
        <w:trPr>
          <w:cantSplit/>
          <w:jc w:val="center"/>
        </w:trPr>
        <w:tc>
          <w:tcPr>
            <w:tcW w:w="2160" w:type="dxa"/>
            <w:shd w:val="clear" w:color="auto" w:fill="D9EAF7"/>
            <w:tcMar>
              <w:top w:w="90" w:type="dxa"/>
              <w:left w:w="100" w:type="dxa"/>
              <w:bottom w:w="90" w:type="dxa"/>
              <w:right w:w="100" w:type="dxa"/>
            </w:tcMar>
          </w:tcPr>
          <w:p w14:paraId="71EBDA11" w14:textId="77777777" w:rsidR="0040529B" w:rsidRDefault="00E52693">
            <w:r>
              <w:rPr>
                <w:b/>
                <w:color w:val="1F4E79"/>
              </w:rPr>
              <w:t>Primary Ask</w:t>
            </w:r>
          </w:p>
        </w:tc>
        <w:tc>
          <w:tcPr>
            <w:tcW w:w="8424" w:type="dxa"/>
            <w:tcMar>
              <w:top w:w="90" w:type="dxa"/>
              <w:left w:w="100" w:type="dxa"/>
              <w:bottom w:w="90" w:type="dxa"/>
              <w:right w:w="100" w:type="dxa"/>
            </w:tcMar>
          </w:tcPr>
          <w:p w14:paraId="0019AF06" w14:textId="77777777" w:rsidR="0040529B" w:rsidRDefault="00E52693">
            <w:r>
              <w:t>Agree a joint marketing/media activation plan around the national-grade, full-stack sovereign technology deployment narrative.</w:t>
            </w:r>
          </w:p>
        </w:tc>
      </w:tr>
      <w:tr w:rsidR="0040529B" w14:paraId="58D074B5" w14:textId="77777777">
        <w:trPr>
          <w:cantSplit/>
          <w:jc w:val="center"/>
        </w:trPr>
        <w:tc>
          <w:tcPr>
            <w:tcW w:w="2160" w:type="dxa"/>
            <w:shd w:val="clear" w:color="auto" w:fill="D9EAF7"/>
            <w:tcMar>
              <w:top w:w="90" w:type="dxa"/>
              <w:left w:w="100" w:type="dxa"/>
              <w:bottom w:w="90" w:type="dxa"/>
              <w:right w:w="100" w:type="dxa"/>
            </w:tcMar>
          </w:tcPr>
          <w:p w14:paraId="0C94D874" w14:textId="77777777" w:rsidR="0040529B" w:rsidRDefault="00E52693">
            <w:r>
              <w:rPr>
                <w:b/>
                <w:color w:val="1F4E79"/>
              </w:rPr>
              <w:t>Stakeholder Value</w:t>
            </w:r>
          </w:p>
        </w:tc>
        <w:tc>
          <w:tcPr>
            <w:tcW w:w="8424" w:type="dxa"/>
            <w:tcMar>
              <w:top w:w="90" w:type="dxa"/>
              <w:left w:w="100" w:type="dxa"/>
              <w:bottom w:w="90" w:type="dxa"/>
              <w:right w:w="100" w:type="dxa"/>
            </w:tcMar>
          </w:tcPr>
          <w:p w14:paraId="45408F91" w14:textId="77777777" w:rsidR="0040529B" w:rsidRDefault="00E52693">
            <w:r>
              <w:t>Positions CSM as an active national ecosystem partner and prevents fragmented or contradictory product messaging.</w:t>
            </w:r>
          </w:p>
        </w:tc>
      </w:tr>
    </w:tbl>
    <w:p w14:paraId="501A2516" w14:textId="77777777" w:rsidR="0040529B" w:rsidRDefault="00E52693">
      <w:pPr>
        <w:pStyle w:val="Heading3"/>
      </w:pPr>
      <w:r>
        <w:t>Message Emphasis</w:t>
      </w:r>
    </w:p>
    <w:p w14:paraId="160D94F6" w14:textId="77777777" w:rsidR="0040529B" w:rsidRDefault="00E52693">
      <w:pPr>
        <w:pStyle w:val="ListBullet"/>
      </w:pPr>
      <w:r>
        <w:t>The media story is the emergence of an integrated Malaysian sovereign cybersecurity capability, not three disconnected products.</w:t>
      </w:r>
    </w:p>
    <w:p w14:paraId="22185E49" w14:textId="77777777" w:rsidR="0040529B" w:rsidRDefault="00E52693">
      <w:pPr>
        <w:pStyle w:val="ListBullet"/>
      </w:pPr>
      <w:r>
        <w:t>CSM’s role should be visible as an ecosystem and institutional partner while Aras is positioned as the integration and operationalisation engine.</w:t>
      </w:r>
    </w:p>
    <w:p w14:paraId="1BE5E3D9" w14:textId="77777777" w:rsidR="0040529B" w:rsidRDefault="00E52693">
      <w:pPr>
        <w:pStyle w:val="ListBullet"/>
      </w:pPr>
      <w:r>
        <w:t>Every public asset should reinforce the same hierarchy: national story → partnership story → integrated capability → product proof points.</w:t>
      </w:r>
    </w:p>
    <w:p w14:paraId="5D62C0B1" w14:textId="77777777" w:rsidR="0040529B" w:rsidRDefault="00E52693">
      <w:pPr>
        <w:pStyle w:val="ListBullet"/>
      </w:pPr>
      <w:r>
        <w:t>Media activity should lead audiences toward meetings, demos and post-event engagement.</w:t>
      </w:r>
    </w:p>
    <w:p w14:paraId="30871D5E" w14:textId="77777777" w:rsidR="0040529B" w:rsidRDefault="00E52693">
      <w:r>
        <w:rPr>
          <w:b/>
          <w:color w:val="1F4E79"/>
        </w:rPr>
        <w:t xml:space="preserve">Required Close: </w:t>
      </w:r>
      <w:r>
        <w:t>Agreed message house, spokesperson roles, media/branding touchpoints, content approval path and activation calendar.</w:t>
      </w:r>
    </w:p>
    <w:p w14:paraId="4A7E7B89" w14:textId="77777777" w:rsidR="0040529B" w:rsidRDefault="00E52693">
      <w:r>
        <w:rPr>
          <w:b/>
          <w:color w:val="1F4E79"/>
        </w:rPr>
        <w:t xml:space="preserve">Follow-through: </w:t>
      </w:r>
      <w:r>
        <w:t>Run a compact editorial and media readiness checkpoint each week; move to higher cadence in the final two weeks.</w:t>
      </w:r>
    </w:p>
    <w:p w14:paraId="71560F2F" w14:textId="77777777" w:rsidR="0040529B" w:rsidRDefault="00E52693">
      <w:pPr>
        <w:pStyle w:val="Heading2"/>
      </w:pPr>
      <w:r>
        <w:t>5.4 Wan Roshaimi — Technology Strategy &amp; Governance</w:t>
      </w:r>
    </w:p>
    <w:tbl>
      <w:tblPr>
        <w:tblW w:w="0" w:type="auto"/>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val="04A0" w:firstRow="1" w:lastRow="0" w:firstColumn="1" w:lastColumn="0" w:noHBand="0" w:noVBand="1"/>
      </w:tblPr>
      <w:tblGrid>
        <w:gridCol w:w="2160"/>
        <w:gridCol w:w="8424"/>
      </w:tblGrid>
      <w:tr w:rsidR="0040529B" w14:paraId="0BC25AAB" w14:textId="77777777">
        <w:trPr>
          <w:cantSplit/>
          <w:jc w:val="center"/>
        </w:trPr>
        <w:tc>
          <w:tcPr>
            <w:tcW w:w="2160" w:type="dxa"/>
            <w:shd w:val="clear" w:color="auto" w:fill="D9EAF7"/>
            <w:tcMar>
              <w:top w:w="90" w:type="dxa"/>
              <w:left w:w="100" w:type="dxa"/>
              <w:bottom w:w="90" w:type="dxa"/>
              <w:right w:w="100" w:type="dxa"/>
            </w:tcMar>
          </w:tcPr>
          <w:p w14:paraId="0D9164CE" w14:textId="77777777" w:rsidR="0040529B" w:rsidRDefault="00E52693">
            <w:r>
              <w:rPr>
                <w:b/>
                <w:color w:val="1F4E79"/>
              </w:rPr>
              <w:t>Role Lens</w:t>
            </w:r>
          </w:p>
        </w:tc>
        <w:tc>
          <w:tcPr>
            <w:tcW w:w="8424" w:type="dxa"/>
            <w:tcMar>
              <w:top w:w="90" w:type="dxa"/>
              <w:left w:w="100" w:type="dxa"/>
              <w:bottom w:w="90" w:type="dxa"/>
              <w:right w:w="100" w:type="dxa"/>
            </w:tcMar>
          </w:tcPr>
          <w:p w14:paraId="1DD4E783" w14:textId="77777777" w:rsidR="0040529B" w:rsidRDefault="00E52693">
            <w:r>
              <w:t>CTO / Technology Strategy</w:t>
            </w:r>
          </w:p>
        </w:tc>
      </w:tr>
      <w:tr w:rsidR="0040529B" w14:paraId="7FDBFBE9" w14:textId="77777777">
        <w:trPr>
          <w:cantSplit/>
          <w:jc w:val="center"/>
        </w:trPr>
        <w:tc>
          <w:tcPr>
            <w:tcW w:w="2160" w:type="dxa"/>
            <w:shd w:val="clear" w:color="auto" w:fill="D9EAF7"/>
            <w:tcMar>
              <w:top w:w="90" w:type="dxa"/>
              <w:left w:w="100" w:type="dxa"/>
              <w:bottom w:w="90" w:type="dxa"/>
              <w:right w:w="100" w:type="dxa"/>
            </w:tcMar>
          </w:tcPr>
          <w:p w14:paraId="3A1D0FF0" w14:textId="77777777" w:rsidR="0040529B" w:rsidRDefault="00E52693">
            <w:r>
              <w:rPr>
                <w:b/>
                <w:color w:val="1F4E79"/>
              </w:rPr>
              <w:t>Engagement Purpose</w:t>
            </w:r>
          </w:p>
        </w:tc>
        <w:tc>
          <w:tcPr>
            <w:tcW w:w="8424" w:type="dxa"/>
            <w:tcMar>
              <w:top w:w="90" w:type="dxa"/>
              <w:left w:w="100" w:type="dxa"/>
              <w:bottom w:w="90" w:type="dxa"/>
              <w:right w:w="100" w:type="dxa"/>
            </w:tcMar>
          </w:tcPr>
          <w:p w14:paraId="07F93E69" w14:textId="77777777" w:rsidR="0040529B" w:rsidRDefault="00E52693">
            <w:r>
              <w:t>Establish technical credibility and strategic architecture alignment without transferring Aras delivery obligations to the CSM technical team.</w:t>
            </w:r>
          </w:p>
        </w:tc>
      </w:tr>
      <w:tr w:rsidR="0040529B" w14:paraId="287490BD" w14:textId="77777777">
        <w:trPr>
          <w:cantSplit/>
          <w:jc w:val="center"/>
        </w:trPr>
        <w:tc>
          <w:tcPr>
            <w:tcW w:w="2160" w:type="dxa"/>
            <w:shd w:val="clear" w:color="auto" w:fill="D9EAF7"/>
            <w:tcMar>
              <w:top w:w="90" w:type="dxa"/>
              <w:left w:w="100" w:type="dxa"/>
              <w:bottom w:w="90" w:type="dxa"/>
              <w:right w:w="100" w:type="dxa"/>
            </w:tcMar>
          </w:tcPr>
          <w:p w14:paraId="355C1B92" w14:textId="77777777" w:rsidR="0040529B" w:rsidRDefault="00E52693">
            <w:r>
              <w:rPr>
                <w:b/>
                <w:color w:val="1F4E79"/>
              </w:rPr>
              <w:t>Primary Ask</w:t>
            </w:r>
          </w:p>
        </w:tc>
        <w:tc>
          <w:tcPr>
            <w:tcW w:w="8424" w:type="dxa"/>
            <w:tcMar>
              <w:top w:w="90" w:type="dxa"/>
              <w:left w:w="100" w:type="dxa"/>
              <w:bottom w:w="90" w:type="dxa"/>
              <w:right w:w="100" w:type="dxa"/>
            </w:tcMar>
          </w:tcPr>
          <w:p w14:paraId="299A8888" w14:textId="77777777" w:rsidR="0040529B" w:rsidRDefault="00E52693">
            <w:r>
              <w:t>Validate the technical narrative, integration posture, architecture principles and key governance considerations that should be represented at CyberDSA.</w:t>
            </w:r>
          </w:p>
        </w:tc>
      </w:tr>
      <w:tr w:rsidR="0040529B" w14:paraId="124941C0" w14:textId="77777777">
        <w:trPr>
          <w:cantSplit/>
          <w:jc w:val="center"/>
        </w:trPr>
        <w:tc>
          <w:tcPr>
            <w:tcW w:w="2160" w:type="dxa"/>
            <w:shd w:val="clear" w:color="auto" w:fill="D9EAF7"/>
            <w:tcMar>
              <w:top w:w="90" w:type="dxa"/>
              <w:left w:w="100" w:type="dxa"/>
              <w:bottom w:w="90" w:type="dxa"/>
              <w:right w:w="100" w:type="dxa"/>
            </w:tcMar>
          </w:tcPr>
          <w:p w14:paraId="1AE17981" w14:textId="77777777" w:rsidR="0040529B" w:rsidRDefault="00E52693">
            <w:r>
              <w:rPr>
                <w:b/>
                <w:color w:val="1F4E79"/>
              </w:rPr>
              <w:t>Stakeholder Value</w:t>
            </w:r>
          </w:p>
        </w:tc>
        <w:tc>
          <w:tcPr>
            <w:tcW w:w="8424" w:type="dxa"/>
            <w:tcMar>
              <w:top w:w="90" w:type="dxa"/>
              <w:left w:w="100" w:type="dxa"/>
              <w:bottom w:w="90" w:type="dxa"/>
              <w:right w:w="100" w:type="dxa"/>
            </w:tcMar>
          </w:tcPr>
          <w:p w14:paraId="56FF1158" w14:textId="77777777" w:rsidR="0040529B" w:rsidRDefault="00E52693">
            <w:r>
              <w:t>Gives CSM confidence that the proposition is technically defensible and appropriately aligned with its technology environment and institutional responsibilities.</w:t>
            </w:r>
          </w:p>
        </w:tc>
      </w:tr>
    </w:tbl>
    <w:p w14:paraId="1F6C21FE" w14:textId="77777777" w:rsidR="0040529B" w:rsidRDefault="00E52693">
      <w:pPr>
        <w:pStyle w:val="Heading3"/>
      </w:pPr>
      <w:r>
        <w:t>Message Emphasis</w:t>
      </w:r>
    </w:p>
    <w:p w14:paraId="1260CC71" w14:textId="77777777" w:rsidR="0040529B" w:rsidRDefault="00E52693">
      <w:pPr>
        <w:pStyle w:val="ListBullet"/>
      </w:pPr>
      <w:r>
        <w:t>Aras will support and execute the POC activity; CSM technical leadership is not being asked to provide POC delivery resources.</w:t>
      </w:r>
    </w:p>
    <w:p w14:paraId="268FC340" w14:textId="77777777" w:rsidR="0040529B" w:rsidRDefault="00E52693">
      <w:pPr>
        <w:pStyle w:val="ListBullet"/>
      </w:pPr>
      <w:r>
        <w:t>The CTO engagement is about architecture, governance, integration boundaries and long-term fit.</w:t>
      </w:r>
    </w:p>
    <w:p w14:paraId="74422A90" w14:textId="77777777" w:rsidR="0040529B" w:rsidRDefault="00E52693">
      <w:pPr>
        <w:pStyle w:val="ListBullet"/>
      </w:pPr>
      <w:r>
        <w:t>Technical claims presented publicly must be accurate, defensible and consistent with the intended deployment model.</w:t>
      </w:r>
    </w:p>
    <w:p w14:paraId="2967DEFC" w14:textId="77777777" w:rsidR="0040529B" w:rsidRDefault="00E52693">
      <w:pPr>
        <w:pStyle w:val="ListBullet"/>
      </w:pPr>
      <w:r>
        <w:t>Any integration dependencies should be surfaced early so they can be managed before the event.</w:t>
      </w:r>
    </w:p>
    <w:p w14:paraId="10E22904" w14:textId="77777777" w:rsidR="0040529B" w:rsidRDefault="00E52693">
      <w:r>
        <w:rPr>
          <w:b/>
          <w:color w:val="1F4E79"/>
        </w:rPr>
        <w:t xml:space="preserve">Required Close: </w:t>
      </w:r>
      <w:r>
        <w:t>Technical narrative validation, explicit integration considerations, identified red lines/constraints and agreement on any technical representation required at CyberDSA.</w:t>
      </w:r>
    </w:p>
    <w:p w14:paraId="4F4C2C29" w14:textId="77777777" w:rsidR="0040529B" w:rsidRDefault="00E52693">
      <w:r>
        <w:rPr>
          <w:b/>
          <w:color w:val="1F4E79"/>
        </w:rPr>
        <w:t xml:space="preserve">Follow-through: </w:t>
      </w:r>
      <w:r>
        <w:t>Capture decisions in a technical alignment note and route all execution actions back to Aras owners.</w:t>
      </w:r>
    </w:p>
    <w:p w14:paraId="3846F317" w14:textId="77777777" w:rsidR="0040529B" w:rsidRDefault="00E52693">
      <w:pPr>
        <w:pStyle w:val="Heading2"/>
      </w:pPr>
      <w:r>
        <w:t>5.5 Zaharudin — Operational Coordination &amp; Enablement</w:t>
      </w:r>
    </w:p>
    <w:tbl>
      <w:tblPr>
        <w:tblW w:w="0" w:type="auto"/>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val="04A0" w:firstRow="1" w:lastRow="0" w:firstColumn="1" w:lastColumn="0" w:noHBand="0" w:noVBand="1"/>
      </w:tblPr>
      <w:tblGrid>
        <w:gridCol w:w="2160"/>
        <w:gridCol w:w="8424"/>
      </w:tblGrid>
      <w:tr w:rsidR="0040529B" w14:paraId="0BFF0C98" w14:textId="77777777">
        <w:trPr>
          <w:cantSplit/>
          <w:jc w:val="center"/>
        </w:trPr>
        <w:tc>
          <w:tcPr>
            <w:tcW w:w="2160" w:type="dxa"/>
            <w:shd w:val="clear" w:color="auto" w:fill="D9EAF7"/>
            <w:tcMar>
              <w:top w:w="90" w:type="dxa"/>
              <w:left w:w="100" w:type="dxa"/>
              <w:bottom w:w="90" w:type="dxa"/>
              <w:right w:w="100" w:type="dxa"/>
            </w:tcMar>
          </w:tcPr>
          <w:p w14:paraId="14E89D2A" w14:textId="77777777" w:rsidR="0040529B" w:rsidRDefault="00E52693">
            <w:r>
              <w:rPr>
                <w:b/>
                <w:color w:val="1F4E79"/>
              </w:rPr>
              <w:t>Role Lens</w:t>
            </w:r>
          </w:p>
        </w:tc>
        <w:tc>
          <w:tcPr>
            <w:tcW w:w="8424" w:type="dxa"/>
            <w:tcMar>
              <w:top w:w="90" w:type="dxa"/>
              <w:left w:w="100" w:type="dxa"/>
              <w:bottom w:w="90" w:type="dxa"/>
              <w:right w:w="100" w:type="dxa"/>
            </w:tcMar>
          </w:tcPr>
          <w:p w14:paraId="3AE205A3" w14:textId="77777777" w:rsidR="0040529B" w:rsidRDefault="00E52693">
            <w:r>
              <w:t>Operational / Technical Coordination</w:t>
            </w:r>
          </w:p>
        </w:tc>
      </w:tr>
      <w:tr w:rsidR="0040529B" w14:paraId="5FE1B4D9" w14:textId="77777777">
        <w:trPr>
          <w:cantSplit/>
          <w:jc w:val="center"/>
        </w:trPr>
        <w:tc>
          <w:tcPr>
            <w:tcW w:w="2160" w:type="dxa"/>
            <w:shd w:val="clear" w:color="auto" w:fill="D9EAF7"/>
            <w:tcMar>
              <w:top w:w="90" w:type="dxa"/>
              <w:left w:w="100" w:type="dxa"/>
              <w:bottom w:w="90" w:type="dxa"/>
              <w:right w:w="100" w:type="dxa"/>
            </w:tcMar>
          </w:tcPr>
          <w:p w14:paraId="5292D68B" w14:textId="77777777" w:rsidR="0040529B" w:rsidRDefault="00E52693">
            <w:r>
              <w:rPr>
                <w:b/>
                <w:color w:val="1F4E79"/>
              </w:rPr>
              <w:t>Engagement Purpose</w:t>
            </w:r>
          </w:p>
        </w:tc>
        <w:tc>
          <w:tcPr>
            <w:tcW w:w="8424" w:type="dxa"/>
            <w:tcMar>
              <w:top w:w="90" w:type="dxa"/>
              <w:left w:w="100" w:type="dxa"/>
              <w:bottom w:w="90" w:type="dxa"/>
              <w:right w:w="100" w:type="dxa"/>
            </w:tcMar>
          </w:tcPr>
          <w:p w14:paraId="663D7C98" w14:textId="77777777" w:rsidR="0040529B" w:rsidRDefault="00E52693">
            <w:r>
              <w:t>Ensure practical CSM–Aras coordination is smooth, accountable and responsive without creating unnecessary process overhead.</w:t>
            </w:r>
          </w:p>
        </w:tc>
      </w:tr>
      <w:tr w:rsidR="0040529B" w14:paraId="3326EA0F" w14:textId="77777777">
        <w:trPr>
          <w:cantSplit/>
          <w:jc w:val="center"/>
        </w:trPr>
        <w:tc>
          <w:tcPr>
            <w:tcW w:w="2160" w:type="dxa"/>
            <w:shd w:val="clear" w:color="auto" w:fill="D9EAF7"/>
            <w:tcMar>
              <w:top w:w="90" w:type="dxa"/>
              <w:left w:w="100" w:type="dxa"/>
              <w:bottom w:w="90" w:type="dxa"/>
              <w:right w:w="100" w:type="dxa"/>
            </w:tcMar>
          </w:tcPr>
          <w:p w14:paraId="70E3DCAB" w14:textId="77777777" w:rsidR="0040529B" w:rsidRDefault="00E52693">
            <w:r>
              <w:rPr>
                <w:b/>
                <w:color w:val="1F4E79"/>
              </w:rPr>
              <w:t>Primary Ask</w:t>
            </w:r>
          </w:p>
        </w:tc>
        <w:tc>
          <w:tcPr>
            <w:tcW w:w="8424" w:type="dxa"/>
            <w:tcMar>
              <w:top w:w="90" w:type="dxa"/>
              <w:left w:w="100" w:type="dxa"/>
              <w:bottom w:w="90" w:type="dxa"/>
              <w:right w:w="100" w:type="dxa"/>
            </w:tcMar>
          </w:tcPr>
          <w:p w14:paraId="70958547" w14:textId="77777777" w:rsidR="0040529B" w:rsidRDefault="00E52693">
            <w:r>
              <w:t>Agree the operational touchpoints, access requirements, contact chain and issue-resolution path necessary to support CyberDSA readiness and related POC activity led by Aras.</w:t>
            </w:r>
          </w:p>
        </w:tc>
      </w:tr>
      <w:tr w:rsidR="0040529B" w14:paraId="3444E8DE" w14:textId="77777777">
        <w:trPr>
          <w:cantSplit/>
          <w:jc w:val="center"/>
        </w:trPr>
        <w:tc>
          <w:tcPr>
            <w:tcW w:w="2160" w:type="dxa"/>
            <w:shd w:val="clear" w:color="auto" w:fill="D9EAF7"/>
            <w:tcMar>
              <w:top w:w="90" w:type="dxa"/>
              <w:left w:w="100" w:type="dxa"/>
              <w:bottom w:w="90" w:type="dxa"/>
              <w:right w:w="100" w:type="dxa"/>
            </w:tcMar>
          </w:tcPr>
          <w:p w14:paraId="76EDFF43" w14:textId="77777777" w:rsidR="0040529B" w:rsidRDefault="00E52693">
            <w:r>
              <w:rPr>
                <w:b/>
                <w:color w:val="1F4E79"/>
              </w:rPr>
              <w:t>Stakeholder Value</w:t>
            </w:r>
          </w:p>
        </w:tc>
        <w:tc>
          <w:tcPr>
            <w:tcW w:w="8424" w:type="dxa"/>
            <w:tcMar>
              <w:top w:w="90" w:type="dxa"/>
              <w:left w:w="100" w:type="dxa"/>
              <w:bottom w:w="90" w:type="dxa"/>
              <w:right w:w="100" w:type="dxa"/>
            </w:tcMar>
          </w:tcPr>
          <w:p w14:paraId="2366A7ED" w14:textId="77777777" w:rsidR="0040529B" w:rsidRDefault="00E52693">
            <w:r>
              <w:t>Reduces coordination friction and ensures CSM stakeholders can support the initiative through access and enablement rather than direct execution.</w:t>
            </w:r>
          </w:p>
        </w:tc>
      </w:tr>
    </w:tbl>
    <w:p w14:paraId="52A66836" w14:textId="77777777" w:rsidR="0040529B" w:rsidRDefault="00E52693">
      <w:pPr>
        <w:pStyle w:val="Heading3"/>
      </w:pPr>
      <w:r>
        <w:t>Message Emphasis</w:t>
      </w:r>
    </w:p>
    <w:p w14:paraId="54F8B81B" w14:textId="77777777" w:rsidR="0040529B" w:rsidRDefault="00E52693">
      <w:pPr>
        <w:pStyle w:val="ListBullet"/>
      </w:pPr>
      <w:r>
        <w:t>The aim is to make execution easy for both organisations.</w:t>
      </w:r>
    </w:p>
    <w:p w14:paraId="64BBD180" w14:textId="77777777" w:rsidR="0040529B" w:rsidRDefault="00E52693">
      <w:pPr>
        <w:pStyle w:val="ListBullet"/>
      </w:pPr>
      <w:r>
        <w:t>Aras owns POC delivery; CSM enables relevant access, coordination and institutional interfaces.</w:t>
      </w:r>
    </w:p>
    <w:p w14:paraId="146118B5" w14:textId="77777777" w:rsidR="0040529B" w:rsidRDefault="00E52693">
      <w:pPr>
        <w:pStyle w:val="ListBullet"/>
      </w:pPr>
      <w:r>
        <w:t>Issues should have a named owner and fast resolution path rather than being allowed to circulate across multiple teams.</w:t>
      </w:r>
    </w:p>
    <w:p w14:paraId="6BFD9F3C" w14:textId="77777777" w:rsidR="0040529B" w:rsidRDefault="00E52693">
      <w:pPr>
        <w:pStyle w:val="ListBullet"/>
      </w:pPr>
      <w:r>
        <w:t>Operational coordination should support the agreed partnership narrative, not become a parallel workstream.</w:t>
      </w:r>
    </w:p>
    <w:p w14:paraId="7BD2A592" w14:textId="77777777" w:rsidR="0040529B" w:rsidRDefault="00E52693">
      <w:r>
        <w:rPr>
          <w:b/>
          <w:color w:val="1F4E79"/>
        </w:rPr>
        <w:t xml:space="preserve">Required Close: </w:t>
      </w:r>
      <w:r>
        <w:t>Named operational contacts, agreed coordination channel, access requirements, issue escalation path and near-term readiness actions.</w:t>
      </w:r>
    </w:p>
    <w:p w14:paraId="5B26DE14" w14:textId="77777777" w:rsidR="0040529B" w:rsidRDefault="00E52693">
      <w:r>
        <w:rPr>
          <w:b/>
          <w:color w:val="1F4E79"/>
        </w:rPr>
        <w:t xml:space="preserve">Follow-through: </w:t>
      </w:r>
      <w:r>
        <w:t>Maintain a short action register with owner, due date and status; escalate only unresolved blockers.</w:t>
      </w:r>
    </w:p>
    <w:p w14:paraId="7D2291D5" w14:textId="77777777" w:rsidR="0040529B" w:rsidRDefault="00E52693">
      <w:pPr>
        <w:pStyle w:val="Heading2"/>
      </w:pPr>
      <w:r>
        <w:t>5.6 Dr. Megat — NACSA Strategic Alignment for Sovereign Product</w:t>
      </w:r>
    </w:p>
    <w:tbl>
      <w:tblPr>
        <w:tblW w:w="0" w:type="auto"/>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val="04A0" w:firstRow="1" w:lastRow="0" w:firstColumn="1" w:lastColumn="0" w:noHBand="0" w:noVBand="1"/>
      </w:tblPr>
      <w:tblGrid>
        <w:gridCol w:w="2160"/>
        <w:gridCol w:w="8424"/>
      </w:tblGrid>
      <w:tr w:rsidR="0040529B" w14:paraId="7AEE21D1" w14:textId="77777777">
        <w:trPr>
          <w:cantSplit/>
          <w:jc w:val="center"/>
        </w:trPr>
        <w:tc>
          <w:tcPr>
            <w:tcW w:w="2160" w:type="dxa"/>
            <w:shd w:val="clear" w:color="auto" w:fill="D9EAF7"/>
            <w:tcMar>
              <w:top w:w="90" w:type="dxa"/>
              <w:left w:w="100" w:type="dxa"/>
              <w:bottom w:w="90" w:type="dxa"/>
              <w:right w:w="100" w:type="dxa"/>
            </w:tcMar>
          </w:tcPr>
          <w:p w14:paraId="3241A026" w14:textId="77777777" w:rsidR="0040529B" w:rsidRDefault="00E52693">
            <w:r>
              <w:rPr>
                <w:b/>
                <w:color w:val="1F4E79"/>
              </w:rPr>
              <w:t>Role Lens</w:t>
            </w:r>
          </w:p>
        </w:tc>
        <w:tc>
          <w:tcPr>
            <w:tcW w:w="8424" w:type="dxa"/>
            <w:tcMar>
              <w:top w:w="90" w:type="dxa"/>
              <w:left w:w="100" w:type="dxa"/>
              <w:bottom w:w="90" w:type="dxa"/>
              <w:right w:w="100" w:type="dxa"/>
            </w:tcMar>
          </w:tcPr>
          <w:p w14:paraId="1AA9B0BE" w14:textId="77777777" w:rsidR="0040529B" w:rsidRDefault="00E52693">
            <w:r>
              <w:t>National Strategic Alignment</w:t>
            </w:r>
          </w:p>
        </w:tc>
      </w:tr>
      <w:tr w:rsidR="0040529B" w14:paraId="2AC4E85E" w14:textId="77777777">
        <w:trPr>
          <w:cantSplit/>
          <w:jc w:val="center"/>
        </w:trPr>
        <w:tc>
          <w:tcPr>
            <w:tcW w:w="2160" w:type="dxa"/>
            <w:shd w:val="clear" w:color="auto" w:fill="D9EAF7"/>
            <w:tcMar>
              <w:top w:w="90" w:type="dxa"/>
              <w:left w:w="100" w:type="dxa"/>
              <w:bottom w:w="90" w:type="dxa"/>
              <w:right w:w="100" w:type="dxa"/>
            </w:tcMar>
          </w:tcPr>
          <w:p w14:paraId="1C9442FE" w14:textId="77777777" w:rsidR="0040529B" w:rsidRDefault="00E52693">
            <w:r>
              <w:rPr>
                <w:b/>
                <w:color w:val="1F4E79"/>
              </w:rPr>
              <w:t>Engagement Purpose</w:t>
            </w:r>
          </w:p>
        </w:tc>
        <w:tc>
          <w:tcPr>
            <w:tcW w:w="8424" w:type="dxa"/>
            <w:tcMar>
              <w:top w:w="90" w:type="dxa"/>
              <w:left w:w="100" w:type="dxa"/>
              <w:bottom w:w="90" w:type="dxa"/>
              <w:right w:w="100" w:type="dxa"/>
            </w:tcMar>
          </w:tcPr>
          <w:p w14:paraId="7EDACBAF" w14:textId="77777777" w:rsidR="0040529B" w:rsidRDefault="00E52693">
            <w:r>
              <w:t>Position the integrated proposition within the broader national cybersecurity context once CSM alignment is mature and internally coherent.</w:t>
            </w:r>
          </w:p>
        </w:tc>
      </w:tr>
      <w:tr w:rsidR="0040529B" w14:paraId="1C1DF315" w14:textId="77777777">
        <w:trPr>
          <w:cantSplit/>
          <w:jc w:val="center"/>
        </w:trPr>
        <w:tc>
          <w:tcPr>
            <w:tcW w:w="2160" w:type="dxa"/>
            <w:shd w:val="clear" w:color="auto" w:fill="D9EAF7"/>
            <w:tcMar>
              <w:top w:w="90" w:type="dxa"/>
              <w:left w:w="100" w:type="dxa"/>
              <w:bottom w:w="90" w:type="dxa"/>
              <w:right w:w="100" w:type="dxa"/>
            </w:tcMar>
          </w:tcPr>
          <w:p w14:paraId="5F133849" w14:textId="77777777" w:rsidR="0040529B" w:rsidRDefault="00E52693">
            <w:r>
              <w:rPr>
                <w:b/>
                <w:color w:val="1F4E79"/>
              </w:rPr>
              <w:t>Primary Ask</w:t>
            </w:r>
          </w:p>
        </w:tc>
        <w:tc>
          <w:tcPr>
            <w:tcW w:w="8424" w:type="dxa"/>
            <w:tcMar>
              <w:top w:w="90" w:type="dxa"/>
              <w:left w:w="100" w:type="dxa"/>
              <w:bottom w:w="90" w:type="dxa"/>
              <w:right w:w="100" w:type="dxa"/>
            </w:tcMar>
          </w:tcPr>
          <w:p w14:paraId="7F633610" w14:textId="77777777" w:rsidR="0040529B" w:rsidRDefault="00E52693">
            <w:r>
              <w:t>Seek strategic alignment on the sovereign capability direction and identify the appropriate form of NACSA engagement — acknowledgement, participation, policy alignment, evaluation pathway or other suitable mechanism.</w:t>
            </w:r>
          </w:p>
        </w:tc>
      </w:tr>
      <w:tr w:rsidR="0040529B" w14:paraId="5A1A0BBE" w14:textId="77777777">
        <w:trPr>
          <w:cantSplit/>
          <w:jc w:val="center"/>
        </w:trPr>
        <w:tc>
          <w:tcPr>
            <w:tcW w:w="2160" w:type="dxa"/>
            <w:shd w:val="clear" w:color="auto" w:fill="D9EAF7"/>
            <w:tcMar>
              <w:top w:w="90" w:type="dxa"/>
              <w:left w:w="100" w:type="dxa"/>
              <w:bottom w:w="90" w:type="dxa"/>
              <w:right w:w="100" w:type="dxa"/>
            </w:tcMar>
          </w:tcPr>
          <w:p w14:paraId="44033C6D" w14:textId="77777777" w:rsidR="0040529B" w:rsidRDefault="00E52693">
            <w:r>
              <w:rPr>
                <w:b/>
                <w:color w:val="1F4E79"/>
              </w:rPr>
              <w:t>Stakeholder Value</w:t>
            </w:r>
          </w:p>
        </w:tc>
        <w:tc>
          <w:tcPr>
            <w:tcW w:w="8424" w:type="dxa"/>
            <w:tcMar>
              <w:top w:w="90" w:type="dxa"/>
              <w:left w:w="100" w:type="dxa"/>
              <w:bottom w:w="90" w:type="dxa"/>
              <w:right w:w="100" w:type="dxa"/>
            </w:tcMar>
          </w:tcPr>
          <w:p w14:paraId="4B320C98" w14:textId="77777777" w:rsidR="0040529B" w:rsidRDefault="00E52693">
            <w:r>
              <w:t>Provides a pathway for the initiative to be understood in the context of national priorities without overreaching into a premature or transactional endorsement request.</w:t>
            </w:r>
          </w:p>
        </w:tc>
      </w:tr>
    </w:tbl>
    <w:p w14:paraId="344160C6" w14:textId="77777777" w:rsidR="0040529B" w:rsidRDefault="00E52693">
      <w:pPr>
        <w:pStyle w:val="Heading3"/>
      </w:pPr>
      <w:r>
        <w:t>Message Emphasis</w:t>
      </w:r>
    </w:p>
    <w:p w14:paraId="4B2A6339" w14:textId="77777777" w:rsidR="0040529B" w:rsidRDefault="00E52693">
      <w:pPr>
        <w:pStyle w:val="ListBullet"/>
      </w:pPr>
      <w:r>
        <w:t>The proposition should be presented as a Malaysian capability that has already progressed through partnership, commercial, media, technical and operational alignment.</w:t>
      </w:r>
    </w:p>
    <w:p w14:paraId="342D4CA3" w14:textId="77777777" w:rsidR="0040529B" w:rsidRDefault="00E52693">
      <w:pPr>
        <w:pStyle w:val="ListBullet"/>
      </w:pPr>
      <w:r>
        <w:t>The request is for strategic alignment and the appropriate national pathway, not a blanket product endorsement.</w:t>
      </w:r>
    </w:p>
    <w:p w14:paraId="48E1D544" w14:textId="77777777" w:rsidR="0040529B" w:rsidRDefault="00E52693">
      <w:pPr>
        <w:pStyle w:val="ListBullet"/>
      </w:pPr>
      <w:r>
        <w:t>The capability is designed around Malaysian requirements, Malaysian infrastructure and institutional collaboration.</w:t>
      </w:r>
    </w:p>
    <w:p w14:paraId="1ABF798E" w14:textId="77777777" w:rsidR="0040529B" w:rsidRDefault="00E52693">
      <w:pPr>
        <w:pStyle w:val="ListBullet"/>
      </w:pPr>
      <w:r>
        <w:t>CyberDSA is a visible milestone, but the intended outcome is durable sovereign capability development and deployment.</w:t>
      </w:r>
    </w:p>
    <w:p w14:paraId="3EA70CFC" w14:textId="77777777" w:rsidR="0040529B" w:rsidRDefault="00E52693">
      <w:r>
        <w:rPr>
          <w:b/>
          <w:color w:val="1F4E79"/>
        </w:rPr>
        <w:t xml:space="preserve">Required Close: </w:t>
      </w:r>
      <w:r>
        <w:t>Clarity on strategic fit, recommended NACSA engagement pathway and any conditions, evidence or follow-up required.</w:t>
      </w:r>
    </w:p>
    <w:p w14:paraId="29A9F591" w14:textId="77777777" w:rsidR="0040529B" w:rsidRDefault="00E52693">
      <w:r>
        <w:rPr>
          <w:b/>
          <w:color w:val="1F4E79"/>
        </w:rPr>
        <w:t xml:space="preserve">Follow-through: </w:t>
      </w:r>
      <w:r>
        <w:t>Document the guidance precisely and adapt subsequent positioning without overstating NACSA support.</w:t>
      </w:r>
    </w:p>
    <w:p w14:paraId="783E833B" w14:textId="77777777" w:rsidR="0040529B" w:rsidRDefault="00E52693">
      <w:pPr>
        <w:pStyle w:val="Heading1"/>
      </w:pPr>
      <w:r>
        <w:t>6. Engagement Narrative Framework</w:t>
      </w:r>
    </w:p>
    <w:p w14:paraId="113D5A2F" w14:textId="77777777" w:rsidR="0040529B" w:rsidRDefault="00E52693">
      <w:r>
        <w:t>Every stakeholder conversation should use the same strategic spine but emphasise a different institutional benefit. This prevents the initiative from becoming six separate narratives.</w:t>
      </w:r>
    </w:p>
    <w:p w14:paraId="79B97830" w14:textId="77777777" w:rsidR="0040529B" w:rsidRDefault="00E52693">
      <w:pPr>
        <w:pStyle w:val="Heading2"/>
      </w:pPr>
      <w:r>
        <w:t>6.1 Core Narrative Spine</w:t>
      </w:r>
    </w:p>
    <w:tbl>
      <w:tblPr>
        <w:tblW w:w="0" w:type="auto"/>
        <w:jc w:val="center"/>
        <w:tblBorders>
          <w:top w:val="single" w:sz="0" w:space="0" w:color="E2F0D9"/>
          <w:left w:val="single" w:sz="0" w:space="0" w:color="E2F0D9"/>
          <w:bottom w:val="single" w:sz="0" w:space="0" w:color="E2F0D9"/>
          <w:right w:val="single" w:sz="0" w:space="0" w:color="E2F0D9"/>
          <w:insideH w:val="single" w:sz="0" w:space="0" w:color="E2F0D9"/>
          <w:insideV w:val="single" w:sz="0" w:space="0" w:color="E2F0D9"/>
        </w:tblBorders>
        <w:tblLook w:val="04A0" w:firstRow="1" w:lastRow="0" w:firstColumn="1" w:lastColumn="0" w:noHBand="0" w:noVBand="1"/>
      </w:tblPr>
      <w:tblGrid>
        <w:gridCol w:w="10080"/>
      </w:tblGrid>
      <w:tr w:rsidR="0040529B" w14:paraId="7AC7356D" w14:textId="77777777">
        <w:trPr>
          <w:cantSplit/>
          <w:jc w:val="center"/>
        </w:trPr>
        <w:tc>
          <w:tcPr>
            <w:tcW w:w="10080" w:type="dxa"/>
            <w:shd w:val="clear" w:color="auto" w:fill="E2F0D9"/>
            <w:tcMar>
              <w:top w:w="140" w:type="dxa"/>
              <w:left w:w="160" w:type="dxa"/>
              <w:bottom w:w="140" w:type="dxa"/>
              <w:right w:w="160" w:type="dxa"/>
            </w:tcMar>
          </w:tcPr>
          <w:p w14:paraId="5B44D5B4" w14:textId="77777777" w:rsidR="0040529B" w:rsidRDefault="00E52693">
            <w:r>
              <w:rPr>
                <w:b/>
                <w:color w:val="1F4E79"/>
              </w:rPr>
              <w:t>Core Positioning</w:t>
            </w:r>
            <w:r>
              <w:br/>
            </w:r>
            <w:r>
              <w:t>Aras Integrasi and its ecosystem partners are demonstrating the capability to design, integrate and operationalise sovereign cybersecurity technology end-to-end — delivering national-grade, full-stack protection for Malaysia’s critical digital infrastructure.</w:t>
            </w:r>
          </w:p>
        </w:tc>
      </w:tr>
    </w:tbl>
    <w:p w14:paraId="47598B09" w14:textId="77777777" w:rsidR="0040529B" w:rsidRDefault="0040529B">
      <w:pPr>
        <w:spacing w:after="40"/>
      </w:pPr>
    </w:p>
    <w:p w14:paraId="5137BC73" w14:textId="77777777" w:rsidR="0040529B" w:rsidRDefault="00E52693">
      <w:pPr>
        <w:pStyle w:val="ListBullet"/>
      </w:pPr>
      <w:r>
        <w:t>National Story: Malaysia is building the capability to develop and operationalise critical cybersecurity technology around Malaysian requirements.</w:t>
      </w:r>
    </w:p>
    <w:p w14:paraId="62455BFF" w14:textId="77777777" w:rsidR="0040529B" w:rsidRDefault="00E52693">
      <w:pPr>
        <w:pStyle w:val="ListBullet"/>
      </w:pPr>
      <w:r>
        <w:t>Partnership Story: CSM × Aras demonstrates how institutional partnership can accelerate sovereign technology development and market activation.</w:t>
      </w:r>
    </w:p>
    <w:p w14:paraId="19E725C6" w14:textId="77777777" w:rsidR="0040529B" w:rsidRDefault="00E52693">
      <w:pPr>
        <w:pStyle w:val="ListBullet"/>
      </w:pPr>
      <w:r>
        <w:t>Capability Story: The differentiator is integration across governance, intelligence, AI-enabled security operations and emerging-technology security.</w:t>
      </w:r>
    </w:p>
    <w:p w14:paraId="53A0D221" w14:textId="77777777" w:rsidR="0040529B" w:rsidRDefault="00E52693">
      <w:pPr>
        <w:pStyle w:val="ListBullet"/>
      </w:pPr>
      <w:r>
        <w:t>Commercial Story: The partnership should create deployable solutions, qualified opportunities and a repeatable route to market.</w:t>
      </w:r>
    </w:p>
    <w:p w14:paraId="5BAA147A" w14:textId="77777777" w:rsidR="0040529B" w:rsidRDefault="00E52693">
      <w:pPr>
        <w:pStyle w:val="ListBullet"/>
      </w:pPr>
      <w:r>
        <w:t>Proof Story: Individual products are evidence of the capability stack, not the entire story.</w:t>
      </w:r>
    </w:p>
    <w:p w14:paraId="26E07A04" w14:textId="77777777" w:rsidR="0040529B" w:rsidRDefault="00E52693">
      <w:pPr>
        <w:pStyle w:val="Heading2"/>
      </w:pPr>
      <w:r>
        <w:t>6.2 Stakeholder-Specific Framing</w:t>
      </w:r>
    </w:p>
    <w:tbl>
      <w:tblPr>
        <w:tblW w:w="0" w:type="auto"/>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val="04A0" w:firstRow="1" w:lastRow="0" w:firstColumn="1" w:lastColumn="0" w:noHBand="0" w:noVBand="1"/>
      </w:tblPr>
      <w:tblGrid>
        <w:gridCol w:w="2016"/>
        <w:gridCol w:w="8496"/>
      </w:tblGrid>
      <w:tr w:rsidR="0040529B" w14:paraId="72294822" w14:textId="77777777">
        <w:trPr>
          <w:cantSplit/>
          <w:jc w:val="center"/>
        </w:trPr>
        <w:tc>
          <w:tcPr>
            <w:tcW w:w="2016" w:type="dxa"/>
            <w:shd w:val="clear" w:color="auto" w:fill="17365D"/>
            <w:tcMar>
              <w:top w:w="90" w:type="dxa"/>
              <w:left w:w="100" w:type="dxa"/>
              <w:bottom w:w="90" w:type="dxa"/>
              <w:right w:w="100" w:type="dxa"/>
            </w:tcMar>
          </w:tcPr>
          <w:p w14:paraId="0CB5C24C" w14:textId="77777777" w:rsidR="0040529B" w:rsidRDefault="00E52693">
            <w:r>
              <w:rPr>
                <w:b/>
                <w:color w:val="FFFFFF"/>
              </w:rPr>
              <w:t>Stakeholder</w:t>
            </w:r>
          </w:p>
        </w:tc>
        <w:tc>
          <w:tcPr>
            <w:tcW w:w="8496" w:type="dxa"/>
            <w:shd w:val="clear" w:color="auto" w:fill="17365D"/>
            <w:tcMar>
              <w:top w:w="90" w:type="dxa"/>
              <w:left w:w="100" w:type="dxa"/>
              <w:bottom w:w="90" w:type="dxa"/>
              <w:right w:w="100" w:type="dxa"/>
            </w:tcMar>
          </w:tcPr>
          <w:p w14:paraId="33EBA518" w14:textId="77777777" w:rsidR="0040529B" w:rsidRDefault="00E52693">
            <w:r>
              <w:rPr>
                <w:b/>
                <w:color w:val="FFFFFF"/>
              </w:rPr>
              <w:t>Core Framing</w:t>
            </w:r>
          </w:p>
        </w:tc>
      </w:tr>
      <w:tr w:rsidR="0040529B" w14:paraId="72863B2E" w14:textId="77777777">
        <w:trPr>
          <w:cantSplit/>
          <w:jc w:val="center"/>
        </w:trPr>
        <w:tc>
          <w:tcPr>
            <w:tcW w:w="2016" w:type="dxa"/>
            <w:tcMar>
              <w:top w:w="90" w:type="dxa"/>
              <w:left w:w="100" w:type="dxa"/>
              <w:bottom w:w="90" w:type="dxa"/>
              <w:right w:w="100" w:type="dxa"/>
            </w:tcMar>
          </w:tcPr>
          <w:p w14:paraId="34C125F5" w14:textId="77777777" w:rsidR="0040529B" w:rsidRDefault="00E52693">
            <w:r>
              <w:t>Azrul</w:t>
            </w:r>
          </w:p>
        </w:tc>
        <w:tc>
          <w:tcPr>
            <w:tcW w:w="8496" w:type="dxa"/>
            <w:tcMar>
              <w:top w:w="90" w:type="dxa"/>
              <w:left w:w="100" w:type="dxa"/>
              <w:bottom w:w="90" w:type="dxa"/>
              <w:right w:w="100" w:type="dxa"/>
            </w:tcMar>
          </w:tcPr>
          <w:p w14:paraId="70D9E72A" w14:textId="77777777" w:rsidR="0040529B" w:rsidRDefault="00E52693">
            <w:r>
              <w:t>“This is a partnership outcome we can jointly demonstrate.”</w:t>
            </w:r>
          </w:p>
        </w:tc>
      </w:tr>
      <w:tr w:rsidR="0040529B" w14:paraId="2865188D" w14:textId="77777777">
        <w:trPr>
          <w:cantSplit/>
          <w:jc w:val="center"/>
        </w:trPr>
        <w:tc>
          <w:tcPr>
            <w:tcW w:w="2016" w:type="dxa"/>
            <w:tcMar>
              <w:top w:w="90" w:type="dxa"/>
              <w:left w:w="100" w:type="dxa"/>
              <w:bottom w:w="90" w:type="dxa"/>
              <w:right w:w="100" w:type="dxa"/>
            </w:tcMar>
          </w:tcPr>
          <w:p w14:paraId="22993665" w14:textId="77777777" w:rsidR="0040529B" w:rsidRDefault="00E52693">
            <w:r>
              <w:t>Zulfikar</w:t>
            </w:r>
          </w:p>
        </w:tc>
        <w:tc>
          <w:tcPr>
            <w:tcW w:w="8496" w:type="dxa"/>
            <w:tcMar>
              <w:top w:w="90" w:type="dxa"/>
              <w:left w:w="100" w:type="dxa"/>
              <w:bottom w:w="90" w:type="dxa"/>
              <w:right w:w="100" w:type="dxa"/>
            </w:tcMar>
          </w:tcPr>
          <w:p w14:paraId="6AC87CB5" w14:textId="77777777" w:rsidR="0040529B" w:rsidRDefault="00E52693">
            <w:r>
              <w:t>“This needs to convert into qualified market activity and revenue opportunity.”</w:t>
            </w:r>
          </w:p>
        </w:tc>
      </w:tr>
      <w:tr w:rsidR="0040529B" w14:paraId="0B385ADF" w14:textId="77777777">
        <w:trPr>
          <w:cantSplit/>
          <w:jc w:val="center"/>
        </w:trPr>
        <w:tc>
          <w:tcPr>
            <w:tcW w:w="2016" w:type="dxa"/>
            <w:tcMar>
              <w:top w:w="90" w:type="dxa"/>
              <w:left w:w="100" w:type="dxa"/>
              <w:bottom w:w="90" w:type="dxa"/>
              <w:right w:w="100" w:type="dxa"/>
            </w:tcMar>
          </w:tcPr>
          <w:p w14:paraId="496BA92C" w14:textId="77777777" w:rsidR="0040529B" w:rsidRDefault="00E52693">
            <w:r>
              <w:t>Bala</w:t>
            </w:r>
          </w:p>
        </w:tc>
        <w:tc>
          <w:tcPr>
            <w:tcW w:w="8496" w:type="dxa"/>
            <w:tcMar>
              <w:top w:w="90" w:type="dxa"/>
              <w:left w:w="100" w:type="dxa"/>
              <w:bottom w:w="90" w:type="dxa"/>
              <w:right w:w="100" w:type="dxa"/>
            </w:tcMar>
          </w:tcPr>
          <w:p w14:paraId="4245CF8E" w14:textId="77777777" w:rsidR="0040529B" w:rsidRDefault="00E52693">
            <w:r>
              <w:t>“This is a national capability story that can be made visible and credible.”</w:t>
            </w:r>
          </w:p>
        </w:tc>
      </w:tr>
      <w:tr w:rsidR="0040529B" w14:paraId="5DB5FB2A" w14:textId="77777777">
        <w:trPr>
          <w:cantSplit/>
          <w:jc w:val="center"/>
        </w:trPr>
        <w:tc>
          <w:tcPr>
            <w:tcW w:w="2016" w:type="dxa"/>
            <w:tcMar>
              <w:top w:w="90" w:type="dxa"/>
              <w:left w:w="100" w:type="dxa"/>
              <w:bottom w:w="90" w:type="dxa"/>
              <w:right w:w="100" w:type="dxa"/>
            </w:tcMar>
          </w:tcPr>
          <w:p w14:paraId="0C02E027" w14:textId="77777777" w:rsidR="0040529B" w:rsidRDefault="00E52693">
            <w:r>
              <w:t>Wan Roshaimi</w:t>
            </w:r>
          </w:p>
        </w:tc>
        <w:tc>
          <w:tcPr>
            <w:tcW w:w="8496" w:type="dxa"/>
            <w:tcMar>
              <w:top w:w="90" w:type="dxa"/>
              <w:left w:w="100" w:type="dxa"/>
              <w:bottom w:w="90" w:type="dxa"/>
              <w:right w:w="100" w:type="dxa"/>
            </w:tcMar>
          </w:tcPr>
          <w:p w14:paraId="655DE20D" w14:textId="77777777" w:rsidR="0040529B" w:rsidRDefault="00E52693">
            <w:r>
              <w:t>“This must be technically defensible, governable and integration-ready.”</w:t>
            </w:r>
          </w:p>
        </w:tc>
      </w:tr>
      <w:tr w:rsidR="0040529B" w14:paraId="1A85642D" w14:textId="77777777">
        <w:trPr>
          <w:cantSplit/>
          <w:jc w:val="center"/>
        </w:trPr>
        <w:tc>
          <w:tcPr>
            <w:tcW w:w="2016" w:type="dxa"/>
            <w:tcMar>
              <w:top w:w="90" w:type="dxa"/>
              <w:left w:w="100" w:type="dxa"/>
              <w:bottom w:w="90" w:type="dxa"/>
              <w:right w:w="100" w:type="dxa"/>
            </w:tcMar>
          </w:tcPr>
          <w:p w14:paraId="2971706C" w14:textId="77777777" w:rsidR="0040529B" w:rsidRDefault="00E52693">
            <w:r>
              <w:t>Zaharudin</w:t>
            </w:r>
          </w:p>
        </w:tc>
        <w:tc>
          <w:tcPr>
            <w:tcW w:w="8496" w:type="dxa"/>
            <w:tcMar>
              <w:top w:w="90" w:type="dxa"/>
              <w:left w:w="100" w:type="dxa"/>
              <w:bottom w:w="90" w:type="dxa"/>
              <w:right w:w="100" w:type="dxa"/>
            </w:tcMar>
          </w:tcPr>
          <w:p w14:paraId="7FF2A3DD" w14:textId="77777777" w:rsidR="0040529B" w:rsidRDefault="00E52693">
            <w:r>
              <w:t>“This must be easy to coordinate and execute without unnecessary friction.”</w:t>
            </w:r>
          </w:p>
        </w:tc>
      </w:tr>
      <w:tr w:rsidR="0040529B" w14:paraId="4C4C60AD" w14:textId="77777777">
        <w:trPr>
          <w:cantSplit/>
          <w:jc w:val="center"/>
        </w:trPr>
        <w:tc>
          <w:tcPr>
            <w:tcW w:w="2016" w:type="dxa"/>
            <w:tcMar>
              <w:top w:w="90" w:type="dxa"/>
              <w:left w:w="100" w:type="dxa"/>
              <w:bottom w:w="90" w:type="dxa"/>
              <w:right w:w="100" w:type="dxa"/>
            </w:tcMar>
          </w:tcPr>
          <w:p w14:paraId="0A60D4D0" w14:textId="77777777" w:rsidR="0040529B" w:rsidRDefault="00E52693">
            <w:r>
              <w:t>Dr. Megat</w:t>
            </w:r>
          </w:p>
        </w:tc>
        <w:tc>
          <w:tcPr>
            <w:tcW w:w="8496" w:type="dxa"/>
            <w:tcMar>
              <w:top w:w="90" w:type="dxa"/>
              <w:left w:w="100" w:type="dxa"/>
              <w:bottom w:w="90" w:type="dxa"/>
              <w:right w:w="100" w:type="dxa"/>
            </w:tcMar>
          </w:tcPr>
          <w:p w14:paraId="3FD0E776" w14:textId="77777777" w:rsidR="0040529B" w:rsidRDefault="00E52693">
            <w:r>
              <w:t>“This is a maturing sovereign capability seeking the right national strategic alignment.”</w:t>
            </w:r>
          </w:p>
        </w:tc>
      </w:tr>
    </w:tbl>
    <w:p w14:paraId="29259947" w14:textId="77777777" w:rsidR="0040529B" w:rsidRDefault="00E52693">
      <w:pPr>
        <w:pStyle w:val="Heading1"/>
      </w:pPr>
      <w:r>
        <w:t>7. Engagement Meeting Design</w:t>
      </w:r>
    </w:p>
    <w:p w14:paraId="2275F6C3" w14:textId="77777777" w:rsidR="0040529B" w:rsidRDefault="00E52693">
      <w:r>
        <w:t>The objective of each meeting is to create a decision, not merely awareness. A compact 30–45 minute format is sufficient when pre-reads and asks are clear.</w:t>
      </w:r>
    </w:p>
    <w:tbl>
      <w:tblPr>
        <w:tblW w:w="0" w:type="auto"/>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val="04A0" w:firstRow="1" w:lastRow="0" w:firstColumn="1" w:lastColumn="0" w:noHBand="0" w:noVBand="1"/>
      </w:tblPr>
      <w:tblGrid>
        <w:gridCol w:w="1440"/>
        <w:gridCol w:w="2232"/>
        <w:gridCol w:w="6840"/>
      </w:tblGrid>
      <w:tr w:rsidR="0040529B" w14:paraId="77BFBDB0" w14:textId="77777777">
        <w:trPr>
          <w:cantSplit/>
          <w:jc w:val="center"/>
        </w:trPr>
        <w:tc>
          <w:tcPr>
            <w:tcW w:w="1440" w:type="dxa"/>
            <w:shd w:val="clear" w:color="auto" w:fill="1F4E79"/>
            <w:tcMar>
              <w:top w:w="90" w:type="dxa"/>
              <w:left w:w="100" w:type="dxa"/>
              <w:bottom w:w="90" w:type="dxa"/>
              <w:right w:w="100" w:type="dxa"/>
            </w:tcMar>
          </w:tcPr>
          <w:p w14:paraId="228852A2" w14:textId="77777777" w:rsidR="0040529B" w:rsidRDefault="00E52693">
            <w:r>
              <w:rPr>
                <w:b/>
                <w:color w:val="FFFFFF"/>
              </w:rPr>
              <w:t>Time</w:t>
            </w:r>
          </w:p>
        </w:tc>
        <w:tc>
          <w:tcPr>
            <w:tcW w:w="2232" w:type="dxa"/>
            <w:shd w:val="clear" w:color="auto" w:fill="1F4E79"/>
            <w:tcMar>
              <w:top w:w="90" w:type="dxa"/>
              <w:left w:w="100" w:type="dxa"/>
              <w:bottom w:w="90" w:type="dxa"/>
              <w:right w:w="100" w:type="dxa"/>
            </w:tcMar>
          </w:tcPr>
          <w:p w14:paraId="62D6E8BE" w14:textId="77777777" w:rsidR="0040529B" w:rsidRDefault="00E52693">
            <w:r>
              <w:rPr>
                <w:b/>
                <w:color w:val="FFFFFF"/>
              </w:rPr>
              <w:t>Phase</w:t>
            </w:r>
          </w:p>
        </w:tc>
        <w:tc>
          <w:tcPr>
            <w:tcW w:w="6840" w:type="dxa"/>
            <w:shd w:val="clear" w:color="auto" w:fill="1F4E79"/>
            <w:tcMar>
              <w:top w:w="90" w:type="dxa"/>
              <w:left w:w="100" w:type="dxa"/>
              <w:bottom w:w="90" w:type="dxa"/>
              <w:right w:w="100" w:type="dxa"/>
            </w:tcMar>
          </w:tcPr>
          <w:p w14:paraId="69AB9D55" w14:textId="77777777" w:rsidR="0040529B" w:rsidRDefault="00E52693">
            <w:r>
              <w:rPr>
                <w:b/>
                <w:color w:val="FFFFFF"/>
              </w:rPr>
              <w:t>Purpose</w:t>
            </w:r>
          </w:p>
        </w:tc>
      </w:tr>
      <w:tr w:rsidR="0040529B" w14:paraId="6B593F83" w14:textId="77777777">
        <w:trPr>
          <w:cantSplit/>
          <w:jc w:val="center"/>
        </w:trPr>
        <w:tc>
          <w:tcPr>
            <w:tcW w:w="1440" w:type="dxa"/>
            <w:tcMar>
              <w:top w:w="90" w:type="dxa"/>
              <w:left w:w="100" w:type="dxa"/>
              <w:bottom w:w="90" w:type="dxa"/>
              <w:right w:w="100" w:type="dxa"/>
            </w:tcMar>
          </w:tcPr>
          <w:p w14:paraId="11DCF3CA" w14:textId="77777777" w:rsidR="0040529B" w:rsidRDefault="00E52693">
            <w:r>
              <w:t>0–5 min</w:t>
            </w:r>
          </w:p>
        </w:tc>
        <w:tc>
          <w:tcPr>
            <w:tcW w:w="2232" w:type="dxa"/>
            <w:tcMar>
              <w:top w:w="90" w:type="dxa"/>
              <w:left w:w="100" w:type="dxa"/>
              <w:bottom w:w="90" w:type="dxa"/>
              <w:right w:w="100" w:type="dxa"/>
            </w:tcMar>
          </w:tcPr>
          <w:p w14:paraId="6481409B" w14:textId="77777777" w:rsidR="0040529B" w:rsidRDefault="00E52693">
            <w:r>
              <w:t>Context</w:t>
            </w:r>
          </w:p>
        </w:tc>
        <w:tc>
          <w:tcPr>
            <w:tcW w:w="6840" w:type="dxa"/>
            <w:tcMar>
              <w:top w:w="90" w:type="dxa"/>
              <w:left w:w="100" w:type="dxa"/>
              <w:bottom w:w="90" w:type="dxa"/>
              <w:right w:w="100" w:type="dxa"/>
            </w:tcMar>
          </w:tcPr>
          <w:p w14:paraId="4D986B4D" w14:textId="77777777" w:rsidR="0040529B" w:rsidRDefault="00E52693">
            <w:r>
              <w:t>Why CyberDSA matters and why this stakeholder is important to the outcome.</w:t>
            </w:r>
          </w:p>
        </w:tc>
      </w:tr>
      <w:tr w:rsidR="0040529B" w14:paraId="4C708646" w14:textId="77777777">
        <w:trPr>
          <w:cantSplit/>
          <w:jc w:val="center"/>
        </w:trPr>
        <w:tc>
          <w:tcPr>
            <w:tcW w:w="1440" w:type="dxa"/>
            <w:tcMar>
              <w:top w:w="90" w:type="dxa"/>
              <w:left w:w="100" w:type="dxa"/>
              <w:bottom w:w="90" w:type="dxa"/>
              <w:right w:w="100" w:type="dxa"/>
            </w:tcMar>
          </w:tcPr>
          <w:p w14:paraId="59E67CEC" w14:textId="77777777" w:rsidR="0040529B" w:rsidRDefault="00E52693">
            <w:r>
              <w:t>5–12 min</w:t>
            </w:r>
          </w:p>
        </w:tc>
        <w:tc>
          <w:tcPr>
            <w:tcW w:w="2232" w:type="dxa"/>
            <w:tcMar>
              <w:top w:w="90" w:type="dxa"/>
              <w:left w:w="100" w:type="dxa"/>
              <w:bottom w:w="90" w:type="dxa"/>
              <w:right w:w="100" w:type="dxa"/>
            </w:tcMar>
          </w:tcPr>
          <w:p w14:paraId="7A535EFE" w14:textId="77777777" w:rsidR="0040529B" w:rsidRDefault="00E52693">
            <w:r>
              <w:t>Strategic Narrative</w:t>
            </w:r>
          </w:p>
        </w:tc>
        <w:tc>
          <w:tcPr>
            <w:tcW w:w="6840" w:type="dxa"/>
            <w:tcMar>
              <w:top w:w="90" w:type="dxa"/>
              <w:left w:w="100" w:type="dxa"/>
              <w:bottom w:w="90" w:type="dxa"/>
              <w:right w:w="100" w:type="dxa"/>
            </w:tcMar>
          </w:tcPr>
          <w:p w14:paraId="6B7040BD" w14:textId="77777777" w:rsidR="0040529B" w:rsidRDefault="00E52693">
            <w:r>
              <w:t>Present the integrated sovereign capability story in the stakeholder’s own institutional lens.</w:t>
            </w:r>
          </w:p>
        </w:tc>
      </w:tr>
      <w:tr w:rsidR="0040529B" w14:paraId="7F321A68" w14:textId="77777777">
        <w:trPr>
          <w:cantSplit/>
          <w:jc w:val="center"/>
        </w:trPr>
        <w:tc>
          <w:tcPr>
            <w:tcW w:w="1440" w:type="dxa"/>
            <w:tcMar>
              <w:top w:w="90" w:type="dxa"/>
              <w:left w:w="100" w:type="dxa"/>
              <w:bottom w:w="90" w:type="dxa"/>
              <w:right w:w="100" w:type="dxa"/>
            </w:tcMar>
          </w:tcPr>
          <w:p w14:paraId="13DC0FC3" w14:textId="77777777" w:rsidR="0040529B" w:rsidRDefault="00E52693">
            <w:r>
              <w:t>12–25 min</w:t>
            </w:r>
          </w:p>
        </w:tc>
        <w:tc>
          <w:tcPr>
            <w:tcW w:w="2232" w:type="dxa"/>
            <w:tcMar>
              <w:top w:w="90" w:type="dxa"/>
              <w:left w:w="100" w:type="dxa"/>
              <w:bottom w:w="90" w:type="dxa"/>
              <w:right w:w="100" w:type="dxa"/>
            </w:tcMar>
          </w:tcPr>
          <w:p w14:paraId="7C5567A1" w14:textId="77777777" w:rsidR="0040529B" w:rsidRDefault="00E52693">
            <w:r>
              <w:t>Stakeholder-Specific Discussion</w:t>
            </w:r>
          </w:p>
        </w:tc>
        <w:tc>
          <w:tcPr>
            <w:tcW w:w="6840" w:type="dxa"/>
            <w:tcMar>
              <w:top w:w="90" w:type="dxa"/>
              <w:left w:w="100" w:type="dxa"/>
              <w:bottom w:w="90" w:type="dxa"/>
              <w:right w:w="100" w:type="dxa"/>
            </w:tcMar>
          </w:tcPr>
          <w:p w14:paraId="737589BD" w14:textId="77777777" w:rsidR="0040529B" w:rsidRDefault="00E52693">
            <w:r>
              <w:t>Address the stakeholder’s domain: partnership, commercial, media, technology, operations or national alignment.</w:t>
            </w:r>
          </w:p>
        </w:tc>
      </w:tr>
      <w:tr w:rsidR="0040529B" w14:paraId="14E309C4" w14:textId="77777777">
        <w:trPr>
          <w:cantSplit/>
          <w:jc w:val="center"/>
        </w:trPr>
        <w:tc>
          <w:tcPr>
            <w:tcW w:w="1440" w:type="dxa"/>
            <w:tcMar>
              <w:top w:w="90" w:type="dxa"/>
              <w:left w:w="100" w:type="dxa"/>
              <w:bottom w:w="90" w:type="dxa"/>
              <w:right w:w="100" w:type="dxa"/>
            </w:tcMar>
          </w:tcPr>
          <w:p w14:paraId="402C06A3" w14:textId="77777777" w:rsidR="0040529B" w:rsidRDefault="00E52693">
            <w:r>
              <w:t>25–35 min</w:t>
            </w:r>
          </w:p>
        </w:tc>
        <w:tc>
          <w:tcPr>
            <w:tcW w:w="2232" w:type="dxa"/>
            <w:tcMar>
              <w:top w:w="90" w:type="dxa"/>
              <w:left w:w="100" w:type="dxa"/>
              <w:bottom w:w="90" w:type="dxa"/>
              <w:right w:w="100" w:type="dxa"/>
            </w:tcMar>
          </w:tcPr>
          <w:p w14:paraId="7407629E" w14:textId="77777777" w:rsidR="0040529B" w:rsidRDefault="00E52693">
            <w:r>
              <w:t>Primary Ask</w:t>
            </w:r>
          </w:p>
        </w:tc>
        <w:tc>
          <w:tcPr>
            <w:tcW w:w="6840" w:type="dxa"/>
            <w:tcMar>
              <w:top w:w="90" w:type="dxa"/>
              <w:left w:w="100" w:type="dxa"/>
              <w:bottom w:w="90" w:type="dxa"/>
              <w:right w:w="100" w:type="dxa"/>
            </w:tcMar>
          </w:tcPr>
          <w:p w14:paraId="5A5F4B92" w14:textId="77777777" w:rsidR="0040529B" w:rsidRDefault="00E52693">
            <w:r>
              <w:t>Put the requested commitment clearly on the table.</w:t>
            </w:r>
          </w:p>
        </w:tc>
      </w:tr>
      <w:tr w:rsidR="0040529B" w14:paraId="41FE309E" w14:textId="77777777">
        <w:trPr>
          <w:cantSplit/>
          <w:jc w:val="center"/>
        </w:trPr>
        <w:tc>
          <w:tcPr>
            <w:tcW w:w="1440" w:type="dxa"/>
            <w:tcMar>
              <w:top w:w="90" w:type="dxa"/>
              <w:left w:w="100" w:type="dxa"/>
              <w:bottom w:w="90" w:type="dxa"/>
              <w:right w:w="100" w:type="dxa"/>
            </w:tcMar>
          </w:tcPr>
          <w:p w14:paraId="64FA62FE" w14:textId="77777777" w:rsidR="0040529B" w:rsidRDefault="00E52693">
            <w:r>
              <w:t>35–45 min</w:t>
            </w:r>
          </w:p>
        </w:tc>
        <w:tc>
          <w:tcPr>
            <w:tcW w:w="2232" w:type="dxa"/>
            <w:tcMar>
              <w:top w:w="90" w:type="dxa"/>
              <w:left w:w="100" w:type="dxa"/>
              <w:bottom w:w="90" w:type="dxa"/>
              <w:right w:w="100" w:type="dxa"/>
            </w:tcMar>
          </w:tcPr>
          <w:p w14:paraId="74B48C5A" w14:textId="77777777" w:rsidR="0040529B" w:rsidRDefault="00E52693">
            <w:r>
              <w:t>Close &amp; Ownership</w:t>
            </w:r>
          </w:p>
        </w:tc>
        <w:tc>
          <w:tcPr>
            <w:tcW w:w="6840" w:type="dxa"/>
            <w:tcMar>
              <w:top w:w="90" w:type="dxa"/>
              <w:left w:w="100" w:type="dxa"/>
              <w:bottom w:w="90" w:type="dxa"/>
              <w:right w:w="100" w:type="dxa"/>
            </w:tcMar>
          </w:tcPr>
          <w:p w14:paraId="4D794FFB" w14:textId="77777777" w:rsidR="0040529B" w:rsidRDefault="00E52693">
            <w:r>
              <w:t>Confirm decision, next action, owner, due date and follow-up mechanism.</w:t>
            </w:r>
          </w:p>
        </w:tc>
      </w:tr>
    </w:tbl>
    <w:p w14:paraId="4F9BEE78" w14:textId="77777777" w:rsidR="0040529B" w:rsidRDefault="00E52693">
      <w:pPr>
        <w:pStyle w:val="Heading2"/>
      </w:pPr>
      <w:r>
        <w:t>7.1 Pre-Read Standard</w:t>
      </w:r>
    </w:p>
    <w:p w14:paraId="2C185FF7" w14:textId="77777777" w:rsidR="0040529B" w:rsidRDefault="00E52693">
      <w:pPr>
        <w:pStyle w:val="ListBullet"/>
      </w:pPr>
      <w:r>
        <w:t>Maximum two pages for senior stakeholders.</w:t>
      </w:r>
    </w:p>
    <w:p w14:paraId="3E264F90" w14:textId="77777777" w:rsidR="0040529B" w:rsidRDefault="00E52693">
      <w:pPr>
        <w:pStyle w:val="ListBullet"/>
      </w:pPr>
      <w:r>
        <w:t>Page 1: outcome, narrative and why the stakeholder matters.</w:t>
      </w:r>
    </w:p>
    <w:p w14:paraId="5EC71011" w14:textId="77777777" w:rsidR="0040529B" w:rsidRDefault="00E52693">
      <w:pPr>
        <w:pStyle w:val="ListBullet"/>
      </w:pPr>
      <w:r>
        <w:t>Page 2: specific ask, decisions required, immediate next steps.</w:t>
      </w:r>
    </w:p>
    <w:p w14:paraId="15C04454" w14:textId="77777777" w:rsidR="0040529B" w:rsidRDefault="00E52693">
      <w:pPr>
        <w:pStyle w:val="ListBullet"/>
      </w:pPr>
      <w:r>
        <w:t>Do not send product-heavy technical material unless specifically required by the stakeholder.</w:t>
      </w:r>
    </w:p>
    <w:p w14:paraId="0C0A106D" w14:textId="77777777" w:rsidR="0040529B" w:rsidRDefault="00E52693">
      <w:pPr>
        <w:pStyle w:val="Heading2"/>
      </w:pPr>
      <w:r>
        <w:t>7.2 Meeting Close Discipline</w:t>
      </w:r>
    </w:p>
    <w:p w14:paraId="7924EB21" w14:textId="77777777" w:rsidR="0040529B" w:rsidRDefault="00E52693">
      <w:pPr>
        <w:pStyle w:val="ListBullet"/>
      </w:pPr>
      <w:r>
        <w:t>Restate the agreed decision in one sentence.</w:t>
      </w:r>
    </w:p>
    <w:p w14:paraId="185D4069" w14:textId="77777777" w:rsidR="0040529B" w:rsidRDefault="00E52693">
      <w:pPr>
        <w:pStyle w:val="ListBullet"/>
      </w:pPr>
      <w:r>
        <w:t>Name the owner for the next action.</w:t>
      </w:r>
    </w:p>
    <w:p w14:paraId="4C7CB384" w14:textId="77777777" w:rsidR="0040529B" w:rsidRDefault="00E52693">
      <w:pPr>
        <w:pStyle w:val="ListBullet"/>
      </w:pPr>
      <w:r>
        <w:t>Set a concrete follow-up point.</w:t>
      </w:r>
    </w:p>
    <w:p w14:paraId="66FFB1B5" w14:textId="77777777" w:rsidR="0040529B" w:rsidRDefault="00E52693">
      <w:pPr>
        <w:pStyle w:val="ListBullet"/>
      </w:pPr>
      <w:r>
        <w:t>Capture any concern or condition as an action item, not an unresolved discussion point.</w:t>
      </w:r>
    </w:p>
    <w:p w14:paraId="7A515606" w14:textId="77777777" w:rsidR="0040529B" w:rsidRDefault="00E52693">
      <w:pPr>
        <w:pStyle w:val="ListBullet"/>
      </w:pPr>
      <w:r>
        <w:t>Send written confirmation while the conversation is still fresh.</w:t>
      </w:r>
    </w:p>
    <w:p w14:paraId="1D5E2C40" w14:textId="77777777" w:rsidR="0040529B" w:rsidRDefault="00E52693">
      <w:pPr>
        <w:pStyle w:val="Heading1"/>
      </w:pPr>
      <w:r>
        <w:t>8. Activation Plan to CyberDSA</w:t>
      </w:r>
    </w:p>
    <w:p w14:paraId="40D467B2" w14:textId="77777777" w:rsidR="0040529B" w:rsidRDefault="00E52693">
      <w:r>
        <w:t>The following sequence is designed for immediate execution from 19 August 2026. Dates can be compressed as required, but the dependency order should be preserved.</w:t>
      </w:r>
    </w:p>
    <w:tbl>
      <w:tblPr>
        <w:tblW w:w="0" w:type="auto"/>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val="04A0" w:firstRow="1" w:lastRow="0" w:firstColumn="1" w:lastColumn="0" w:noHBand="0" w:noVBand="1"/>
      </w:tblPr>
      <w:tblGrid>
        <w:gridCol w:w="2088"/>
        <w:gridCol w:w="1800"/>
        <w:gridCol w:w="1512"/>
        <w:gridCol w:w="3960"/>
        <w:gridCol w:w="2232"/>
      </w:tblGrid>
      <w:tr w:rsidR="0040529B" w14:paraId="7C51545E" w14:textId="77777777">
        <w:trPr>
          <w:cantSplit/>
          <w:jc w:val="center"/>
        </w:trPr>
        <w:tc>
          <w:tcPr>
            <w:tcW w:w="2088" w:type="dxa"/>
            <w:shd w:val="clear" w:color="auto" w:fill="17365D"/>
            <w:tcMar>
              <w:top w:w="90" w:type="dxa"/>
              <w:left w:w="100" w:type="dxa"/>
              <w:bottom w:w="90" w:type="dxa"/>
              <w:right w:w="100" w:type="dxa"/>
            </w:tcMar>
          </w:tcPr>
          <w:p w14:paraId="2F9AE657" w14:textId="77777777" w:rsidR="0040529B" w:rsidRDefault="00E52693">
            <w:r>
              <w:rPr>
                <w:b/>
                <w:color w:val="FFFFFF"/>
                <w:sz w:val="17"/>
              </w:rPr>
              <w:t>Wave</w:t>
            </w:r>
          </w:p>
        </w:tc>
        <w:tc>
          <w:tcPr>
            <w:tcW w:w="1800" w:type="dxa"/>
            <w:shd w:val="clear" w:color="auto" w:fill="17365D"/>
            <w:tcMar>
              <w:top w:w="90" w:type="dxa"/>
              <w:left w:w="100" w:type="dxa"/>
              <w:bottom w:w="90" w:type="dxa"/>
              <w:right w:w="100" w:type="dxa"/>
            </w:tcMar>
          </w:tcPr>
          <w:p w14:paraId="648366CE" w14:textId="77777777" w:rsidR="0040529B" w:rsidRDefault="00E52693">
            <w:r>
              <w:rPr>
                <w:b/>
                <w:color w:val="FFFFFF"/>
                <w:sz w:val="17"/>
              </w:rPr>
              <w:t>Window</w:t>
            </w:r>
          </w:p>
        </w:tc>
        <w:tc>
          <w:tcPr>
            <w:tcW w:w="1512" w:type="dxa"/>
            <w:shd w:val="clear" w:color="auto" w:fill="17365D"/>
            <w:tcMar>
              <w:top w:w="90" w:type="dxa"/>
              <w:left w:w="100" w:type="dxa"/>
              <w:bottom w:w="90" w:type="dxa"/>
              <w:right w:w="100" w:type="dxa"/>
            </w:tcMar>
          </w:tcPr>
          <w:p w14:paraId="200BC674" w14:textId="77777777" w:rsidR="0040529B" w:rsidRDefault="00E52693">
            <w:r>
              <w:rPr>
                <w:b/>
                <w:color w:val="FFFFFF"/>
                <w:sz w:val="17"/>
              </w:rPr>
              <w:t>Lead</w:t>
            </w:r>
          </w:p>
        </w:tc>
        <w:tc>
          <w:tcPr>
            <w:tcW w:w="3960" w:type="dxa"/>
            <w:shd w:val="clear" w:color="auto" w:fill="17365D"/>
            <w:tcMar>
              <w:top w:w="90" w:type="dxa"/>
              <w:left w:w="100" w:type="dxa"/>
              <w:bottom w:w="90" w:type="dxa"/>
              <w:right w:w="100" w:type="dxa"/>
            </w:tcMar>
          </w:tcPr>
          <w:p w14:paraId="7EC90CE7" w14:textId="77777777" w:rsidR="0040529B" w:rsidRDefault="00E52693">
            <w:r>
              <w:rPr>
                <w:b/>
                <w:color w:val="FFFFFF"/>
                <w:sz w:val="17"/>
              </w:rPr>
              <w:t>Action</w:t>
            </w:r>
          </w:p>
        </w:tc>
        <w:tc>
          <w:tcPr>
            <w:tcW w:w="2232" w:type="dxa"/>
            <w:shd w:val="clear" w:color="auto" w:fill="17365D"/>
            <w:tcMar>
              <w:top w:w="90" w:type="dxa"/>
              <w:left w:w="100" w:type="dxa"/>
              <w:bottom w:w="90" w:type="dxa"/>
              <w:right w:w="100" w:type="dxa"/>
            </w:tcMar>
          </w:tcPr>
          <w:p w14:paraId="0201060A" w14:textId="77777777" w:rsidR="0040529B" w:rsidRDefault="00E52693">
            <w:r>
              <w:rPr>
                <w:b/>
                <w:color w:val="FFFFFF"/>
                <w:sz w:val="17"/>
              </w:rPr>
              <w:t>Exit Criterion</w:t>
            </w:r>
          </w:p>
        </w:tc>
      </w:tr>
      <w:tr w:rsidR="0040529B" w14:paraId="62B218A2" w14:textId="77777777">
        <w:trPr>
          <w:cantSplit/>
          <w:jc w:val="center"/>
        </w:trPr>
        <w:tc>
          <w:tcPr>
            <w:tcW w:w="2088" w:type="dxa"/>
            <w:tcMar>
              <w:top w:w="90" w:type="dxa"/>
              <w:left w:w="100" w:type="dxa"/>
              <w:bottom w:w="90" w:type="dxa"/>
              <w:right w:w="100" w:type="dxa"/>
            </w:tcMar>
          </w:tcPr>
          <w:p w14:paraId="571E96D5" w14:textId="77777777" w:rsidR="0040529B" w:rsidRDefault="00E52693">
            <w:r>
              <w:t>Wave 1 — Partnership Lock</w:t>
            </w:r>
          </w:p>
        </w:tc>
        <w:tc>
          <w:tcPr>
            <w:tcW w:w="1800" w:type="dxa"/>
            <w:tcMar>
              <w:top w:w="90" w:type="dxa"/>
              <w:left w:w="100" w:type="dxa"/>
              <w:bottom w:w="90" w:type="dxa"/>
              <w:right w:w="100" w:type="dxa"/>
            </w:tcMar>
          </w:tcPr>
          <w:p w14:paraId="4B8D3D60" w14:textId="77777777" w:rsidR="0040529B" w:rsidRDefault="00E52693">
            <w:r>
              <w:t>19–24 Aug</w:t>
            </w:r>
          </w:p>
        </w:tc>
        <w:tc>
          <w:tcPr>
            <w:tcW w:w="1512" w:type="dxa"/>
            <w:tcMar>
              <w:top w:w="90" w:type="dxa"/>
              <w:left w:w="100" w:type="dxa"/>
              <w:bottom w:w="90" w:type="dxa"/>
              <w:right w:w="100" w:type="dxa"/>
            </w:tcMar>
          </w:tcPr>
          <w:p w14:paraId="0478571B" w14:textId="77777777" w:rsidR="0040529B" w:rsidRDefault="00E52693">
            <w:r>
              <w:t>Azrul</w:t>
            </w:r>
          </w:p>
        </w:tc>
        <w:tc>
          <w:tcPr>
            <w:tcW w:w="3960" w:type="dxa"/>
            <w:tcMar>
              <w:top w:w="90" w:type="dxa"/>
              <w:left w:w="100" w:type="dxa"/>
              <w:bottom w:w="90" w:type="dxa"/>
              <w:right w:w="100" w:type="dxa"/>
            </w:tcMar>
          </w:tcPr>
          <w:p w14:paraId="17B26860" w14:textId="77777777" w:rsidR="0040529B" w:rsidRDefault="00E52693">
            <w:r>
              <w:t>Lock narrative direction and stakeholder sponsorship.</w:t>
            </w:r>
          </w:p>
        </w:tc>
        <w:tc>
          <w:tcPr>
            <w:tcW w:w="2232" w:type="dxa"/>
            <w:tcMar>
              <w:top w:w="90" w:type="dxa"/>
              <w:left w:w="100" w:type="dxa"/>
              <w:bottom w:w="90" w:type="dxa"/>
              <w:right w:w="100" w:type="dxa"/>
            </w:tcMar>
          </w:tcPr>
          <w:p w14:paraId="325ADBE1" w14:textId="77777777" w:rsidR="0040529B" w:rsidRDefault="00E52693">
            <w:r>
              <w:t>Narrative and activation sequence accepted.</w:t>
            </w:r>
          </w:p>
        </w:tc>
      </w:tr>
      <w:tr w:rsidR="0040529B" w14:paraId="6FFCE653" w14:textId="77777777">
        <w:trPr>
          <w:cantSplit/>
          <w:jc w:val="center"/>
        </w:trPr>
        <w:tc>
          <w:tcPr>
            <w:tcW w:w="2088" w:type="dxa"/>
            <w:tcMar>
              <w:top w:w="90" w:type="dxa"/>
              <w:left w:w="100" w:type="dxa"/>
              <w:bottom w:w="90" w:type="dxa"/>
              <w:right w:w="100" w:type="dxa"/>
            </w:tcMar>
          </w:tcPr>
          <w:p w14:paraId="6567ED25" w14:textId="77777777" w:rsidR="0040529B" w:rsidRDefault="00E52693">
            <w:r>
              <w:t>Wave 2 — Commercial Activation</w:t>
            </w:r>
          </w:p>
        </w:tc>
        <w:tc>
          <w:tcPr>
            <w:tcW w:w="1800" w:type="dxa"/>
            <w:tcMar>
              <w:top w:w="90" w:type="dxa"/>
              <w:left w:w="100" w:type="dxa"/>
              <w:bottom w:w="90" w:type="dxa"/>
              <w:right w:w="100" w:type="dxa"/>
            </w:tcMar>
          </w:tcPr>
          <w:p w14:paraId="5F018CAA" w14:textId="77777777" w:rsidR="0040529B" w:rsidRDefault="00E52693">
            <w:r>
              <w:t>24–31 Aug</w:t>
            </w:r>
          </w:p>
        </w:tc>
        <w:tc>
          <w:tcPr>
            <w:tcW w:w="1512" w:type="dxa"/>
            <w:tcMar>
              <w:top w:w="90" w:type="dxa"/>
              <w:left w:w="100" w:type="dxa"/>
              <w:bottom w:w="90" w:type="dxa"/>
              <w:right w:w="100" w:type="dxa"/>
            </w:tcMar>
          </w:tcPr>
          <w:p w14:paraId="597E48FF" w14:textId="77777777" w:rsidR="0040529B" w:rsidRDefault="00E52693">
            <w:r>
              <w:t>Zulfikar</w:t>
            </w:r>
          </w:p>
        </w:tc>
        <w:tc>
          <w:tcPr>
            <w:tcW w:w="3960" w:type="dxa"/>
            <w:tcMar>
              <w:top w:w="90" w:type="dxa"/>
              <w:left w:w="100" w:type="dxa"/>
              <w:bottom w:w="90" w:type="dxa"/>
              <w:right w:w="100" w:type="dxa"/>
            </w:tcMar>
          </w:tcPr>
          <w:p w14:paraId="5CC34669" w14:textId="77777777" w:rsidR="0040529B" w:rsidRDefault="00E52693">
            <w:r>
              <w:t>Define target accounts, lead flow and post-event ownership.</w:t>
            </w:r>
          </w:p>
        </w:tc>
        <w:tc>
          <w:tcPr>
            <w:tcW w:w="2232" w:type="dxa"/>
            <w:tcMar>
              <w:top w:w="90" w:type="dxa"/>
              <w:left w:w="100" w:type="dxa"/>
              <w:bottom w:w="90" w:type="dxa"/>
              <w:right w:w="100" w:type="dxa"/>
            </w:tcMar>
          </w:tcPr>
          <w:p w14:paraId="4A7119F0" w14:textId="77777777" w:rsidR="0040529B" w:rsidRDefault="00E52693">
            <w:r>
              <w:t>Commercial activation sheet agreed.</w:t>
            </w:r>
          </w:p>
        </w:tc>
      </w:tr>
      <w:tr w:rsidR="0040529B" w14:paraId="18612F8D" w14:textId="77777777">
        <w:trPr>
          <w:cantSplit/>
          <w:jc w:val="center"/>
        </w:trPr>
        <w:tc>
          <w:tcPr>
            <w:tcW w:w="2088" w:type="dxa"/>
            <w:tcMar>
              <w:top w:w="90" w:type="dxa"/>
              <w:left w:w="100" w:type="dxa"/>
              <w:bottom w:w="90" w:type="dxa"/>
              <w:right w:w="100" w:type="dxa"/>
            </w:tcMar>
          </w:tcPr>
          <w:p w14:paraId="541CEBB2" w14:textId="77777777" w:rsidR="0040529B" w:rsidRDefault="00E52693">
            <w:r>
              <w:t>Wave 3 — Market &amp; Media Alignment</w:t>
            </w:r>
          </w:p>
        </w:tc>
        <w:tc>
          <w:tcPr>
            <w:tcW w:w="1800" w:type="dxa"/>
            <w:tcMar>
              <w:top w:w="90" w:type="dxa"/>
              <w:left w:w="100" w:type="dxa"/>
              <w:bottom w:w="90" w:type="dxa"/>
              <w:right w:w="100" w:type="dxa"/>
            </w:tcMar>
          </w:tcPr>
          <w:p w14:paraId="748AFAEE" w14:textId="77777777" w:rsidR="0040529B" w:rsidRDefault="00E52693">
            <w:r>
              <w:t>24 Aug–7 Sep</w:t>
            </w:r>
          </w:p>
        </w:tc>
        <w:tc>
          <w:tcPr>
            <w:tcW w:w="1512" w:type="dxa"/>
            <w:tcMar>
              <w:top w:w="90" w:type="dxa"/>
              <w:left w:w="100" w:type="dxa"/>
              <w:bottom w:w="90" w:type="dxa"/>
              <w:right w:w="100" w:type="dxa"/>
            </w:tcMar>
          </w:tcPr>
          <w:p w14:paraId="12C9728D" w14:textId="77777777" w:rsidR="0040529B" w:rsidRDefault="00E52693">
            <w:r>
              <w:t>Bala</w:t>
            </w:r>
          </w:p>
        </w:tc>
        <w:tc>
          <w:tcPr>
            <w:tcW w:w="3960" w:type="dxa"/>
            <w:tcMar>
              <w:top w:w="90" w:type="dxa"/>
              <w:left w:w="100" w:type="dxa"/>
              <w:bottom w:w="90" w:type="dxa"/>
              <w:right w:w="100" w:type="dxa"/>
            </w:tcMar>
          </w:tcPr>
          <w:p w14:paraId="553C48E3" w14:textId="77777777" w:rsidR="0040529B" w:rsidRDefault="00E52693">
            <w:r>
              <w:t>Build message house, media/branding plan and approval route.</w:t>
            </w:r>
          </w:p>
        </w:tc>
        <w:tc>
          <w:tcPr>
            <w:tcW w:w="2232" w:type="dxa"/>
            <w:tcMar>
              <w:top w:w="90" w:type="dxa"/>
              <w:left w:w="100" w:type="dxa"/>
              <w:bottom w:w="90" w:type="dxa"/>
              <w:right w:w="100" w:type="dxa"/>
            </w:tcMar>
          </w:tcPr>
          <w:p w14:paraId="04C5191D" w14:textId="77777777" w:rsidR="0040529B" w:rsidRDefault="00E52693">
            <w:r>
              <w:t>Joint communications plan operational.</w:t>
            </w:r>
          </w:p>
        </w:tc>
      </w:tr>
      <w:tr w:rsidR="0040529B" w14:paraId="486A4F81" w14:textId="77777777">
        <w:trPr>
          <w:cantSplit/>
          <w:jc w:val="center"/>
        </w:trPr>
        <w:tc>
          <w:tcPr>
            <w:tcW w:w="2088" w:type="dxa"/>
            <w:tcMar>
              <w:top w:w="90" w:type="dxa"/>
              <w:left w:w="100" w:type="dxa"/>
              <w:bottom w:w="90" w:type="dxa"/>
              <w:right w:w="100" w:type="dxa"/>
            </w:tcMar>
          </w:tcPr>
          <w:p w14:paraId="6369E8AC" w14:textId="77777777" w:rsidR="0040529B" w:rsidRDefault="00E52693">
            <w:r>
              <w:t>Wave 4 — Technical Confidence</w:t>
            </w:r>
          </w:p>
        </w:tc>
        <w:tc>
          <w:tcPr>
            <w:tcW w:w="1800" w:type="dxa"/>
            <w:tcMar>
              <w:top w:w="90" w:type="dxa"/>
              <w:left w:w="100" w:type="dxa"/>
              <w:bottom w:w="90" w:type="dxa"/>
              <w:right w:w="100" w:type="dxa"/>
            </w:tcMar>
          </w:tcPr>
          <w:p w14:paraId="710FEE04" w14:textId="77777777" w:rsidR="0040529B" w:rsidRDefault="00E52693">
            <w:r>
              <w:t>31 Aug–10 Sep</w:t>
            </w:r>
          </w:p>
        </w:tc>
        <w:tc>
          <w:tcPr>
            <w:tcW w:w="1512" w:type="dxa"/>
            <w:tcMar>
              <w:top w:w="90" w:type="dxa"/>
              <w:left w:w="100" w:type="dxa"/>
              <w:bottom w:w="90" w:type="dxa"/>
              <w:right w:w="100" w:type="dxa"/>
            </w:tcMar>
          </w:tcPr>
          <w:p w14:paraId="0B2B0000" w14:textId="77777777" w:rsidR="0040529B" w:rsidRDefault="00E52693">
            <w:r>
              <w:t>Wan Roshaimi</w:t>
            </w:r>
          </w:p>
        </w:tc>
        <w:tc>
          <w:tcPr>
            <w:tcW w:w="3960" w:type="dxa"/>
            <w:tcMar>
              <w:top w:w="90" w:type="dxa"/>
              <w:left w:w="100" w:type="dxa"/>
              <w:bottom w:w="90" w:type="dxa"/>
              <w:right w:w="100" w:type="dxa"/>
            </w:tcMar>
          </w:tcPr>
          <w:p w14:paraId="0BABACBC" w14:textId="77777777" w:rsidR="0040529B" w:rsidRDefault="00E52693">
            <w:r>
              <w:t>Validate technical story, boundaries and integration considerations.</w:t>
            </w:r>
          </w:p>
        </w:tc>
        <w:tc>
          <w:tcPr>
            <w:tcW w:w="2232" w:type="dxa"/>
            <w:tcMar>
              <w:top w:w="90" w:type="dxa"/>
              <w:left w:w="100" w:type="dxa"/>
              <w:bottom w:w="90" w:type="dxa"/>
              <w:right w:w="100" w:type="dxa"/>
            </w:tcMar>
          </w:tcPr>
          <w:p w14:paraId="540E6CA1" w14:textId="77777777" w:rsidR="0040529B" w:rsidRDefault="00E52693">
            <w:r>
              <w:t>Technical position cleared.</w:t>
            </w:r>
          </w:p>
        </w:tc>
      </w:tr>
      <w:tr w:rsidR="0040529B" w14:paraId="3F36CA59" w14:textId="77777777">
        <w:trPr>
          <w:cantSplit/>
          <w:jc w:val="center"/>
        </w:trPr>
        <w:tc>
          <w:tcPr>
            <w:tcW w:w="2088" w:type="dxa"/>
            <w:tcMar>
              <w:top w:w="90" w:type="dxa"/>
              <w:left w:w="100" w:type="dxa"/>
              <w:bottom w:w="90" w:type="dxa"/>
              <w:right w:w="100" w:type="dxa"/>
            </w:tcMar>
          </w:tcPr>
          <w:p w14:paraId="3178DABC" w14:textId="77777777" w:rsidR="0040529B" w:rsidRDefault="00E52693">
            <w:r>
              <w:t>Wave 5 — Operational Readiness</w:t>
            </w:r>
          </w:p>
        </w:tc>
        <w:tc>
          <w:tcPr>
            <w:tcW w:w="1800" w:type="dxa"/>
            <w:tcMar>
              <w:top w:w="90" w:type="dxa"/>
              <w:left w:w="100" w:type="dxa"/>
              <w:bottom w:w="90" w:type="dxa"/>
              <w:right w:w="100" w:type="dxa"/>
            </w:tcMar>
          </w:tcPr>
          <w:p w14:paraId="046C3418" w14:textId="77777777" w:rsidR="0040529B" w:rsidRDefault="00E52693">
            <w:r>
              <w:t>1–15 Sep</w:t>
            </w:r>
          </w:p>
        </w:tc>
        <w:tc>
          <w:tcPr>
            <w:tcW w:w="1512" w:type="dxa"/>
            <w:tcMar>
              <w:top w:w="90" w:type="dxa"/>
              <w:left w:w="100" w:type="dxa"/>
              <w:bottom w:w="90" w:type="dxa"/>
              <w:right w:w="100" w:type="dxa"/>
            </w:tcMar>
          </w:tcPr>
          <w:p w14:paraId="46172F5F" w14:textId="77777777" w:rsidR="0040529B" w:rsidRDefault="00E52693">
            <w:r>
              <w:t>Zaharudin</w:t>
            </w:r>
          </w:p>
        </w:tc>
        <w:tc>
          <w:tcPr>
            <w:tcW w:w="3960" w:type="dxa"/>
            <w:tcMar>
              <w:top w:w="90" w:type="dxa"/>
              <w:left w:w="100" w:type="dxa"/>
              <w:bottom w:w="90" w:type="dxa"/>
              <w:right w:w="100" w:type="dxa"/>
            </w:tcMar>
          </w:tcPr>
          <w:p w14:paraId="02812143" w14:textId="77777777" w:rsidR="0040529B" w:rsidRDefault="00E52693">
            <w:r>
              <w:t>Lock coordination, access and issue-resolution path.</w:t>
            </w:r>
          </w:p>
        </w:tc>
        <w:tc>
          <w:tcPr>
            <w:tcW w:w="2232" w:type="dxa"/>
            <w:tcMar>
              <w:top w:w="90" w:type="dxa"/>
              <w:left w:w="100" w:type="dxa"/>
              <w:bottom w:w="90" w:type="dxa"/>
              <w:right w:w="100" w:type="dxa"/>
            </w:tcMar>
          </w:tcPr>
          <w:p w14:paraId="2EE5C156" w14:textId="77777777" w:rsidR="0040529B" w:rsidRDefault="00E52693">
            <w:r>
              <w:t>Readiness action register active.</w:t>
            </w:r>
          </w:p>
        </w:tc>
      </w:tr>
      <w:tr w:rsidR="0040529B" w14:paraId="4DE50023" w14:textId="77777777">
        <w:trPr>
          <w:cantSplit/>
          <w:jc w:val="center"/>
        </w:trPr>
        <w:tc>
          <w:tcPr>
            <w:tcW w:w="2088" w:type="dxa"/>
            <w:tcMar>
              <w:top w:w="90" w:type="dxa"/>
              <w:left w:w="100" w:type="dxa"/>
              <w:bottom w:w="90" w:type="dxa"/>
              <w:right w:w="100" w:type="dxa"/>
            </w:tcMar>
          </w:tcPr>
          <w:p w14:paraId="33FD9B77" w14:textId="77777777" w:rsidR="0040529B" w:rsidRDefault="00E52693">
            <w:r>
              <w:t>Wave 6 — National Alignment</w:t>
            </w:r>
          </w:p>
        </w:tc>
        <w:tc>
          <w:tcPr>
            <w:tcW w:w="1800" w:type="dxa"/>
            <w:tcMar>
              <w:top w:w="90" w:type="dxa"/>
              <w:left w:w="100" w:type="dxa"/>
              <w:bottom w:w="90" w:type="dxa"/>
              <w:right w:w="100" w:type="dxa"/>
            </w:tcMar>
          </w:tcPr>
          <w:p w14:paraId="2341E39F" w14:textId="77777777" w:rsidR="0040529B" w:rsidRDefault="00E52693">
            <w:r>
              <w:t>After CSM alignment; target Sep</w:t>
            </w:r>
          </w:p>
        </w:tc>
        <w:tc>
          <w:tcPr>
            <w:tcW w:w="1512" w:type="dxa"/>
            <w:tcMar>
              <w:top w:w="90" w:type="dxa"/>
              <w:left w:w="100" w:type="dxa"/>
              <w:bottom w:w="90" w:type="dxa"/>
              <w:right w:w="100" w:type="dxa"/>
            </w:tcMar>
          </w:tcPr>
          <w:p w14:paraId="31C617DD" w14:textId="77777777" w:rsidR="0040529B" w:rsidRDefault="00E52693">
            <w:r>
              <w:t>Dr. Megat</w:t>
            </w:r>
          </w:p>
        </w:tc>
        <w:tc>
          <w:tcPr>
            <w:tcW w:w="3960" w:type="dxa"/>
            <w:tcMar>
              <w:top w:w="90" w:type="dxa"/>
              <w:left w:w="100" w:type="dxa"/>
              <w:bottom w:w="90" w:type="dxa"/>
              <w:right w:w="100" w:type="dxa"/>
            </w:tcMar>
          </w:tcPr>
          <w:p w14:paraId="178E4F9B" w14:textId="77777777" w:rsidR="0040529B" w:rsidRDefault="00E52693">
            <w:r>
              <w:t>Present mature proposition and seek strategic alignment pathway.</w:t>
            </w:r>
          </w:p>
        </w:tc>
        <w:tc>
          <w:tcPr>
            <w:tcW w:w="2232" w:type="dxa"/>
            <w:tcMar>
              <w:top w:w="90" w:type="dxa"/>
              <w:left w:w="100" w:type="dxa"/>
              <w:bottom w:w="90" w:type="dxa"/>
              <w:right w:w="100" w:type="dxa"/>
            </w:tcMar>
          </w:tcPr>
          <w:p w14:paraId="4990AA60" w14:textId="77777777" w:rsidR="0040529B" w:rsidRDefault="00E52693">
            <w:r>
              <w:t>NACSA guidance / pathway understood.</w:t>
            </w:r>
          </w:p>
        </w:tc>
      </w:tr>
      <w:tr w:rsidR="0040529B" w14:paraId="21C1DB0E" w14:textId="77777777">
        <w:trPr>
          <w:cantSplit/>
          <w:jc w:val="center"/>
        </w:trPr>
        <w:tc>
          <w:tcPr>
            <w:tcW w:w="2088" w:type="dxa"/>
            <w:tcMar>
              <w:top w:w="90" w:type="dxa"/>
              <w:left w:w="100" w:type="dxa"/>
              <w:bottom w:w="90" w:type="dxa"/>
              <w:right w:w="100" w:type="dxa"/>
            </w:tcMar>
          </w:tcPr>
          <w:p w14:paraId="654321B1" w14:textId="77777777" w:rsidR="0040529B" w:rsidRDefault="00E52693">
            <w:r>
              <w:t>Final Integration</w:t>
            </w:r>
          </w:p>
        </w:tc>
        <w:tc>
          <w:tcPr>
            <w:tcW w:w="1800" w:type="dxa"/>
            <w:tcMar>
              <w:top w:w="90" w:type="dxa"/>
              <w:left w:w="100" w:type="dxa"/>
              <w:bottom w:w="90" w:type="dxa"/>
              <w:right w:w="100" w:type="dxa"/>
            </w:tcMar>
          </w:tcPr>
          <w:p w14:paraId="5B70817B" w14:textId="77777777" w:rsidR="0040529B" w:rsidRDefault="00E52693">
            <w:r>
              <w:t>Final 2–3 weeks</w:t>
            </w:r>
          </w:p>
        </w:tc>
        <w:tc>
          <w:tcPr>
            <w:tcW w:w="1512" w:type="dxa"/>
            <w:tcMar>
              <w:top w:w="90" w:type="dxa"/>
              <w:left w:w="100" w:type="dxa"/>
              <w:bottom w:w="90" w:type="dxa"/>
              <w:right w:w="100" w:type="dxa"/>
            </w:tcMar>
          </w:tcPr>
          <w:p w14:paraId="06242108" w14:textId="77777777" w:rsidR="0040529B" w:rsidRDefault="00E52693">
            <w:r>
              <w:t>All relevant owners</w:t>
            </w:r>
          </w:p>
        </w:tc>
        <w:tc>
          <w:tcPr>
            <w:tcW w:w="3960" w:type="dxa"/>
            <w:tcMar>
              <w:top w:w="90" w:type="dxa"/>
              <w:left w:w="100" w:type="dxa"/>
              <w:bottom w:w="90" w:type="dxa"/>
              <w:right w:w="100" w:type="dxa"/>
            </w:tcMar>
          </w:tcPr>
          <w:p w14:paraId="3313DF1D" w14:textId="77777777" w:rsidR="0040529B" w:rsidRDefault="00E52693">
            <w:r>
              <w:t>Run readiness checks across narrative, commercial, media, technical and operations.</w:t>
            </w:r>
          </w:p>
        </w:tc>
        <w:tc>
          <w:tcPr>
            <w:tcW w:w="2232" w:type="dxa"/>
            <w:tcMar>
              <w:top w:w="90" w:type="dxa"/>
              <w:left w:w="100" w:type="dxa"/>
              <w:bottom w:w="90" w:type="dxa"/>
              <w:right w:w="100" w:type="dxa"/>
            </w:tcMar>
          </w:tcPr>
          <w:p w14:paraId="1C631FA6" w14:textId="77777777" w:rsidR="0040529B" w:rsidRDefault="00E52693">
            <w:r>
              <w:t>No unresolved P0 stakeholder dependency entering CyberDSA.</w:t>
            </w:r>
          </w:p>
        </w:tc>
      </w:tr>
    </w:tbl>
    <w:p w14:paraId="24FD60F5" w14:textId="77777777" w:rsidR="0040529B" w:rsidRDefault="00E52693">
      <w:pPr>
        <w:pStyle w:val="Heading1"/>
      </w:pPr>
      <w:r>
        <w:t>9. Governance and Operating Rhythm</w:t>
      </w:r>
    </w:p>
    <w:p w14:paraId="277D6BAD" w14:textId="77777777" w:rsidR="0040529B" w:rsidRDefault="00E52693">
      <w:pPr>
        <w:pStyle w:val="Heading2"/>
      </w:pPr>
      <w:r>
        <w:t>9.1 Internal Aras Control</w:t>
      </w:r>
    </w:p>
    <w:p w14:paraId="11988911" w14:textId="77777777" w:rsidR="0040529B" w:rsidRDefault="00E52693">
      <w:pPr>
        <w:pStyle w:val="ListBullet"/>
      </w:pPr>
      <w:r>
        <w:t>Single accountable executive owner: Director – Cyber Security Practice.</w:t>
      </w:r>
    </w:p>
    <w:p w14:paraId="23CF1404" w14:textId="77777777" w:rsidR="0040529B" w:rsidRDefault="00E52693">
      <w:pPr>
        <w:pStyle w:val="ListBullet"/>
      </w:pPr>
      <w:r>
        <w:t>Maintain one master stakeholder tracker; avoid separate personal trackers that fragment status.</w:t>
      </w:r>
    </w:p>
    <w:p w14:paraId="5A3F91D4" w14:textId="77777777" w:rsidR="0040529B" w:rsidRDefault="00E52693">
      <w:pPr>
        <w:pStyle w:val="ListBullet"/>
      </w:pPr>
      <w:r>
        <w:t>All outbound messages must align with the agreed strategic narrative.</w:t>
      </w:r>
    </w:p>
    <w:p w14:paraId="53CA4A94" w14:textId="77777777" w:rsidR="0040529B" w:rsidRDefault="00E52693">
      <w:pPr>
        <w:pStyle w:val="ListBullet"/>
      </w:pPr>
      <w:r>
        <w:t>Escalate only material blockers: decision delay, conflicting stakeholder position, unowned dependency, or reputational risk.</w:t>
      </w:r>
    </w:p>
    <w:p w14:paraId="129C046F" w14:textId="77777777" w:rsidR="0040529B" w:rsidRDefault="00E52693">
      <w:pPr>
        <w:pStyle w:val="Heading2"/>
      </w:pPr>
      <w:r>
        <w:t>9.2 Recommended Cadence</w:t>
      </w:r>
    </w:p>
    <w:tbl>
      <w:tblPr>
        <w:tblW w:w="0" w:type="auto"/>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val="04A0" w:firstRow="1" w:lastRow="0" w:firstColumn="1" w:lastColumn="0" w:noHBand="0" w:noVBand="1"/>
      </w:tblPr>
      <w:tblGrid>
        <w:gridCol w:w="2376"/>
        <w:gridCol w:w="3024"/>
        <w:gridCol w:w="6048"/>
      </w:tblGrid>
      <w:tr w:rsidR="0040529B" w14:paraId="5A689157" w14:textId="77777777">
        <w:trPr>
          <w:cantSplit/>
          <w:jc w:val="center"/>
        </w:trPr>
        <w:tc>
          <w:tcPr>
            <w:tcW w:w="2376" w:type="dxa"/>
            <w:shd w:val="clear" w:color="auto" w:fill="1F4E79"/>
            <w:tcMar>
              <w:top w:w="90" w:type="dxa"/>
              <w:left w:w="100" w:type="dxa"/>
              <w:bottom w:w="90" w:type="dxa"/>
              <w:right w:w="100" w:type="dxa"/>
            </w:tcMar>
          </w:tcPr>
          <w:p w14:paraId="0662C2B0" w14:textId="77777777" w:rsidR="0040529B" w:rsidRDefault="00E52693">
            <w:r>
              <w:rPr>
                <w:b/>
                <w:color w:val="FFFFFF"/>
              </w:rPr>
              <w:t>Cadence</w:t>
            </w:r>
          </w:p>
        </w:tc>
        <w:tc>
          <w:tcPr>
            <w:tcW w:w="3024" w:type="dxa"/>
            <w:shd w:val="clear" w:color="auto" w:fill="1F4E79"/>
            <w:tcMar>
              <w:top w:w="90" w:type="dxa"/>
              <w:left w:w="100" w:type="dxa"/>
              <w:bottom w:w="90" w:type="dxa"/>
              <w:right w:w="100" w:type="dxa"/>
            </w:tcMar>
          </w:tcPr>
          <w:p w14:paraId="15D37B6F" w14:textId="77777777" w:rsidR="0040529B" w:rsidRDefault="00E52693">
            <w:r>
              <w:rPr>
                <w:b/>
                <w:color w:val="FFFFFF"/>
              </w:rPr>
              <w:t>Forum</w:t>
            </w:r>
          </w:p>
        </w:tc>
        <w:tc>
          <w:tcPr>
            <w:tcW w:w="6048" w:type="dxa"/>
            <w:shd w:val="clear" w:color="auto" w:fill="1F4E79"/>
            <w:tcMar>
              <w:top w:w="90" w:type="dxa"/>
              <w:left w:w="100" w:type="dxa"/>
              <w:bottom w:w="90" w:type="dxa"/>
              <w:right w:w="100" w:type="dxa"/>
            </w:tcMar>
          </w:tcPr>
          <w:p w14:paraId="6D330C37" w14:textId="77777777" w:rsidR="0040529B" w:rsidRDefault="00E52693">
            <w:r>
              <w:rPr>
                <w:b/>
                <w:color w:val="FFFFFF"/>
              </w:rPr>
              <w:t>Purpose</w:t>
            </w:r>
          </w:p>
        </w:tc>
      </w:tr>
      <w:tr w:rsidR="0040529B" w14:paraId="404C22BB" w14:textId="77777777">
        <w:trPr>
          <w:cantSplit/>
          <w:jc w:val="center"/>
        </w:trPr>
        <w:tc>
          <w:tcPr>
            <w:tcW w:w="2376" w:type="dxa"/>
            <w:tcMar>
              <w:top w:w="90" w:type="dxa"/>
              <w:left w:w="100" w:type="dxa"/>
              <w:bottom w:w="90" w:type="dxa"/>
              <w:right w:w="100" w:type="dxa"/>
            </w:tcMar>
          </w:tcPr>
          <w:p w14:paraId="789C9E14" w14:textId="77777777" w:rsidR="0040529B" w:rsidRDefault="00E52693">
            <w:r>
              <w:t>Weekly</w:t>
            </w:r>
          </w:p>
        </w:tc>
        <w:tc>
          <w:tcPr>
            <w:tcW w:w="3024" w:type="dxa"/>
            <w:tcMar>
              <w:top w:w="90" w:type="dxa"/>
              <w:left w:w="100" w:type="dxa"/>
              <w:bottom w:w="90" w:type="dxa"/>
              <w:right w:w="100" w:type="dxa"/>
            </w:tcMar>
          </w:tcPr>
          <w:p w14:paraId="2B695F8D" w14:textId="77777777" w:rsidR="0040529B" w:rsidRDefault="00E52693">
            <w:r>
              <w:t>Stakeholder Activation Review</w:t>
            </w:r>
          </w:p>
        </w:tc>
        <w:tc>
          <w:tcPr>
            <w:tcW w:w="6048" w:type="dxa"/>
            <w:tcMar>
              <w:top w:w="90" w:type="dxa"/>
              <w:left w:w="100" w:type="dxa"/>
              <w:bottom w:w="90" w:type="dxa"/>
              <w:right w:w="100" w:type="dxa"/>
            </w:tcMar>
          </w:tcPr>
          <w:p w14:paraId="0483687C" w14:textId="77777777" w:rsidR="0040529B" w:rsidRDefault="00E52693">
            <w:r>
              <w:t>Progress against six stakeholder outcomes; resolve blockers; set next engagements.</w:t>
            </w:r>
          </w:p>
        </w:tc>
      </w:tr>
      <w:tr w:rsidR="0040529B" w14:paraId="678024C3" w14:textId="77777777">
        <w:trPr>
          <w:cantSplit/>
          <w:jc w:val="center"/>
        </w:trPr>
        <w:tc>
          <w:tcPr>
            <w:tcW w:w="2376" w:type="dxa"/>
            <w:tcMar>
              <w:top w:w="90" w:type="dxa"/>
              <w:left w:w="100" w:type="dxa"/>
              <w:bottom w:w="90" w:type="dxa"/>
              <w:right w:w="100" w:type="dxa"/>
            </w:tcMar>
          </w:tcPr>
          <w:p w14:paraId="43DD36ED" w14:textId="77777777" w:rsidR="0040529B" w:rsidRDefault="00E52693">
            <w:r>
              <w:t>Weekly</w:t>
            </w:r>
          </w:p>
        </w:tc>
        <w:tc>
          <w:tcPr>
            <w:tcW w:w="3024" w:type="dxa"/>
            <w:tcMar>
              <w:top w:w="90" w:type="dxa"/>
              <w:left w:w="100" w:type="dxa"/>
              <w:bottom w:w="90" w:type="dxa"/>
              <w:right w:w="100" w:type="dxa"/>
            </w:tcMar>
          </w:tcPr>
          <w:p w14:paraId="1890F785" w14:textId="77777777" w:rsidR="0040529B" w:rsidRDefault="00E52693">
            <w:r>
              <w:t>Commercial Readiness</w:t>
            </w:r>
          </w:p>
        </w:tc>
        <w:tc>
          <w:tcPr>
            <w:tcW w:w="6048" w:type="dxa"/>
            <w:tcMar>
              <w:top w:w="90" w:type="dxa"/>
              <w:left w:w="100" w:type="dxa"/>
              <w:bottom w:w="90" w:type="dxa"/>
              <w:right w:w="100" w:type="dxa"/>
            </w:tcMar>
          </w:tcPr>
          <w:p w14:paraId="0C745F7E" w14:textId="77777777" w:rsidR="0040529B" w:rsidRDefault="00E52693">
            <w:r>
              <w:t>Target accounts, meetings, lead capture, POC pipeline and follow-up readiness.</w:t>
            </w:r>
          </w:p>
        </w:tc>
      </w:tr>
      <w:tr w:rsidR="0040529B" w14:paraId="249659A6" w14:textId="77777777">
        <w:trPr>
          <w:cantSplit/>
          <w:jc w:val="center"/>
        </w:trPr>
        <w:tc>
          <w:tcPr>
            <w:tcW w:w="2376" w:type="dxa"/>
            <w:tcMar>
              <w:top w:w="90" w:type="dxa"/>
              <w:left w:w="100" w:type="dxa"/>
              <w:bottom w:w="90" w:type="dxa"/>
              <w:right w:w="100" w:type="dxa"/>
            </w:tcMar>
          </w:tcPr>
          <w:p w14:paraId="3A0F2B53" w14:textId="77777777" w:rsidR="0040529B" w:rsidRDefault="00E52693">
            <w:r>
              <w:t>Weekly → twice weekly in final 2 weeks</w:t>
            </w:r>
          </w:p>
        </w:tc>
        <w:tc>
          <w:tcPr>
            <w:tcW w:w="3024" w:type="dxa"/>
            <w:tcMar>
              <w:top w:w="90" w:type="dxa"/>
              <w:left w:w="100" w:type="dxa"/>
              <w:bottom w:w="90" w:type="dxa"/>
              <w:right w:w="100" w:type="dxa"/>
            </w:tcMar>
          </w:tcPr>
          <w:p w14:paraId="72FDEADD" w14:textId="77777777" w:rsidR="0040529B" w:rsidRDefault="00E52693">
            <w:r>
              <w:t>Marketing / Media Readiness</w:t>
            </w:r>
          </w:p>
        </w:tc>
        <w:tc>
          <w:tcPr>
            <w:tcW w:w="6048" w:type="dxa"/>
            <w:tcMar>
              <w:top w:w="90" w:type="dxa"/>
              <w:left w:w="100" w:type="dxa"/>
              <w:bottom w:w="90" w:type="dxa"/>
              <w:right w:w="100" w:type="dxa"/>
            </w:tcMar>
          </w:tcPr>
          <w:p w14:paraId="122806B7" w14:textId="77777777" w:rsidR="0040529B" w:rsidRDefault="00E52693">
            <w:r>
              <w:t>Messaging, approvals, media opportunities, speaker readiness and assets.</w:t>
            </w:r>
          </w:p>
        </w:tc>
      </w:tr>
      <w:tr w:rsidR="0040529B" w14:paraId="338AC448" w14:textId="77777777">
        <w:trPr>
          <w:cantSplit/>
          <w:jc w:val="center"/>
        </w:trPr>
        <w:tc>
          <w:tcPr>
            <w:tcW w:w="2376" w:type="dxa"/>
            <w:tcMar>
              <w:top w:w="90" w:type="dxa"/>
              <w:left w:w="100" w:type="dxa"/>
              <w:bottom w:w="90" w:type="dxa"/>
              <w:right w:w="100" w:type="dxa"/>
            </w:tcMar>
          </w:tcPr>
          <w:p w14:paraId="36F9ED80" w14:textId="77777777" w:rsidR="0040529B" w:rsidRDefault="00E52693">
            <w:r>
              <w:t>As needed</w:t>
            </w:r>
          </w:p>
        </w:tc>
        <w:tc>
          <w:tcPr>
            <w:tcW w:w="3024" w:type="dxa"/>
            <w:tcMar>
              <w:top w:w="90" w:type="dxa"/>
              <w:left w:w="100" w:type="dxa"/>
              <w:bottom w:w="90" w:type="dxa"/>
              <w:right w:w="100" w:type="dxa"/>
            </w:tcMar>
          </w:tcPr>
          <w:p w14:paraId="2D192A2F" w14:textId="77777777" w:rsidR="0040529B" w:rsidRDefault="00E52693">
            <w:r>
              <w:t>Technical / Operational Issue Resolution</w:t>
            </w:r>
          </w:p>
        </w:tc>
        <w:tc>
          <w:tcPr>
            <w:tcW w:w="6048" w:type="dxa"/>
            <w:tcMar>
              <w:top w:w="90" w:type="dxa"/>
              <w:left w:w="100" w:type="dxa"/>
              <w:bottom w:w="90" w:type="dxa"/>
              <w:right w:w="100" w:type="dxa"/>
            </w:tcMar>
          </w:tcPr>
          <w:p w14:paraId="39740905" w14:textId="77777777" w:rsidR="0040529B" w:rsidRDefault="00E52693">
            <w:r>
              <w:t>Only for identified architecture, access or coordination blockers.</w:t>
            </w:r>
          </w:p>
        </w:tc>
      </w:tr>
      <w:tr w:rsidR="0040529B" w14:paraId="60246BD6" w14:textId="77777777">
        <w:trPr>
          <w:cantSplit/>
          <w:jc w:val="center"/>
        </w:trPr>
        <w:tc>
          <w:tcPr>
            <w:tcW w:w="2376" w:type="dxa"/>
            <w:tcMar>
              <w:top w:w="90" w:type="dxa"/>
              <w:left w:w="100" w:type="dxa"/>
              <w:bottom w:w="90" w:type="dxa"/>
              <w:right w:w="100" w:type="dxa"/>
            </w:tcMar>
          </w:tcPr>
          <w:p w14:paraId="6D98D239" w14:textId="77777777" w:rsidR="0040529B" w:rsidRDefault="00E52693">
            <w:r>
              <w:t>48 hours before major engagement</w:t>
            </w:r>
          </w:p>
        </w:tc>
        <w:tc>
          <w:tcPr>
            <w:tcW w:w="3024" w:type="dxa"/>
            <w:tcMar>
              <w:top w:w="90" w:type="dxa"/>
              <w:left w:w="100" w:type="dxa"/>
              <w:bottom w:w="90" w:type="dxa"/>
              <w:right w:w="100" w:type="dxa"/>
            </w:tcMar>
          </w:tcPr>
          <w:p w14:paraId="1AC5CD45" w14:textId="77777777" w:rsidR="0040529B" w:rsidRDefault="00E52693">
            <w:r>
              <w:t>Executive Brief Check</w:t>
            </w:r>
          </w:p>
        </w:tc>
        <w:tc>
          <w:tcPr>
            <w:tcW w:w="6048" w:type="dxa"/>
            <w:tcMar>
              <w:top w:w="90" w:type="dxa"/>
              <w:left w:w="100" w:type="dxa"/>
              <w:bottom w:w="90" w:type="dxa"/>
              <w:right w:w="100" w:type="dxa"/>
            </w:tcMar>
          </w:tcPr>
          <w:p w14:paraId="31608D95" w14:textId="77777777" w:rsidR="0040529B" w:rsidRDefault="00E52693">
            <w:r>
              <w:t>Confirm purpose, primary ask, proof points, sensitivities and desired close.</w:t>
            </w:r>
          </w:p>
        </w:tc>
      </w:tr>
    </w:tbl>
    <w:p w14:paraId="7049E15B" w14:textId="77777777" w:rsidR="0040529B" w:rsidRDefault="00E52693">
      <w:pPr>
        <w:pStyle w:val="Heading1"/>
      </w:pPr>
      <w:r>
        <w:t>10. Success Metrics and Executive Dashboard</w:t>
      </w:r>
    </w:p>
    <w:p w14:paraId="5D57607C" w14:textId="77777777" w:rsidR="0040529B" w:rsidRDefault="00E52693">
      <w:r>
        <w:t>Success is measured by commitments and readiness, not by the number of meetings held.</w:t>
      </w:r>
    </w:p>
    <w:tbl>
      <w:tblPr>
        <w:tblW w:w="0" w:type="auto"/>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val="04A0" w:firstRow="1" w:lastRow="0" w:firstColumn="1" w:lastColumn="0" w:noHBand="0" w:noVBand="1"/>
      </w:tblPr>
      <w:tblGrid>
        <w:gridCol w:w="2592"/>
        <w:gridCol w:w="1800"/>
        <w:gridCol w:w="5112"/>
        <w:gridCol w:w="1872"/>
      </w:tblGrid>
      <w:tr w:rsidR="0040529B" w14:paraId="3BAE0FC0" w14:textId="77777777">
        <w:trPr>
          <w:cantSplit/>
          <w:jc w:val="center"/>
        </w:trPr>
        <w:tc>
          <w:tcPr>
            <w:tcW w:w="2592" w:type="dxa"/>
            <w:shd w:val="clear" w:color="auto" w:fill="17365D"/>
            <w:tcMar>
              <w:top w:w="90" w:type="dxa"/>
              <w:left w:w="100" w:type="dxa"/>
              <w:bottom w:w="90" w:type="dxa"/>
              <w:right w:w="100" w:type="dxa"/>
            </w:tcMar>
          </w:tcPr>
          <w:p w14:paraId="7C1D5B9F" w14:textId="77777777" w:rsidR="0040529B" w:rsidRDefault="00E52693">
            <w:r>
              <w:rPr>
                <w:b/>
                <w:color w:val="FFFFFF"/>
                <w:sz w:val="18"/>
              </w:rPr>
              <w:t>Workstream</w:t>
            </w:r>
          </w:p>
        </w:tc>
        <w:tc>
          <w:tcPr>
            <w:tcW w:w="1800" w:type="dxa"/>
            <w:shd w:val="clear" w:color="auto" w:fill="17365D"/>
            <w:tcMar>
              <w:top w:w="90" w:type="dxa"/>
              <w:left w:w="100" w:type="dxa"/>
              <w:bottom w:w="90" w:type="dxa"/>
              <w:right w:w="100" w:type="dxa"/>
            </w:tcMar>
          </w:tcPr>
          <w:p w14:paraId="0D50D628" w14:textId="77777777" w:rsidR="0040529B" w:rsidRDefault="00E52693">
            <w:r>
              <w:rPr>
                <w:b/>
                <w:color w:val="FFFFFF"/>
                <w:sz w:val="18"/>
              </w:rPr>
              <w:t>Executive Stakeholder</w:t>
            </w:r>
          </w:p>
        </w:tc>
        <w:tc>
          <w:tcPr>
            <w:tcW w:w="5112" w:type="dxa"/>
            <w:shd w:val="clear" w:color="auto" w:fill="17365D"/>
            <w:tcMar>
              <w:top w:w="90" w:type="dxa"/>
              <w:left w:w="100" w:type="dxa"/>
              <w:bottom w:w="90" w:type="dxa"/>
              <w:right w:w="100" w:type="dxa"/>
            </w:tcMar>
          </w:tcPr>
          <w:p w14:paraId="71346584" w14:textId="77777777" w:rsidR="0040529B" w:rsidRDefault="00E52693">
            <w:r>
              <w:rPr>
                <w:b/>
                <w:color w:val="FFFFFF"/>
                <w:sz w:val="18"/>
              </w:rPr>
              <w:t>Definition of Ready</w:t>
            </w:r>
          </w:p>
        </w:tc>
        <w:tc>
          <w:tcPr>
            <w:tcW w:w="1872" w:type="dxa"/>
            <w:shd w:val="clear" w:color="auto" w:fill="17365D"/>
            <w:tcMar>
              <w:top w:w="90" w:type="dxa"/>
              <w:left w:w="100" w:type="dxa"/>
              <w:bottom w:w="90" w:type="dxa"/>
              <w:right w:w="100" w:type="dxa"/>
            </w:tcMar>
          </w:tcPr>
          <w:p w14:paraId="02276082" w14:textId="77777777" w:rsidR="0040529B" w:rsidRDefault="00E52693">
            <w:r>
              <w:rPr>
                <w:b/>
                <w:color w:val="FFFFFF"/>
                <w:sz w:val="18"/>
              </w:rPr>
              <w:t>Status</w:t>
            </w:r>
          </w:p>
        </w:tc>
      </w:tr>
      <w:tr w:rsidR="0040529B" w14:paraId="0CBF9897" w14:textId="77777777">
        <w:trPr>
          <w:cantSplit/>
          <w:jc w:val="center"/>
        </w:trPr>
        <w:tc>
          <w:tcPr>
            <w:tcW w:w="2592" w:type="dxa"/>
            <w:tcMar>
              <w:top w:w="90" w:type="dxa"/>
              <w:left w:w="100" w:type="dxa"/>
              <w:bottom w:w="90" w:type="dxa"/>
              <w:right w:w="100" w:type="dxa"/>
            </w:tcMar>
          </w:tcPr>
          <w:p w14:paraId="1F9F1F42" w14:textId="77777777" w:rsidR="0040529B" w:rsidRDefault="00E52693">
            <w:r>
              <w:t>Partnership Alignment</w:t>
            </w:r>
          </w:p>
        </w:tc>
        <w:tc>
          <w:tcPr>
            <w:tcW w:w="1800" w:type="dxa"/>
            <w:tcMar>
              <w:top w:w="90" w:type="dxa"/>
              <w:left w:w="100" w:type="dxa"/>
              <w:bottom w:w="90" w:type="dxa"/>
              <w:right w:w="100" w:type="dxa"/>
            </w:tcMar>
          </w:tcPr>
          <w:p w14:paraId="367EDDAD" w14:textId="77777777" w:rsidR="0040529B" w:rsidRDefault="00E52693">
            <w:r>
              <w:t>Azrul</w:t>
            </w:r>
          </w:p>
        </w:tc>
        <w:tc>
          <w:tcPr>
            <w:tcW w:w="5112" w:type="dxa"/>
            <w:tcMar>
              <w:top w:w="90" w:type="dxa"/>
              <w:left w:w="100" w:type="dxa"/>
              <w:bottom w:w="90" w:type="dxa"/>
              <w:right w:w="100" w:type="dxa"/>
            </w:tcMar>
          </w:tcPr>
          <w:p w14:paraId="3C0B0041" w14:textId="77777777" w:rsidR="0040529B" w:rsidRDefault="00E52693">
            <w:r>
              <w:t>Narrative and activation sequence supported</w:t>
            </w:r>
          </w:p>
        </w:tc>
        <w:tc>
          <w:tcPr>
            <w:tcW w:w="1872" w:type="dxa"/>
            <w:tcMar>
              <w:top w:w="90" w:type="dxa"/>
              <w:left w:w="100" w:type="dxa"/>
              <w:bottom w:w="90" w:type="dxa"/>
              <w:right w:w="100" w:type="dxa"/>
            </w:tcMar>
          </w:tcPr>
          <w:p w14:paraId="0D157F41" w14:textId="77777777" w:rsidR="0040529B" w:rsidRDefault="00E52693">
            <w:r>
              <w:t>Green / Amber / Red</w:t>
            </w:r>
          </w:p>
        </w:tc>
      </w:tr>
      <w:tr w:rsidR="0040529B" w14:paraId="5212A0AF" w14:textId="77777777">
        <w:trPr>
          <w:cantSplit/>
          <w:jc w:val="center"/>
        </w:trPr>
        <w:tc>
          <w:tcPr>
            <w:tcW w:w="2592" w:type="dxa"/>
            <w:tcMar>
              <w:top w:w="90" w:type="dxa"/>
              <w:left w:w="100" w:type="dxa"/>
              <w:bottom w:w="90" w:type="dxa"/>
              <w:right w:w="100" w:type="dxa"/>
            </w:tcMar>
          </w:tcPr>
          <w:p w14:paraId="2D4D8045" w14:textId="77777777" w:rsidR="0040529B" w:rsidRDefault="00E52693">
            <w:r>
              <w:t>Commercial Ownership</w:t>
            </w:r>
          </w:p>
        </w:tc>
        <w:tc>
          <w:tcPr>
            <w:tcW w:w="1800" w:type="dxa"/>
            <w:tcMar>
              <w:top w:w="90" w:type="dxa"/>
              <w:left w:w="100" w:type="dxa"/>
              <w:bottom w:w="90" w:type="dxa"/>
              <w:right w:w="100" w:type="dxa"/>
            </w:tcMar>
          </w:tcPr>
          <w:p w14:paraId="113E9F60" w14:textId="77777777" w:rsidR="0040529B" w:rsidRDefault="00E52693">
            <w:r>
              <w:t>Zulfikar</w:t>
            </w:r>
          </w:p>
        </w:tc>
        <w:tc>
          <w:tcPr>
            <w:tcW w:w="5112" w:type="dxa"/>
            <w:tcMar>
              <w:top w:w="90" w:type="dxa"/>
              <w:left w:w="100" w:type="dxa"/>
              <w:bottom w:w="90" w:type="dxa"/>
              <w:right w:w="100" w:type="dxa"/>
            </w:tcMar>
          </w:tcPr>
          <w:p w14:paraId="2A74E438" w14:textId="77777777" w:rsidR="0040529B" w:rsidRDefault="00E52693">
            <w:r>
              <w:t>Priority market targets and follow-up ownership agreed</w:t>
            </w:r>
          </w:p>
        </w:tc>
        <w:tc>
          <w:tcPr>
            <w:tcW w:w="1872" w:type="dxa"/>
            <w:tcMar>
              <w:top w:w="90" w:type="dxa"/>
              <w:left w:w="100" w:type="dxa"/>
              <w:bottom w:w="90" w:type="dxa"/>
              <w:right w:w="100" w:type="dxa"/>
            </w:tcMar>
          </w:tcPr>
          <w:p w14:paraId="6163F09D" w14:textId="77777777" w:rsidR="0040529B" w:rsidRDefault="00E52693">
            <w:r>
              <w:t>Green / Amber / Red</w:t>
            </w:r>
          </w:p>
        </w:tc>
      </w:tr>
      <w:tr w:rsidR="0040529B" w14:paraId="7F79B9A3" w14:textId="77777777">
        <w:trPr>
          <w:cantSplit/>
          <w:jc w:val="center"/>
        </w:trPr>
        <w:tc>
          <w:tcPr>
            <w:tcW w:w="2592" w:type="dxa"/>
            <w:tcMar>
              <w:top w:w="90" w:type="dxa"/>
              <w:left w:w="100" w:type="dxa"/>
              <w:bottom w:w="90" w:type="dxa"/>
              <w:right w:w="100" w:type="dxa"/>
            </w:tcMar>
          </w:tcPr>
          <w:p w14:paraId="2FAB37C3" w14:textId="77777777" w:rsidR="0040529B" w:rsidRDefault="00E52693">
            <w:r>
              <w:t>Marketing &amp; Media</w:t>
            </w:r>
          </w:p>
        </w:tc>
        <w:tc>
          <w:tcPr>
            <w:tcW w:w="1800" w:type="dxa"/>
            <w:tcMar>
              <w:top w:w="90" w:type="dxa"/>
              <w:left w:w="100" w:type="dxa"/>
              <w:bottom w:w="90" w:type="dxa"/>
              <w:right w:w="100" w:type="dxa"/>
            </w:tcMar>
          </w:tcPr>
          <w:p w14:paraId="5686F3AD" w14:textId="77777777" w:rsidR="0040529B" w:rsidRDefault="00E52693">
            <w:r>
              <w:t>Bala</w:t>
            </w:r>
          </w:p>
        </w:tc>
        <w:tc>
          <w:tcPr>
            <w:tcW w:w="5112" w:type="dxa"/>
            <w:tcMar>
              <w:top w:w="90" w:type="dxa"/>
              <w:left w:w="100" w:type="dxa"/>
              <w:bottom w:w="90" w:type="dxa"/>
              <w:right w:w="100" w:type="dxa"/>
            </w:tcMar>
          </w:tcPr>
          <w:p w14:paraId="123F2AC3" w14:textId="77777777" w:rsidR="0040529B" w:rsidRDefault="00E52693">
            <w:r>
              <w:t>Message house, activation plan and approvals operational</w:t>
            </w:r>
          </w:p>
        </w:tc>
        <w:tc>
          <w:tcPr>
            <w:tcW w:w="1872" w:type="dxa"/>
            <w:tcMar>
              <w:top w:w="90" w:type="dxa"/>
              <w:left w:w="100" w:type="dxa"/>
              <w:bottom w:w="90" w:type="dxa"/>
              <w:right w:w="100" w:type="dxa"/>
            </w:tcMar>
          </w:tcPr>
          <w:p w14:paraId="1C58386F" w14:textId="77777777" w:rsidR="0040529B" w:rsidRDefault="00E52693">
            <w:r>
              <w:t>Green / Amber / Red</w:t>
            </w:r>
          </w:p>
        </w:tc>
      </w:tr>
      <w:tr w:rsidR="0040529B" w14:paraId="0860FCC6" w14:textId="77777777">
        <w:trPr>
          <w:cantSplit/>
          <w:jc w:val="center"/>
        </w:trPr>
        <w:tc>
          <w:tcPr>
            <w:tcW w:w="2592" w:type="dxa"/>
            <w:tcMar>
              <w:top w:w="90" w:type="dxa"/>
              <w:left w:w="100" w:type="dxa"/>
              <w:bottom w:w="90" w:type="dxa"/>
              <w:right w:w="100" w:type="dxa"/>
            </w:tcMar>
          </w:tcPr>
          <w:p w14:paraId="7BD38EB5" w14:textId="77777777" w:rsidR="0040529B" w:rsidRDefault="00E52693">
            <w:r>
              <w:t>Technical Confidence</w:t>
            </w:r>
          </w:p>
        </w:tc>
        <w:tc>
          <w:tcPr>
            <w:tcW w:w="1800" w:type="dxa"/>
            <w:tcMar>
              <w:top w:w="90" w:type="dxa"/>
              <w:left w:w="100" w:type="dxa"/>
              <w:bottom w:w="90" w:type="dxa"/>
              <w:right w:w="100" w:type="dxa"/>
            </w:tcMar>
          </w:tcPr>
          <w:p w14:paraId="7E16B68D" w14:textId="77777777" w:rsidR="0040529B" w:rsidRDefault="00E52693">
            <w:r>
              <w:t>Wan Roshaimi</w:t>
            </w:r>
          </w:p>
        </w:tc>
        <w:tc>
          <w:tcPr>
            <w:tcW w:w="5112" w:type="dxa"/>
            <w:tcMar>
              <w:top w:w="90" w:type="dxa"/>
              <w:left w:w="100" w:type="dxa"/>
              <w:bottom w:w="90" w:type="dxa"/>
              <w:right w:w="100" w:type="dxa"/>
            </w:tcMar>
          </w:tcPr>
          <w:p w14:paraId="486648B7" w14:textId="77777777" w:rsidR="0040529B" w:rsidRDefault="00E52693">
            <w:r>
              <w:t>Technical narrative and key constraints validated</w:t>
            </w:r>
          </w:p>
        </w:tc>
        <w:tc>
          <w:tcPr>
            <w:tcW w:w="1872" w:type="dxa"/>
            <w:tcMar>
              <w:top w:w="90" w:type="dxa"/>
              <w:left w:w="100" w:type="dxa"/>
              <w:bottom w:w="90" w:type="dxa"/>
              <w:right w:w="100" w:type="dxa"/>
            </w:tcMar>
          </w:tcPr>
          <w:p w14:paraId="17007A50" w14:textId="77777777" w:rsidR="0040529B" w:rsidRDefault="00E52693">
            <w:r>
              <w:t>Green / Amber / Red</w:t>
            </w:r>
          </w:p>
        </w:tc>
      </w:tr>
      <w:tr w:rsidR="0040529B" w14:paraId="5A1566D6" w14:textId="77777777">
        <w:trPr>
          <w:cantSplit/>
          <w:jc w:val="center"/>
        </w:trPr>
        <w:tc>
          <w:tcPr>
            <w:tcW w:w="2592" w:type="dxa"/>
            <w:tcMar>
              <w:top w:w="90" w:type="dxa"/>
              <w:left w:w="100" w:type="dxa"/>
              <w:bottom w:w="90" w:type="dxa"/>
              <w:right w:w="100" w:type="dxa"/>
            </w:tcMar>
          </w:tcPr>
          <w:p w14:paraId="0BCDE3C4" w14:textId="77777777" w:rsidR="0040529B" w:rsidRDefault="00E52693">
            <w:r>
              <w:t>Operational Coordination</w:t>
            </w:r>
          </w:p>
        </w:tc>
        <w:tc>
          <w:tcPr>
            <w:tcW w:w="1800" w:type="dxa"/>
            <w:tcMar>
              <w:top w:w="90" w:type="dxa"/>
              <w:left w:w="100" w:type="dxa"/>
              <w:bottom w:w="90" w:type="dxa"/>
              <w:right w:w="100" w:type="dxa"/>
            </w:tcMar>
          </w:tcPr>
          <w:p w14:paraId="74A793A4" w14:textId="77777777" w:rsidR="0040529B" w:rsidRDefault="00E52693">
            <w:r>
              <w:t>Zaharudin</w:t>
            </w:r>
          </w:p>
        </w:tc>
        <w:tc>
          <w:tcPr>
            <w:tcW w:w="5112" w:type="dxa"/>
            <w:tcMar>
              <w:top w:w="90" w:type="dxa"/>
              <w:left w:w="100" w:type="dxa"/>
              <w:bottom w:w="90" w:type="dxa"/>
              <w:right w:w="100" w:type="dxa"/>
            </w:tcMar>
          </w:tcPr>
          <w:p w14:paraId="5BD7F8AE" w14:textId="77777777" w:rsidR="0040529B" w:rsidRDefault="00E52693">
            <w:r>
              <w:t>Contacts, access and escalation path agreed</w:t>
            </w:r>
          </w:p>
        </w:tc>
        <w:tc>
          <w:tcPr>
            <w:tcW w:w="1872" w:type="dxa"/>
            <w:tcMar>
              <w:top w:w="90" w:type="dxa"/>
              <w:left w:w="100" w:type="dxa"/>
              <w:bottom w:w="90" w:type="dxa"/>
              <w:right w:w="100" w:type="dxa"/>
            </w:tcMar>
          </w:tcPr>
          <w:p w14:paraId="076C2007" w14:textId="77777777" w:rsidR="0040529B" w:rsidRDefault="00E52693">
            <w:r>
              <w:t>Green / Amber / Red</w:t>
            </w:r>
          </w:p>
        </w:tc>
      </w:tr>
      <w:tr w:rsidR="0040529B" w14:paraId="3DDBC66B" w14:textId="77777777">
        <w:trPr>
          <w:cantSplit/>
          <w:jc w:val="center"/>
        </w:trPr>
        <w:tc>
          <w:tcPr>
            <w:tcW w:w="2592" w:type="dxa"/>
            <w:tcMar>
              <w:top w:w="90" w:type="dxa"/>
              <w:left w:w="100" w:type="dxa"/>
              <w:bottom w:w="90" w:type="dxa"/>
              <w:right w:w="100" w:type="dxa"/>
            </w:tcMar>
          </w:tcPr>
          <w:p w14:paraId="021705B9" w14:textId="77777777" w:rsidR="0040529B" w:rsidRDefault="00E52693">
            <w:r>
              <w:t>National Strategic Alignment</w:t>
            </w:r>
          </w:p>
        </w:tc>
        <w:tc>
          <w:tcPr>
            <w:tcW w:w="1800" w:type="dxa"/>
            <w:tcMar>
              <w:top w:w="90" w:type="dxa"/>
              <w:left w:w="100" w:type="dxa"/>
              <w:bottom w:w="90" w:type="dxa"/>
              <w:right w:w="100" w:type="dxa"/>
            </w:tcMar>
          </w:tcPr>
          <w:p w14:paraId="484345DA" w14:textId="77777777" w:rsidR="0040529B" w:rsidRDefault="00E52693">
            <w:r>
              <w:t>Dr. Megat</w:t>
            </w:r>
          </w:p>
        </w:tc>
        <w:tc>
          <w:tcPr>
            <w:tcW w:w="5112" w:type="dxa"/>
            <w:tcMar>
              <w:top w:w="90" w:type="dxa"/>
              <w:left w:w="100" w:type="dxa"/>
              <w:bottom w:w="90" w:type="dxa"/>
              <w:right w:w="100" w:type="dxa"/>
            </w:tcMar>
          </w:tcPr>
          <w:p w14:paraId="57DB8627" w14:textId="77777777" w:rsidR="0040529B" w:rsidRDefault="00E52693">
            <w:r>
              <w:t>NACSA strategic pathway / guidance clarified</w:t>
            </w:r>
          </w:p>
        </w:tc>
        <w:tc>
          <w:tcPr>
            <w:tcW w:w="1872" w:type="dxa"/>
            <w:tcMar>
              <w:top w:w="90" w:type="dxa"/>
              <w:left w:w="100" w:type="dxa"/>
              <w:bottom w:w="90" w:type="dxa"/>
              <w:right w:w="100" w:type="dxa"/>
            </w:tcMar>
          </w:tcPr>
          <w:p w14:paraId="1BB65B5D" w14:textId="77777777" w:rsidR="0040529B" w:rsidRDefault="00E52693">
            <w:r>
              <w:t>Green / Amber / Red</w:t>
            </w:r>
          </w:p>
        </w:tc>
      </w:tr>
      <w:tr w:rsidR="0040529B" w14:paraId="38A77EDE" w14:textId="77777777">
        <w:trPr>
          <w:cantSplit/>
          <w:jc w:val="center"/>
        </w:trPr>
        <w:tc>
          <w:tcPr>
            <w:tcW w:w="2592" w:type="dxa"/>
            <w:tcMar>
              <w:top w:w="90" w:type="dxa"/>
              <w:left w:w="100" w:type="dxa"/>
              <w:bottom w:w="90" w:type="dxa"/>
              <w:right w:w="100" w:type="dxa"/>
            </w:tcMar>
          </w:tcPr>
          <w:p w14:paraId="3357C339" w14:textId="77777777" w:rsidR="0040529B" w:rsidRDefault="00E52693">
            <w:r>
              <w:t>Overall CyberDSA Readiness</w:t>
            </w:r>
          </w:p>
        </w:tc>
        <w:tc>
          <w:tcPr>
            <w:tcW w:w="1800" w:type="dxa"/>
            <w:tcMar>
              <w:top w:w="90" w:type="dxa"/>
              <w:left w:w="100" w:type="dxa"/>
              <w:bottom w:w="90" w:type="dxa"/>
              <w:right w:w="100" w:type="dxa"/>
            </w:tcMar>
          </w:tcPr>
          <w:p w14:paraId="48E93F11" w14:textId="77777777" w:rsidR="0040529B" w:rsidRDefault="00E52693">
            <w:r>
              <w:t>DAF / Aras</w:t>
            </w:r>
          </w:p>
        </w:tc>
        <w:tc>
          <w:tcPr>
            <w:tcW w:w="5112" w:type="dxa"/>
            <w:tcMar>
              <w:top w:w="90" w:type="dxa"/>
              <w:left w:w="100" w:type="dxa"/>
              <w:bottom w:w="90" w:type="dxa"/>
              <w:right w:w="100" w:type="dxa"/>
            </w:tcMar>
          </w:tcPr>
          <w:p w14:paraId="37255574" w14:textId="77777777" w:rsidR="0040529B" w:rsidRDefault="00E52693">
            <w:r>
              <w:t>No unresolved P0 stakeholder dependency</w:t>
            </w:r>
          </w:p>
        </w:tc>
        <w:tc>
          <w:tcPr>
            <w:tcW w:w="1872" w:type="dxa"/>
            <w:tcMar>
              <w:top w:w="90" w:type="dxa"/>
              <w:left w:w="100" w:type="dxa"/>
              <w:bottom w:w="90" w:type="dxa"/>
              <w:right w:w="100" w:type="dxa"/>
            </w:tcMar>
          </w:tcPr>
          <w:p w14:paraId="2E4C1AA9" w14:textId="77777777" w:rsidR="0040529B" w:rsidRDefault="00E52693">
            <w:r>
              <w:t>Green / Amber / Red</w:t>
            </w:r>
          </w:p>
        </w:tc>
      </w:tr>
    </w:tbl>
    <w:p w14:paraId="0CBACA57" w14:textId="77777777" w:rsidR="0040529B" w:rsidRDefault="00E52693">
      <w:pPr>
        <w:pStyle w:val="Heading2"/>
      </w:pPr>
      <w:r>
        <w:t>10.1 Minimum Activation Targets Before CyberDSA</w:t>
      </w:r>
    </w:p>
    <w:p w14:paraId="74F12E37" w14:textId="77777777" w:rsidR="0040529B" w:rsidRDefault="00E52693">
      <w:pPr>
        <w:pStyle w:val="ListBullet"/>
      </w:pPr>
      <w:r>
        <w:t>6/6 stakeholders engaged or formally routed through an agreed representative/pathway.</w:t>
      </w:r>
    </w:p>
    <w:p w14:paraId="6386E02D" w14:textId="77777777" w:rsidR="0040529B" w:rsidRDefault="00E52693">
      <w:pPr>
        <w:pStyle w:val="ListBullet"/>
      </w:pPr>
      <w:r>
        <w:t>5/5 CSM stakeholder workstreams at Green or controlled Amber before NACSA engagement.</w:t>
      </w:r>
    </w:p>
    <w:p w14:paraId="48530347" w14:textId="77777777" w:rsidR="0040529B" w:rsidRDefault="00E52693">
      <w:pPr>
        <w:pStyle w:val="ListBullet"/>
      </w:pPr>
      <w:r>
        <w:t>One approved strategic narrative used consistently across partnership, commercial and media materials.</w:t>
      </w:r>
    </w:p>
    <w:p w14:paraId="33B187F8" w14:textId="77777777" w:rsidR="0040529B" w:rsidRDefault="00E52693">
      <w:pPr>
        <w:pStyle w:val="ListBullet"/>
      </w:pPr>
      <w:r>
        <w:t>Named post-event commercial ownership for priority opportunities.</w:t>
      </w:r>
    </w:p>
    <w:p w14:paraId="3CBA1261" w14:textId="77777777" w:rsidR="0040529B" w:rsidRDefault="00E52693">
      <w:pPr>
        <w:pStyle w:val="ListBullet"/>
      </w:pPr>
      <w:r>
        <w:t>Zero ambiguity that Aras leads POC delivery support while CSM enables access, credibility and institutional coordination.</w:t>
      </w:r>
    </w:p>
    <w:p w14:paraId="495FF28C" w14:textId="77777777" w:rsidR="0040529B" w:rsidRDefault="00E52693">
      <w:pPr>
        <w:pStyle w:val="ListBullet"/>
      </w:pPr>
      <w:r>
        <w:t>NACSA references or support, if any, represented exactly and never overstated.</w:t>
      </w:r>
    </w:p>
    <w:p w14:paraId="00E8C080" w14:textId="77777777" w:rsidR="0040529B" w:rsidRDefault="00E52693">
      <w:pPr>
        <w:pStyle w:val="Heading1"/>
      </w:pPr>
      <w:r>
        <w:t>11. Key Risks and Mitigations</w:t>
      </w:r>
    </w:p>
    <w:tbl>
      <w:tblPr>
        <w:tblW w:w="0" w:type="auto"/>
        <w:jc w:val="center"/>
        <w:tblBorders>
          <w:top w:val="single" w:sz="4" w:space="0" w:color="E5D8B0"/>
          <w:left w:val="single" w:sz="4" w:space="0" w:color="E5D8B0"/>
          <w:bottom w:val="single" w:sz="4" w:space="0" w:color="E5D8B0"/>
          <w:right w:val="single" w:sz="4" w:space="0" w:color="E5D8B0"/>
          <w:insideH w:val="single" w:sz="4" w:space="0" w:color="E5D8B0"/>
          <w:insideV w:val="single" w:sz="4" w:space="0" w:color="E5D8B0"/>
        </w:tblBorders>
        <w:tblLayout w:type="fixed"/>
        <w:tblLook w:val="04A0" w:firstRow="1" w:lastRow="0" w:firstColumn="1" w:lastColumn="0" w:noHBand="0" w:noVBand="1"/>
      </w:tblPr>
      <w:tblGrid>
        <w:gridCol w:w="2520"/>
        <w:gridCol w:w="3816"/>
        <w:gridCol w:w="5472"/>
      </w:tblGrid>
      <w:tr w:rsidR="0040529B" w14:paraId="1BBE00FB" w14:textId="77777777">
        <w:trPr>
          <w:cantSplit/>
          <w:jc w:val="center"/>
        </w:trPr>
        <w:tc>
          <w:tcPr>
            <w:tcW w:w="2520" w:type="dxa"/>
            <w:shd w:val="clear" w:color="auto" w:fill="7F6000"/>
            <w:tcMar>
              <w:top w:w="90" w:type="dxa"/>
              <w:left w:w="100" w:type="dxa"/>
              <w:bottom w:w="90" w:type="dxa"/>
              <w:right w:w="100" w:type="dxa"/>
            </w:tcMar>
          </w:tcPr>
          <w:p w14:paraId="7C2DA798" w14:textId="77777777" w:rsidR="0040529B" w:rsidRDefault="00E52693">
            <w:r>
              <w:rPr>
                <w:b/>
                <w:color w:val="FFFFFF"/>
              </w:rPr>
              <w:t>Risk</w:t>
            </w:r>
          </w:p>
        </w:tc>
        <w:tc>
          <w:tcPr>
            <w:tcW w:w="3816" w:type="dxa"/>
            <w:shd w:val="clear" w:color="auto" w:fill="7F6000"/>
            <w:tcMar>
              <w:top w:w="90" w:type="dxa"/>
              <w:left w:w="100" w:type="dxa"/>
              <w:bottom w:w="90" w:type="dxa"/>
              <w:right w:w="100" w:type="dxa"/>
            </w:tcMar>
          </w:tcPr>
          <w:p w14:paraId="7E835BCA" w14:textId="77777777" w:rsidR="0040529B" w:rsidRDefault="00E52693">
            <w:r>
              <w:rPr>
                <w:b/>
                <w:color w:val="FFFFFF"/>
              </w:rPr>
              <w:t>Failure Mode</w:t>
            </w:r>
          </w:p>
        </w:tc>
        <w:tc>
          <w:tcPr>
            <w:tcW w:w="5472" w:type="dxa"/>
            <w:shd w:val="clear" w:color="auto" w:fill="7F6000"/>
            <w:tcMar>
              <w:top w:w="90" w:type="dxa"/>
              <w:left w:w="100" w:type="dxa"/>
              <w:bottom w:w="90" w:type="dxa"/>
              <w:right w:w="100" w:type="dxa"/>
            </w:tcMar>
          </w:tcPr>
          <w:p w14:paraId="10655D6E" w14:textId="77777777" w:rsidR="0040529B" w:rsidRDefault="00E52693">
            <w:r>
              <w:rPr>
                <w:b/>
                <w:color w:val="FFFFFF"/>
              </w:rPr>
              <w:t>Mitigation</w:t>
            </w:r>
          </w:p>
        </w:tc>
      </w:tr>
      <w:tr w:rsidR="0040529B" w14:paraId="6F011A33" w14:textId="77777777">
        <w:trPr>
          <w:cantSplit/>
          <w:jc w:val="center"/>
        </w:trPr>
        <w:tc>
          <w:tcPr>
            <w:tcW w:w="2520" w:type="dxa"/>
            <w:tcMar>
              <w:top w:w="90" w:type="dxa"/>
              <w:left w:w="100" w:type="dxa"/>
              <w:bottom w:w="90" w:type="dxa"/>
              <w:right w:w="100" w:type="dxa"/>
            </w:tcMar>
          </w:tcPr>
          <w:p w14:paraId="6338639D" w14:textId="77777777" w:rsidR="0040529B" w:rsidRDefault="00E52693">
            <w:r>
              <w:t>Fragmented CSM buy-in</w:t>
            </w:r>
          </w:p>
        </w:tc>
        <w:tc>
          <w:tcPr>
            <w:tcW w:w="3816" w:type="dxa"/>
            <w:tcMar>
              <w:top w:w="90" w:type="dxa"/>
              <w:left w:w="100" w:type="dxa"/>
              <w:bottom w:w="90" w:type="dxa"/>
              <w:right w:w="100" w:type="dxa"/>
            </w:tcMar>
          </w:tcPr>
          <w:p w14:paraId="0552745A" w14:textId="77777777" w:rsidR="0040529B" w:rsidRDefault="00E52693">
            <w:r>
              <w:t>Different stakeholders interpret CyberDSA as unrelated product activity.</w:t>
            </w:r>
          </w:p>
        </w:tc>
        <w:tc>
          <w:tcPr>
            <w:tcW w:w="5472" w:type="dxa"/>
            <w:tcMar>
              <w:top w:w="90" w:type="dxa"/>
              <w:left w:w="100" w:type="dxa"/>
              <w:bottom w:w="90" w:type="dxa"/>
              <w:right w:w="100" w:type="dxa"/>
            </w:tcMar>
          </w:tcPr>
          <w:p w14:paraId="47464CE7" w14:textId="77777777" w:rsidR="0040529B" w:rsidRDefault="00E52693">
            <w:r>
              <w:t>Use Azrul’s partnership alignment as the umbrella; repeat one narrative spine in every engagement.</w:t>
            </w:r>
          </w:p>
        </w:tc>
      </w:tr>
      <w:tr w:rsidR="0040529B" w14:paraId="7270D7D0" w14:textId="77777777">
        <w:trPr>
          <w:cantSplit/>
          <w:jc w:val="center"/>
        </w:trPr>
        <w:tc>
          <w:tcPr>
            <w:tcW w:w="2520" w:type="dxa"/>
            <w:tcMar>
              <w:top w:w="90" w:type="dxa"/>
              <w:left w:w="100" w:type="dxa"/>
              <w:bottom w:w="90" w:type="dxa"/>
              <w:right w:w="100" w:type="dxa"/>
            </w:tcMar>
          </w:tcPr>
          <w:p w14:paraId="18570007" w14:textId="77777777" w:rsidR="0040529B" w:rsidRDefault="00E52693">
            <w:r>
              <w:t>Commercial activity starts too late</w:t>
            </w:r>
          </w:p>
        </w:tc>
        <w:tc>
          <w:tcPr>
            <w:tcW w:w="3816" w:type="dxa"/>
            <w:tcMar>
              <w:top w:w="90" w:type="dxa"/>
              <w:left w:w="100" w:type="dxa"/>
              <w:bottom w:w="90" w:type="dxa"/>
              <w:right w:w="100" w:type="dxa"/>
            </w:tcMar>
          </w:tcPr>
          <w:p w14:paraId="5CA8DCCA" w14:textId="77777777" w:rsidR="0040529B" w:rsidRDefault="00E52693">
            <w:r>
              <w:t>Event produces visibility but weak conversion.</w:t>
            </w:r>
          </w:p>
        </w:tc>
        <w:tc>
          <w:tcPr>
            <w:tcW w:w="5472" w:type="dxa"/>
            <w:tcMar>
              <w:top w:w="90" w:type="dxa"/>
              <w:left w:w="100" w:type="dxa"/>
              <w:bottom w:w="90" w:type="dxa"/>
              <w:right w:w="100" w:type="dxa"/>
            </w:tcMar>
          </w:tcPr>
          <w:p w14:paraId="552B1FD3" w14:textId="77777777" w:rsidR="0040529B" w:rsidRDefault="00E52693">
            <w:r>
              <w:t>Secure Zulfikar’s commercial model and named account owners before final event preparations.</w:t>
            </w:r>
          </w:p>
        </w:tc>
      </w:tr>
      <w:tr w:rsidR="0040529B" w14:paraId="320DF3EB" w14:textId="77777777">
        <w:trPr>
          <w:cantSplit/>
          <w:jc w:val="center"/>
        </w:trPr>
        <w:tc>
          <w:tcPr>
            <w:tcW w:w="2520" w:type="dxa"/>
            <w:tcMar>
              <w:top w:w="90" w:type="dxa"/>
              <w:left w:w="100" w:type="dxa"/>
              <w:bottom w:w="90" w:type="dxa"/>
              <w:right w:w="100" w:type="dxa"/>
            </w:tcMar>
          </w:tcPr>
          <w:p w14:paraId="6E14318F" w14:textId="77777777" w:rsidR="0040529B" w:rsidRDefault="00E52693">
            <w:r>
              <w:t>Media overclaims partnership or endorsement</w:t>
            </w:r>
          </w:p>
        </w:tc>
        <w:tc>
          <w:tcPr>
            <w:tcW w:w="3816" w:type="dxa"/>
            <w:tcMar>
              <w:top w:w="90" w:type="dxa"/>
              <w:left w:w="100" w:type="dxa"/>
              <w:bottom w:w="90" w:type="dxa"/>
              <w:right w:w="100" w:type="dxa"/>
            </w:tcMar>
          </w:tcPr>
          <w:p w14:paraId="17BE237A" w14:textId="77777777" w:rsidR="0040529B" w:rsidRDefault="00E52693">
            <w:r>
              <w:t>Public statements create governance or reputational sensitivity.</w:t>
            </w:r>
          </w:p>
        </w:tc>
        <w:tc>
          <w:tcPr>
            <w:tcW w:w="5472" w:type="dxa"/>
            <w:tcMar>
              <w:top w:w="90" w:type="dxa"/>
              <w:left w:w="100" w:type="dxa"/>
              <w:bottom w:w="90" w:type="dxa"/>
              <w:right w:w="100" w:type="dxa"/>
            </w:tcMar>
          </w:tcPr>
          <w:p w14:paraId="7463C1C7" w14:textId="77777777" w:rsidR="0040529B" w:rsidRDefault="00E52693">
            <w:r>
              <w:t>Bala-led approval path; distinguish partnership, alignment, participation and endorsement precisely.</w:t>
            </w:r>
          </w:p>
        </w:tc>
      </w:tr>
      <w:tr w:rsidR="0040529B" w14:paraId="37829127" w14:textId="77777777">
        <w:trPr>
          <w:cantSplit/>
          <w:jc w:val="center"/>
        </w:trPr>
        <w:tc>
          <w:tcPr>
            <w:tcW w:w="2520" w:type="dxa"/>
            <w:tcMar>
              <w:top w:w="90" w:type="dxa"/>
              <w:left w:w="100" w:type="dxa"/>
              <w:bottom w:w="90" w:type="dxa"/>
              <w:right w:w="100" w:type="dxa"/>
            </w:tcMar>
          </w:tcPr>
          <w:p w14:paraId="5C53452D" w14:textId="77777777" w:rsidR="0040529B" w:rsidRDefault="00E52693">
            <w:r>
              <w:t>Technical team is treated as delivery resource</w:t>
            </w:r>
          </w:p>
        </w:tc>
        <w:tc>
          <w:tcPr>
            <w:tcW w:w="3816" w:type="dxa"/>
            <w:tcMar>
              <w:top w:w="90" w:type="dxa"/>
              <w:left w:w="100" w:type="dxa"/>
              <w:bottom w:w="90" w:type="dxa"/>
              <w:right w:w="100" w:type="dxa"/>
            </w:tcMar>
          </w:tcPr>
          <w:p w14:paraId="0191C224" w14:textId="77777777" w:rsidR="0040529B" w:rsidRDefault="00E52693">
            <w:r>
              <w:t>CSM becomes burdened with POC execution expectations.</w:t>
            </w:r>
          </w:p>
        </w:tc>
        <w:tc>
          <w:tcPr>
            <w:tcW w:w="5472" w:type="dxa"/>
            <w:tcMar>
              <w:top w:w="90" w:type="dxa"/>
              <w:left w:w="100" w:type="dxa"/>
              <w:bottom w:w="90" w:type="dxa"/>
              <w:right w:w="100" w:type="dxa"/>
            </w:tcMar>
          </w:tcPr>
          <w:p w14:paraId="4FD19D0B" w14:textId="77777777" w:rsidR="0040529B" w:rsidRDefault="00E52693">
            <w:r>
              <w:t>State explicitly that Aras owns POC delivery; Wan Roshaimi validates strategy/governance and Zaharudin enables coordination.</w:t>
            </w:r>
          </w:p>
        </w:tc>
      </w:tr>
      <w:tr w:rsidR="0040529B" w14:paraId="650D7063" w14:textId="77777777">
        <w:trPr>
          <w:cantSplit/>
          <w:jc w:val="center"/>
        </w:trPr>
        <w:tc>
          <w:tcPr>
            <w:tcW w:w="2520" w:type="dxa"/>
            <w:tcMar>
              <w:top w:w="90" w:type="dxa"/>
              <w:left w:w="100" w:type="dxa"/>
              <w:bottom w:w="90" w:type="dxa"/>
              <w:right w:w="100" w:type="dxa"/>
            </w:tcMar>
          </w:tcPr>
          <w:p w14:paraId="27076886" w14:textId="77777777" w:rsidR="0040529B" w:rsidRDefault="00E52693">
            <w:r>
              <w:t>Premature NACSA approach</w:t>
            </w:r>
          </w:p>
        </w:tc>
        <w:tc>
          <w:tcPr>
            <w:tcW w:w="3816" w:type="dxa"/>
            <w:tcMar>
              <w:top w:w="90" w:type="dxa"/>
              <w:left w:w="100" w:type="dxa"/>
              <w:bottom w:w="90" w:type="dxa"/>
              <w:right w:w="100" w:type="dxa"/>
            </w:tcMar>
          </w:tcPr>
          <w:p w14:paraId="6241B0F9" w14:textId="77777777" w:rsidR="0040529B" w:rsidRDefault="00E52693">
            <w:r>
              <w:t>Proposal appears uncoordinated or endorsement-seeking.</w:t>
            </w:r>
          </w:p>
        </w:tc>
        <w:tc>
          <w:tcPr>
            <w:tcW w:w="5472" w:type="dxa"/>
            <w:tcMar>
              <w:top w:w="90" w:type="dxa"/>
              <w:left w:w="100" w:type="dxa"/>
              <w:bottom w:w="90" w:type="dxa"/>
              <w:right w:w="100" w:type="dxa"/>
            </w:tcMar>
          </w:tcPr>
          <w:p w14:paraId="0D2F2790" w14:textId="77777777" w:rsidR="0040529B" w:rsidRDefault="00E52693">
            <w:r>
              <w:t>Engage Dr. Megat after CSM alignment gates are substantially complete.</w:t>
            </w:r>
          </w:p>
        </w:tc>
      </w:tr>
      <w:tr w:rsidR="0040529B" w14:paraId="63A35FCD" w14:textId="77777777">
        <w:trPr>
          <w:cantSplit/>
          <w:jc w:val="center"/>
        </w:trPr>
        <w:tc>
          <w:tcPr>
            <w:tcW w:w="2520" w:type="dxa"/>
            <w:tcMar>
              <w:top w:w="90" w:type="dxa"/>
              <w:left w:w="100" w:type="dxa"/>
              <w:bottom w:w="90" w:type="dxa"/>
              <w:right w:w="100" w:type="dxa"/>
            </w:tcMar>
          </w:tcPr>
          <w:p w14:paraId="4F9D8531" w14:textId="77777777" w:rsidR="0040529B" w:rsidRDefault="00E52693">
            <w:r>
              <w:t>Stakeholder support remains verbal</w:t>
            </w:r>
          </w:p>
        </w:tc>
        <w:tc>
          <w:tcPr>
            <w:tcW w:w="3816" w:type="dxa"/>
            <w:tcMar>
              <w:top w:w="90" w:type="dxa"/>
              <w:left w:w="100" w:type="dxa"/>
              <w:bottom w:w="90" w:type="dxa"/>
              <w:right w:w="100" w:type="dxa"/>
            </w:tcMar>
          </w:tcPr>
          <w:p w14:paraId="690B92F9" w14:textId="77777777" w:rsidR="0040529B" w:rsidRDefault="00E52693">
            <w:r>
              <w:t>No operational follow-through.</w:t>
            </w:r>
          </w:p>
        </w:tc>
        <w:tc>
          <w:tcPr>
            <w:tcW w:w="5472" w:type="dxa"/>
            <w:tcMar>
              <w:top w:w="90" w:type="dxa"/>
              <w:left w:w="100" w:type="dxa"/>
              <w:bottom w:w="90" w:type="dxa"/>
              <w:right w:w="100" w:type="dxa"/>
            </w:tcMar>
          </w:tcPr>
          <w:p w14:paraId="7C12430E" w14:textId="77777777" w:rsidR="0040529B" w:rsidRDefault="00E52693">
            <w:r>
              <w:t>Every meeting closes with an owner, due date and written recap.</w:t>
            </w:r>
          </w:p>
        </w:tc>
      </w:tr>
      <w:tr w:rsidR="0040529B" w14:paraId="2A43FC23" w14:textId="77777777">
        <w:trPr>
          <w:cantSplit/>
          <w:jc w:val="center"/>
        </w:trPr>
        <w:tc>
          <w:tcPr>
            <w:tcW w:w="2520" w:type="dxa"/>
            <w:tcMar>
              <w:top w:w="90" w:type="dxa"/>
              <w:left w:w="100" w:type="dxa"/>
              <w:bottom w:w="90" w:type="dxa"/>
              <w:right w:w="100" w:type="dxa"/>
            </w:tcMar>
          </w:tcPr>
          <w:p w14:paraId="0D9F3516" w14:textId="77777777" w:rsidR="0040529B" w:rsidRDefault="00E52693">
            <w:r>
              <w:t>Too many parallel conversations</w:t>
            </w:r>
          </w:p>
        </w:tc>
        <w:tc>
          <w:tcPr>
            <w:tcW w:w="3816" w:type="dxa"/>
            <w:tcMar>
              <w:top w:w="90" w:type="dxa"/>
              <w:left w:w="100" w:type="dxa"/>
              <w:bottom w:w="90" w:type="dxa"/>
              <w:right w:w="100" w:type="dxa"/>
            </w:tcMar>
          </w:tcPr>
          <w:p w14:paraId="2FC438E7" w14:textId="77777777" w:rsidR="0040529B" w:rsidRDefault="00E52693">
            <w:r>
              <w:t>Conflicting messages and duplicated asks.</w:t>
            </w:r>
          </w:p>
        </w:tc>
        <w:tc>
          <w:tcPr>
            <w:tcW w:w="5472" w:type="dxa"/>
            <w:tcMar>
              <w:top w:w="90" w:type="dxa"/>
              <w:left w:w="100" w:type="dxa"/>
              <w:bottom w:w="90" w:type="dxa"/>
              <w:right w:w="100" w:type="dxa"/>
            </w:tcMar>
          </w:tcPr>
          <w:p w14:paraId="15C7BA55" w14:textId="77777777" w:rsidR="0040529B" w:rsidRDefault="00E52693">
            <w:r>
              <w:t>Single owner and master tracker; sequence engagements and record decisions centrally.</w:t>
            </w:r>
          </w:p>
        </w:tc>
      </w:tr>
    </w:tbl>
    <w:p w14:paraId="0D2C9978" w14:textId="77777777" w:rsidR="0040529B" w:rsidRDefault="00E52693">
      <w:pPr>
        <w:pStyle w:val="Heading1"/>
      </w:pPr>
      <w:r>
        <w:t>12. Immediate Action Register</w:t>
      </w:r>
    </w:p>
    <w:p w14:paraId="03084067" w14:textId="77777777" w:rsidR="0040529B" w:rsidRDefault="00E52693">
      <w:r>
        <w:t>The following actions should be treated as the activation baseline. The order is intentional.</w:t>
      </w:r>
    </w:p>
    <w:tbl>
      <w:tblPr>
        <w:tblW w:w="0" w:type="auto"/>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val="04A0" w:firstRow="1" w:lastRow="0" w:firstColumn="1" w:lastColumn="0" w:noHBand="0" w:noVBand="1"/>
      </w:tblPr>
      <w:tblGrid>
        <w:gridCol w:w="1008"/>
        <w:gridCol w:w="1440"/>
        <w:gridCol w:w="4896"/>
        <w:gridCol w:w="1800"/>
        <w:gridCol w:w="1728"/>
        <w:gridCol w:w="1296"/>
      </w:tblGrid>
      <w:tr w:rsidR="0040529B" w14:paraId="1FE0A691" w14:textId="77777777">
        <w:trPr>
          <w:cantSplit/>
          <w:jc w:val="center"/>
        </w:trPr>
        <w:tc>
          <w:tcPr>
            <w:tcW w:w="1008" w:type="dxa"/>
            <w:shd w:val="clear" w:color="auto" w:fill="17365D"/>
            <w:tcMar>
              <w:top w:w="45" w:type="dxa"/>
              <w:left w:w="65" w:type="dxa"/>
              <w:bottom w:w="45" w:type="dxa"/>
              <w:right w:w="65" w:type="dxa"/>
            </w:tcMar>
          </w:tcPr>
          <w:p w14:paraId="6E9B5E8C" w14:textId="77777777" w:rsidR="0040529B" w:rsidRDefault="00E52693">
            <w:pPr>
              <w:spacing w:after="0"/>
            </w:pPr>
            <w:r>
              <w:rPr>
                <w:b/>
                <w:color w:val="FFFFFF"/>
                <w:sz w:val="16"/>
              </w:rPr>
              <w:t>ID</w:t>
            </w:r>
          </w:p>
        </w:tc>
        <w:tc>
          <w:tcPr>
            <w:tcW w:w="1440" w:type="dxa"/>
            <w:shd w:val="clear" w:color="auto" w:fill="17365D"/>
            <w:tcMar>
              <w:top w:w="45" w:type="dxa"/>
              <w:left w:w="65" w:type="dxa"/>
              <w:bottom w:w="45" w:type="dxa"/>
              <w:right w:w="65" w:type="dxa"/>
            </w:tcMar>
          </w:tcPr>
          <w:p w14:paraId="5987045E" w14:textId="77777777" w:rsidR="0040529B" w:rsidRDefault="00E52693">
            <w:pPr>
              <w:spacing w:after="0"/>
            </w:pPr>
            <w:r>
              <w:rPr>
                <w:b/>
                <w:color w:val="FFFFFF"/>
                <w:sz w:val="16"/>
              </w:rPr>
              <w:t>Stakeholder</w:t>
            </w:r>
          </w:p>
        </w:tc>
        <w:tc>
          <w:tcPr>
            <w:tcW w:w="4896" w:type="dxa"/>
            <w:shd w:val="clear" w:color="auto" w:fill="17365D"/>
            <w:tcMar>
              <w:top w:w="45" w:type="dxa"/>
              <w:left w:w="65" w:type="dxa"/>
              <w:bottom w:w="45" w:type="dxa"/>
              <w:right w:w="65" w:type="dxa"/>
            </w:tcMar>
          </w:tcPr>
          <w:p w14:paraId="2BBF5CF2" w14:textId="77777777" w:rsidR="0040529B" w:rsidRDefault="00E52693">
            <w:pPr>
              <w:spacing w:after="0"/>
            </w:pPr>
            <w:r>
              <w:rPr>
                <w:b/>
                <w:color w:val="FFFFFF"/>
                <w:sz w:val="16"/>
              </w:rPr>
              <w:t>Action</w:t>
            </w:r>
          </w:p>
        </w:tc>
        <w:tc>
          <w:tcPr>
            <w:tcW w:w="1800" w:type="dxa"/>
            <w:shd w:val="clear" w:color="auto" w:fill="17365D"/>
            <w:tcMar>
              <w:top w:w="45" w:type="dxa"/>
              <w:left w:w="65" w:type="dxa"/>
              <w:bottom w:w="45" w:type="dxa"/>
              <w:right w:w="65" w:type="dxa"/>
            </w:tcMar>
          </w:tcPr>
          <w:p w14:paraId="675D7EBD" w14:textId="77777777" w:rsidR="0040529B" w:rsidRDefault="00E52693">
            <w:pPr>
              <w:spacing w:after="0"/>
            </w:pPr>
            <w:r>
              <w:rPr>
                <w:b/>
                <w:color w:val="FFFFFF"/>
                <w:sz w:val="16"/>
              </w:rPr>
              <w:t>Owner</w:t>
            </w:r>
          </w:p>
        </w:tc>
        <w:tc>
          <w:tcPr>
            <w:tcW w:w="1728" w:type="dxa"/>
            <w:shd w:val="clear" w:color="auto" w:fill="17365D"/>
            <w:tcMar>
              <w:top w:w="45" w:type="dxa"/>
              <w:left w:w="65" w:type="dxa"/>
              <w:bottom w:w="45" w:type="dxa"/>
              <w:right w:w="65" w:type="dxa"/>
            </w:tcMar>
          </w:tcPr>
          <w:p w14:paraId="08D3F5CD" w14:textId="77777777" w:rsidR="0040529B" w:rsidRDefault="00E52693">
            <w:pPr>
              <w:spacing w:after="0"/>
            </w:pPr>
            <w:r>
              <w:rPr>
                <w:b/>
                <w:color w:val="FFFFFF"/>
                <w:sz w:val="16"/>
              </w:rPr>
              <w:t>Timing</w:t>
            </w:r>
          </w:p>
        </w:tc>
        <w:tc>
          <w:tcPr>
            <w:tcW w:w="1296" w:type="dxa"/>
            <w:shd w:val="clear" w:color="auto" w:fill="17365D"/>
            <w:tcMar>
              <w:top w:w="45" w:type="dxa"/>
              <w:left w:w="65" w:type="dxa"/>
              <w:bottom w:w="45" w:type="dxa"/>
              <w:right w:w="65" w:type="dxa"/>
            </w:tcMar>
          </w:tcPr>
          <w:p w14:paraId="4689647B" w14:textId="77777777" w:rsidR="0040529B" w:rsidRDefault="00E52693">
            <w:pPr>
              <w:spacing w:after="0"/>
            </w:pPr>
            <w:r>
              <w:rPr>
                <w:b/>
                <w:color w:val="FFFFFF"/>
                <w:sz w:val="16"/>
              </w:rPr>
              <w:t>Status</w:t>
            </w:r>
          </w:p>
        </w:tc>
      </w:tr>
      <w:tr w:rsidR="0040529B" w14:paraId="39254BFC" w14:textId="77777777">
        <w:trPr>
          <w:cantSplit/>
          <w:jc w:val="center"/>
        </w:trPr>
        <w:tc>
          <w:tcPr>
            <w:tcW w:w="1008" w:type="dxa"/>
            <w:tcMar>
              <w:top w:w="45" w:type="dxa"/>
              <w:left w:w="65" w:type="dxa"/>
              <w:bottom w:w="45" w:type="dxa"/>
              <w:right w:w="65" w:type="dxa"/>
            </w:tcMar>
          </w:tcPr>
          <w:p w14:paraId="0862C107" w14:textId="77777777" w:rsidR="0040529B" w:rsidRDefault="00E52693">
            <w:pPr>
              <w:spacing w:after="0" w:line="240" w:lineRule="auto"/>
            </w:pPr>
            <w:r>
              <w:rPr>
                <w:sz w:val="17"/>
              </w:rPr>
              <w:t>P0-01</w:t>
            </w:r>
          </w:p>
        </w:tc>
        <w:tc>
          <w:tcPr>
            <w:tcW w:w="1440" w:type="dxa"/>
            <w:tcMar>
              <w:top w:w="45" w:type="dxa"/>
              <w:left w:w="65" w:type="dxa"/>
              <w:bottom w:w="45" w:type="dxa"/>
              <w:right w:w="65" w:type="dxa"/>
            </w:tcMar>
          </w:tcPr>
          <w:p w14:paraId="4F93CD6F" w14:textId="77777777" w:rsidR="0040529B" w:rsidRDefault="00E52693">
            <w:pPr>
              <w:spacing w:after="0" w:line="240" w:lineRule="auto"/>
            </w:pPr>
            <w:r>
              <w:rPr>
                <w:sz w:val="17"/>
              </w:rPr>
              <w:t>Azrul</w:t>
            </w:r>
          </w:p>
        </w:tc>
        <w:tc>
          <w:tcPr>
            <w:tcW w:w="4896" w:type="dxa"/>
            <w:tcMar>
              <w:top w:w="45" w:type="dxa"/>
              <w:left w:w="65" w:type="dxa"/>
              <w:bottom w:w="45" w:type="dxa"/>
              <w:right w:w="65" w:type="dxa"/>
            </w:tcMar>
          </w:tcPr>
          <w:p w14:paraId="743CF563" w14:textId="77777777" w:rsidR="0040529B" w:rsidRDefault="00E52693">
            <w:pPr>
              <w:spacing w:after="0" w:line="240" w:lineRule="auto"/>
            </w:pPr>
            <w:r>
              <w:rPr>
                <w:sz w:val="17"/>
              </w:rPr>
              <w:t>Request partnership alignment session focused on CyberDSA narrative and stakeholder activation.</w:t>
            </w:r>
          </w:p>
        </w:tc>
        <w:tc>
          <w:tcPr>
            <w:tcW w:w="1800" w:type="dxa"/>
            <w:tcMar>
              <w:top w:w="45" w:type="dxa"/>
              <w:left w:w="65" w:type="dxa"/>
              <w:bottom w:w="45" w:type="dxa"/>
              <w:right w:w="65" w:type="dxa"/>
            </w:tcMar>
          </w:tcPr>
          <w:p w14:paraId="619EBD8A" w14:textId="77777777" w:rsidR="0040529B" w:rsidRDefault="00E52693">
            <w:pPr>
              <w:spacing w:after="0" w:line="240" w:lineRule="auto"/>
            </w:pPr>
            <w:r>
              <w:rPr>
                <w:sz w:val="17"/>
              </w:rPr>
              <w:t>DAF</w:t>
            </w:r>
          </w:p>
        </w:tc>
        <w:tc>
          <w:tcPr>
            <w:tcW w:w="1728" w:type="dxa"/>
            <w:tcMar>
              <w:top w:w="45" w:type="dxa"/>
              <w:left w:w="65" w:type="dxa"/>
              <w:bottom w:w="45" w:type="dxa"/>
              <w:right w:w="65" w:type="dxa"/>
            </w:tcMar>
          </w:tcPr>
          <w:p w14:paraId="21DA4A99" w14:textId="77777777" w:rsidR="0040529B" w:rsidRDefault="00E52693">
            <w:pPr>
              <w:spacing w:after="0" w:line="240" w:lineRule="auto"/>
            </w:pPr>
            <w:r>
              <w:rPr>
                <w:sz w:val="17"/>
              </w:rPr>
              <w:t>Immediate</w:t>
            </w:r>
          </w:p>
        </w:tc>
        <w:tc>
          <w:tcPr>
            <w:tcW w:w="1296" w:type="dxa"/>
            <w:tcMar>
              <w:top w:w="45" w:type="dxa"/>
              <w:left w:w="65" w:type="dxa"/>
              <w:bottom w:w="45" w:type="dxa"/>
              <w:right w:w="65" w:type="dxa"/>
            </w:tcMar>
          </w:tcPr>
          <w:p w14:paraId="4E6CA5E6" w14:textId="77777777" w:rsidR="0040529B" w:rsidRDefault="00E52693">
            <w:pPr>
              <w:spacing w:after="0" w:line="240" w:lineRule="auto"/>
            </w:pPr>
            <w:r>
              <w:rPr>
                <w:sz w:val="17"/>
              </w:rPr>
              <w:t>Open</w:t>
            </w:r>
          </w:p>
        </w:tc>
      </w:tr>
      <w:tr w:rsidR="0040529B" w14:paraId="70D240D8" w14:textId="77777777">
        <w:trPr>
          <w:cantSplit/>
          <w:jc w:val="center"/>
        </w:trPr>
        <w:tc>
          <w:tcPr>
            <w:tcW w:w="1008" w:type="dxa"/>
            <w:tcMar>
              <w:top w:w="45" w:type="dxa"/>
              <w:left w:w="65" w:type="dxa"/>
              <w:bottom w:w="45" w:type="dxa"/>
              <w:right w:w="65" w:type="dxa"/>
            </w:tcMar>
          </w:tcPr>
          <w:p w14:paraId="66E0DDCF" w14:textId="77777777" w:rsidR="0040529B" w:rsidRDefault="00E52693">
            <w:pPr>
              <w:spacing w:after="0" w:line="240" w:lineRule="auto"/>
            </w:pPr>
            <w:r>
              <w:rPr>
                <w:sz w:val="17"/>
              </w:rPr>
              <w:t>P0-02</w:t>
            </w:r>
          </w:p>
        </w:tc>
        <w:tc>
          <w:tcPr>
            <w:tcW w:w="1440" w:type="dxa"/>
            <w:tcMar>
              <w:top w:w="45" w:type="dxa"/>
              <w:left w:w="65" w:type="dxa"/>
              <w:bottom w:w="45" w:type="dxa"/>
              <w:right w:w="65" w:type="dxa"/>
            </w:tcMar>
          </w:tcPr>
          <w:p w14:paraId="5BAA312E" w14:textId="77777777" w:rsidR="0040529B" w:rsidRDefault="00E52693">
            <w:pPr>
              <w:spacing w:after="0" w:line="240" w:lineRule="auto"/>
            </w:pPr>
            <w:r>
              <w:rPr>
                <w:sz w:val="17"/>
              </w:rPr>
              <w:t>Azrul</w:t>
            </w:r>
          </w:p>
        </w:tc>
        <w:tc>
          <w:tcPr>
            <w:tcW w:w="4896" w:type="dxa"/>
            <w:tcMar>
              <w:top w:w="45" w:type="dxa"/>
              <w:left w:w="65" w:type="dxa"/>
              <w:bottom w:w="45" w:type="dxa"/>
              <w:right w:w="65" w:type="dxa"/>
            </w:tcMar>
          </w:tcPr>
          <w:p w14:paraId="2B2D8987" w14:textId="77777777" w:rsidR="0040529B" w:rsidRDefault="00E52693">
            <w:pPr>
              <w:spacing w:after="0" w:line="240" w:lineRule="auto"/>
            </w:pPr>
            <w:r>
              <w:rPr>
                <w:sz w:val="17"/>
              </w:rPr>
              <w:t>Close on joint narrative, sponsorship and sequence for Zulfikar, Bala, Wan Roshaimi and Zaharudin.</w:t>
            </w:r>
          </w:p>
        </w:tc>
        <w:tc>
          <w:tcPr>
            <w:tcW w:w="1800" w:type="dxa"/>
            <w:tcMar>
              <w:top w:w="45" w:type="dxa"/>
              <w:left w:w="65" w:type="dxa"/>
              <w:bottom w:w="45" w:type="dxa"/>
              <w:right w:w="65" w:type="dxa"/>
            </w:tcMar>
          </w:tcPr>
          <w:p w14:paraId="0D01D564" w14:textId="77777777" w:rsidR="0040529B" w:rsidRDefault="00E52693">
            <w:pPr>
              <w:spacing w:after="0" w:line="240" w:lineRule="auto"/>
            </w:pPr>
            <w:r>
              <w:rPr>
                <w:sz w:val="17"/>
              </w:rPr>
              <w:t>DAF</w:t>
            </w:r>
          </w:p>
        </w:tc>
        <w:tc>
          <w:tcPr>
            <w:tcW w:w="1728" w:type="dxa"/>
            <w:tcMar>
              <w:top w:w="45" w:type="dxa"/>
              <w:left w:w="65" w:type="dxa"/>
              <w:bottom w:w="45" w:type="dxa"/>
              <w:right w:w="65" w:type="dxa"/>
            </w:tcMar>
          </w:tcPr>
          <w:p w14:paraId="1A640C89" w14:textId="77777777" w:rsidR="0040529B" w:rsidRDefault="00E52693">
            <w:pPr>
              <w:spacing w:after="0" w:line="240" w:lineRule="auto"/>
            </w:pPr>
            <w:r>
              <w:rPr>
                <w:sz w:val="17"/>
              </w:rPr>
              <w:t>Within 48h of session</w:t>
            </w:r>
          </w:p>
        </w:tc>
        <w:tc>
          <w:tcPr>
            <w:tcW w:w="1296" w:type="dxa"/>
            <w:tcMar>
              <w:top w:w="45" w:type="dxa"/>
              <w:left w:w="65" w:type="dxa"/>
              <w:bottom w:w="45" w:type="dxa"/>
              <w:right w:w="65" w:type="dxa"/>
            </w:tcMar>
          </w:tcPr>
          <w:p w14:paraId="0B41A7E2" w14:textId="77777777" w:rsidR="0040529B" w:rsidRDefault="00E52693">
            <w:pPr>
              <w:spacing w:after="0" w:line="240" w:lineRule="auto"/>
            </w:pPr>
            <w:r>
              <w:rPr>
                <w:sz w:val="17"/>
              </w:rPr>
              <w:t>Open</w:t>
            </w:r>
          </w:p>
        </w:tc>
      </w:tr>
      <w:tr w:rsidR="0040529B" w14:paraId="78C49511" w14:textId="77777777">
        <w:trPr>
          <w:cantSplit/>
          <w:jc w:val="center"/>
        </w:trPr>
        <w:tc>
          <w:tcPr>
            <w:tcW w:w="1008" w:type="dxa"/>
            <w:tcMar>
              <w:top w:w="45" w:type="dxa"/>
              <w:left w:w="65" w:type="dxa"/>
              <w:bottom w:w="45" w:type="dxa"/>
              <w:right w:w="65" w:type="dxa"/>
            </w:tcMar>
          </w:tcPr>
          <w:p w14:paraId="4D0EA411" w14:textId="77777777" w:rsidR="0040529B" w:rsidRDefault="00E52693">
            <w:pPr>
              <w:spacing w:after="0" w:line="240" w:lineRule="auto"/>
            </w:pPr>
            <w:r>
              <w:rPr>
                <w:sz w:val="17"/>
              </w:rPr>
              <w:t>P0-03</w:t>
            </w:r>
          </w:p>
        </w:tc>
        <w:tc>
          <w:tcPr>
            <w:tcW w:w="1440" w:type="dxa"/>
            <w:tcMar>
              <w:top w:w="45" w:type="dxa"/>
              <w:left w:w="65" w:type="dxa"/>
              <w:bottom w:w="45" w:type="dxa"/>
              <w:right w:w="65" w:type="dxa"/>
            </w:tcMar>
          </w:tcPr>
          <w:p w14:paraId="45B8F4EB" w14:textId="77777777" w:rsidR="0040529B" w:rsidRDefault="00E52693">
            <w:pPr>
              <w:spacing w:after="0" w:line="240" w:lineRule="auto"/>
            </w:pPr>
            <w:r>
              <w:rPr>
                <w:sz w:val="17"/>
              </w:rPr>
              <w:t>Zulfikar</w:t>
            </w:r>
          </w:p>
        </w:tc>
        <w:tc>
          <w:tcPr>
            <w:tcW w:w="4896" w:type="dxa"/>
            <w:tcMar>
              <w:top w:w="45" w:type="dxa"/>
              <w:left w:w="65" w:type="dxa"/>
              <w:bottom w:w="45" w:type="dxa"/>
              <w:right w:w="65" w:type="dxa"/>
            </w:tcMar>
          </w:tcPr>
          <w:p w14:paraId="6398C5EB" w14:textId="77777777" w:rsidR="0040529B" w:rsidRDefault="00E52693">
            <w:pPr>
              <w:spacing w:after="0" w:line="240" w:lineRule="auto"/>
            </w:pPr>
            <w:r>
              <w:rPr>
                <w:sz w:val="17"/>
              </w:rPr>
              <w:t>Run commercial activation session; define target engagement and post-event ownership.</w:t>
            </w:r>
          </w:p>
        </w:tc>
        <w:tc>
          <w:tcPr>
            <w:tcW w:w="1800" w:type="dxa"/>
            <w:tcMar>
              <w:top w:w="45" w:type="dxa"/>
              <w:left w:w="65" w:type="dxa"/>
              <w:bottom w:w="45" w:type="dxa"/>
              <w:right w:w="65" w:type="dxa"/>
            </w:tcMar>
          </w:tcPr>
          <w:p w14:paraId="76EDAD72" w14:textId="77777777" w:rsidR="0040529B" w:rsidRDefault="00E52693">
            <w:pPr>
              <w:spacing w:after="0" w:line="240" w:lineRule="auto"/>
            </w:pPr>
            <w:r>
              <w:rPr>
                <w:sz w:val="17"/>
              </w:rPr>
              <w:t>DAF / Sales Lead</w:t>
            </w:r>
          </w:p>
        </w:tc>
        <w:tc>
          <w:tcPr>
            <w:tcW w:w="1728" w:type="dxa"/>
            <w:tcMar>
              <w:top w:w="45" w:type="dxa"/>
              <w:left w:w="65" w:type="dxa"/>
              <w:bottom w:w="45" w:type="dxa"/>
              <w:right w:w="65" w:type="dxa"/>
            </w:tcMar>
          </w:tcPr>
          <w:p w14:paraId="1723EFE5" w14:textId="77777777" w:rsidR="0040529B" w:rsidRDefault="00E52693">
            <w:pPr>
              <w:spacing w:after="0" w:line="240" w:lineRule="auto"/>
            </w:pPr>
            <w:r>
              <w:rPr>
                <w:sz w:val="17"/>
              </w:rPr>
              <w:t>After Azrul alignment</w:t>
            </w:r>
          </w:p>
        </w:tc>
        <w:tc>
          <w:tcPr>
            <w:tcW w:w="1296" w:type="dxa"/>
            <w:tcMar>
              <w:top w:w="45" w:type="dxa"/>
              <w:left w:w="65" w:type="dxa"/>
              <w:bottom w:w="45" w:type="dxa"/>
              <w:right w:w="65" w:type="dxa"/>
            </w:tcMar>
          </w:tcPr>
          <w:p w14:paraId="58B6D2DF" w14:textId="77777777" w:rsidR="0040529B" w:rsidRDefault="00E52693">
            <w:pPr>
              <w:spacing w:after="0" w:line="240" w:lineRule="auto"/>
            </w:pPr>
            <w:r>
              <w:rPr>
                <w:sz w:val="17"/>
              </w:rPr>
              <w:t>Open</w:t>
            </w:r>
          </w:p>
        </w:tc>
      </w:tr>
      <w:tr w:rsidR="0040529B" w14:paraId="5FA07EE3" w14:textId="77777777">
        <w:trPr>
          <w:cantSplit/>
          <w:jc w:val="center"/>
        </w:trPr>
        <w:tc>
          <w:tcPr>
            <w:tcW w:w="1008" w:type="dxa"/>
            <w:tcMar>
              <w:top w:w="45" w:type="dxa"/>
              <w:left w:w="65" w:type="dxa"/>
              <w:bottom w:w="45" w:type="dxa"/>
              <w:right w:w="65" w:type="dxa"/>
            </w:tcMar>
          </w:tcPr>
          <w:p w14:paraId="2897A823" w14:textId="77777777" w:rsidR="0040529B" w:rsidRDefault="00E52693">
            <w:pPr>
              <w:spacing w:after="0" w:line="240" w:lineRule="auto"/>
            </w:pPr>
            <w:r>
              <w:rPr>
                <w:sz w:val="17"/>
              </w:rPr>
              <w:t>P0-04</w:t>
            </w:r>
          </w:p>
        </w:tc>
        <w:tc>
          <w:tcPr>
            <w:tcW w:w="1440" w:type="dxa"/>
            <w:tcMar>
              <w:top w:w="45" w:type="dxa"/>
              <w:left w:w="65" w:type="dxa"/>
              <w:bottom w:w="45" w:type="dxa"/>
              <w:right w:w="65" w:type="dxa"/>
            </w:tcMar>
          </w:tcPr>
          <w:p w14:paraId="5D19FD09" w14:textId="77777777" w:rsidR="0040529B" w:rsidRDefault="00E52693">
            <w:pPr>
              <w:spacing w:after="0" w:line="240" w:lineRule="auto"/>
            </w:pPr>
            <w:r>
              <w:rPr>
                <w:sz w:val="17"/>
              </w:rPr>
              <w:t>Bala</w:t>
            </w:r>
          </w:p>
        </w:tc>
        <w:tc>
          <w:tcPr>
            <w:tcW w:w="4896" w:type="dxa"/>
            <w:tcMar>
              <w:top w:w="45" w:type="dxa"/>
              <w:left w:w="65" w:type="dxa"/>
              <w:bottom w:w="45" w:type="dxa"/>
              <w:right w:w="65" w:type="dxa"/>
            </w:tcMar>
          </w:tcPr>
          <w:p w14:paraId="490D368F" w14:textId="77777777" w:rsidR="0040529B" w:rsidRDefault="00E52693">
            <w:pPr>
              <w:spacing w:after="0" w:line="240" w:lineRule="auto"/>
            </w:pPr>
            <w:r>
              <w:rPr>
                <w:sz w:val="17"/>
              </w:rPr>
              <w:t>Run marketing/media alignment; lock message house, media plan and approval path.</w:t>
            </w:r>
          </w:p>
        </w:tc>
        <w:tc>
          <w:tcPr>
            <w:tcW w:w="1800" w:type="dxa"/>
            <w:tcMar>
              <w:top w:w="45" w:type="dxa"/>
              <w:left w:w="65" w:type="dxa"/>
              <w:bottom w:w="45" w:type="dxa"/>
              <w:right w:w="65" w:type="dxa"/>
            </w:tcMar>
          </w:tcPr>
          <w:p w14:paraId="1AF2E232" w14:textId="77777777" w:rsidR="0040529B" w:rsidRDefault="00E52693">
            <w:pPr>
              <w:spacing w:after="0" w:line="240" w:lineRule="auto"/>
            </w:pPr>
            <w:r>
              <w:rPr>
                <w:sz w:val="17"/>
              </w:rPr>
              <w:t>DAF / Branding</w:t>
            </w:r>
          </w:p>
        </w:tc>
        <w:tc>
          <w:tcPr>
            <w:tcW w:w="1728" w:type="dxa"/>
            <w:tcMar>
              <w:top w:w="45" w:type="dxa"/>
              <w:left w:w="65" w:type="dxa"/>
              <w:bottom w:w="45" w:type="dxa"/>
              <w:right w:w="65" w:type="dxa"/>
            </w:tcMar>
          </w:tcPr>
          <w:p w14:paraId="72DC4E42" w14:textId="77777777" w:rsidR="0040529B" w:rsidRDefault="00E52693">
            <w:pPr>
              <w:spacing w:after="0" w:line="240" w:lineRule="auto"/>
            </w:pPr>
            <w:r>
              <w:rPr>
                <w:sz w:val="17"/>
              </w:rPr>
              <w:t>After narrative lock</w:t>
            </w:r>
          </w:p>
        </w:tc>
        <w:tc>
          <w:tcPr>
            <w:tcW w:w="1296" w:type="dxa"/>
            <w:tcMar>
              <w:top w:w="45" w:type="dxa"/>
              <w:left w:w="65" w:type="dxa"/>
              <w:bottom w:w="45" w:type="dxa"/>
              <w:right w:w="65" w:type="dxa"/>
            </w:tcMar>
          </w:tcPr>
          <w:p w14:paraId="08B33FBA" w14:textId="77777777" w:rsidR="0040529B" w:rsidRDefault="00E52693">
            <w:pPr>
              <w:spacing w:after="0" w:line="240" w:lineRule="auto"/>
            </w:pPr>
            <w:r>
              <w:rPr>
                <w:sz w:val="17"/>
              </w:rPr>
              <w:t>Open</w:t>
            </w:r>
          </w:p>
        </w:tc>
      </w:tr>
      <w:tr w:rsidR="0040529B" w14:paraId="3007AF35" w14:textId="77777777">
        <w:trPr>
          <w:cantSplit/>
          <w:jc w:val="center"/>
        </w:trPr>
        <w:tc>
          <w:tcPr>
            <w:tcW w:w="1008" w:type="dxa"/>
            <w:tcMar>
              <w:top w:w="45" w:type="dxa"/>
              <w:left w:w="65" w:type="dxa"/>
              <w:bottom w:w="45" w:type="dxa"/>
              <w:right w:w="65" w:type="dxa"/>
            </w:tcMar>
          </w:tcPr>
          <w:p w14:paraId="2B30ACC6" w14:textId="77777777" w:rsidR="0040529B" w:rsidRDefault="00E52693">
            <w:pPr>
              <w:spacing w:after="0" w:line="240" w:lineRule="auto"/>
            </w:pPr>
            <w:r>
              <w:rPr>
                <w:sz w:val="17"/>
              </w:rPr>
              <w:t>P0-05</w:t>
            </w:r>
          </w:p>
        </w:tc>
        <w:tc>
          <w:tcPr>
            <w:tcW w:w="1440" w:type="dxa"/>
            <w:tcMar>
              <w:top w:w="45" w:type="dxa"/>
              <w:left w:w="65" w:type="dxa"/>
              <w:bottom w:w="45" w:type="dxa"/>
              <w:right w:w="65" w:type="dxa"/>
            </w:tcMar>
          </w:tcPr>
          <w:p w14:paraId="0560E766" w14:textId="77777777" w:rsidR="0040529B" w:rsidRDefault="00E52693">
            <w:pPr>
              <w:spacing w:after="0" w:line="240" w:lineRule="auto"/>
            </w:pPr>
            <w:r>
              <w:rPr>
                <w:sz w:val="17"/>
              </w:rPr>
              <w:t>Wan Roshaimi</w:t>
            </w:r>
          </w:p>
        </w:tc>
        <w:tc>
          <w:tcPr>
            <w:tcW w:w="4896" w:type="dxa"/>
            <w:tcMar>
              <w:top w:w="45" w:type="dxa"/>
              <w:left w:w="65" w:type="dxa"/>
              <w:bottom w:w="45" w:type="dxa"/>
              <w:right w:w="65" w:type="dxa"/>
            </w:tcMar>
          </w:tcPr>
          <w:p w14:paraId="7199E1C2" w14:textId="77777777" w:rsidR="0040529B" w:rsidRDefault="00E52693">
            <w:pPr>
              <w:spacing w:after="0" w:line="240" w:lineRule="auto"/>
            </w:pPr>
            <w:r>
              <w:rPr>
                <w:sz w:val="17"/>
              </w:rPr>
              <w:t>Validate technical narrative, architecture posture and governance boundaries.</w:t>
            </w:r>
          </w:p>
        </w:tc>
        <w:tc>
          <w:tcPr>
            <w:tcW w:w="1800" w:type="dxa"/>
            <w:tcMar>
              <w:top w:w="45" w:type="dxa"/>
              <w:left w:w="65" w:type="dxa"/>
              <w:bottom w:w="45" w:type="dxa"/>
              <w:right w:w="65" w:type="dxa"/>
            </w:tcMar>
          </w:tcPr>
          <w:p w14:paraId="3776C809" w14:textId="77777777" w:rsidR="0040529B" w:rsidRDefault="00E52693">
            <w:pPr>
              <w:spacing w:after="0" w:line="240" w:lineRule="auto"/>
            </w:pPr>
            <w:r>
              <w:rPr>
                <w:sz w:val="17"/>
              </w:rPr>
              <w:t>DAF / Technical Lead</w:t>
            </w:r>
          </w:p>
        </w:tc>
        <w:tc>
          <w:tcPr>
            <w:tcW w:w="1728" w:type="dxa"/>
            <w:tcMar>
              <w:top w:w="45" w:type="dxa"/>
              <w:left w:w="65" w:type="dxa"/>
              <w:bottom w:w="45" w:type="dxa"/>
              <w:right w:w="65" w:type="dxa"/>
            </w:tcMar>
          </w:tcPr>
          <w:p w14:paraId="62E4E526" w14:textId="77777777" w:rsidR="0040529B" w:rsidRDefault="00E52693">
            <w:pPr>
              <w:spacing w:after="0" w:line="240" w:lineRule="auto"/>
            </w:pPr>
            <w:r>
              <w:rPr>
                <w:sz w:val="17"/>
              </w:rPr>
              <w:t>After core narrative lock</w:t>
            </w:r>
          </w:p>
        </w:tc>
        <w:tc>
          <w:tcPr>
            <w:tcW w:w="1296" w:type="dxa"/>
            <w:tcMar>
              <w:top w:w="45" w:type="dxa"/>
              <w:left w:w="65" w:type="dxa"/>
              <w:bottom w:w="45" w:type="dxa"/>
              <w:right w:w="65" w:type="dxa"/>
            </w:tcMar>
          </w:tcPr>
          <w:p w14:paraId="0237C185" w14:textId="77777777" w:rsidR="0040529B" w:rsidRDefault="00E52693">
            <w:pPr>
              <w:spacing w:after="0" w:line="240" w:lineRule="auto"/>
            </w:pPr>
            <w:r>
              <w:rPr>
                <w:sz w:val="17"/>
              </w:rPr>
              <w:t>Open</w:t>
            </w:r>
          </w:p>
        </w:tc>
      </w:tr>
      <w:tr w:rsidR="0040529B" w14:paraId="5E6BEF6C" w14:textId="77777777">
        <w:trPr>
          <w:cantSplit/>
          <w:jc w:val="center"/>
        </w:trPr>
        <w:tc>
          <w:tcPr>
            <w:tcW w:w="1008" w:type="dxa"/>
            <w:tcMar>
              <w:top w:w="45" w:type="dxa"/>
              <w:left w:w="65" w:type="dxa"/>
              <w:bottom w:w="45" w:type="dxa"/>
              <w:right w:w="65" w:type="dxa"/>
            </w:tcMar>
          </w:tcPr>
          <w:p w14:paraId="31D95E52" w14:textId="77777777" w:rsidR="0040529B" w:rsidRDefault="00E52693">
            <w:pPr>
              <w:spacing w:after="0" w:line="240" w:lineRule="auto"/>
            </w:pPr>
            <w:r>
              <w:rPr>
                <w:sz w:val="17"/>
              </w:rPr>
              <w:t>P0-06</w:t>
            </w:r>
          </w:p>
        </w:tc>
        <w:tc>
          <w:tcPr>
            <w:tcW w:w="1440" w:type="dxa"/>
            <w:tcMar>
              <w:top w:w="45" w:type="dxa"/>
              <w:left w:w="65" w:type="dxa"/>
              <w:bottom w:w="45" w:type="dxa"/>
              <w:right w:w="65" w:type="dxa"/>
            </w:tcMar>
          </w:tcPr>
          <w:p w14:paraId="7B044701" w14:textId="77777777" w:rsidR="0040529B" w:rsidRDefault="00E52693">
            <w:pPr>
              <w:spacing w:after="0" w:line="240" w:lineRule="auto"/>
            </w:pPr>
            <w:r>
              <w:rPr>
                <w:sz w:val="17"/>
              </w:rPr>
              <w:t>Zaharudin</w:t>
            </w:r>
          </w:p>
        </w:tc>
        <w:tc>
          <w:tcPr>
            <w:tcW w:w="4896" w:type="dxa"/>
            <w:tcMar>
              <w:top w:w="45" w:type="dxa"/>
              <w:left w:w="65" w:type="dxa"/>
              <w:bottom w:w="45" w:type="dxa"/>
              <w:right w:w="65" w:type="dxa"/>
            </w:tcMar>
          </w:tcPr>
          <w:p w14:paraId="6E24DBAF" w14:textId="77777777" w:rsidR="0040529B" w:rsidRDefault="00E52693">
            <w:pPr>
              <w:spacing w:after="0" w:line="240" w:lineRule="auto"/>
            </w:pPr>
            <w:r>
              <w:rPr>
                <w:sz w:val="17"/>
              </w:rPr>
              <w:t>Confirm operational coordination, access and escalation pathway.</w:t>
            </w:r>
          </w:p>
        </w:tc>
        <w:tc>
          <w:tcPr>
            <w:tcW w:w="1800" w:type="dxa"/>
            <w:tcMar>
              <w:top w:w="45" w:type="dxa"/>
              <w:left w:w="65" w:type="dxa"/>
              <w:bottom w:w="45" w:type="dxa"/>
              <w:right w:w="65" w:type="dxa"/>
            </w:tcMar>
          </w:tcPr>
          <w:p w14:paraId="170CBF30" w14:textId="77777777" w:rsidR="0040529B" w:rsidRDefault="00E52693">
            <w:pPr>
              <w:spacing w:after="0" w:line="240" w:lineRule="auto"/>
            </w:pPr>
            <w:r>
              <w:rPr>
                <w:sz w:val="17"/>
              </w:rPr>
              <w:t>DAF / Delivery Lead</w:t>
            </w:r>
          </w:p>
        </w:tc>
        <w:tc>
          <w:tcPr>
            <w:tcW w:w="1728" w:type="dxa"/>
            <w:tcMar>
              <w:top w:w="45" w:type="dxa"/>
              <w:left w:w="65" w:type="dxa"/>
              <w:bottom w:w="45" w:type="dxa"/>
              <w:right w:w="65" w:type="dxa"/>
            </w:tcMar>
          </w:tcPr>
          <w:p w14:paraId="5F0F5C98" w14:textId="77777777" w:rsidR="0040529B" w:rsidRDefault="00E52693">
            <w:pPr>
              <w:spacing w:after="0" w:line="240" w:lineRule="auto"/>
            </w:pPr>
            <w:r>
              <w:rPr>
                <w:sz w:val="17"/>
              </w:rPr>
              <w:t>In parallel with technical readiness</w:t>
            </w:r>
          </w:p>
        </w:tc>
        <w:tc>
          <w:tcPr>
            <w:tcW w:w="1296" w:type="dxa"/>
            <w:tcMar>
              <w:top w:w="45" w:type="dxa"/>
              <w:left w:w="65" w:type="dxa"/>
              <w:bottom w:w="45" w:type="dxa"/>
              <w:right w:w="65" w:type="dxa"/>
            </w:tcMar>
          </w:tcPr>
          <w:p w14:paraId="6B6009FC" w14:textId="77777777" w:rsidR="0040529B" w:rsidRDefault="00E52693">
            <w:pPr>
              <w:spacing w:after="0" w:line="240" w:lineRule="auto"/>
            </w:pPr>
            <w:r>
              <w:rPr>
                <w:sz w:val="17"/>
              </w:rPr>
              <w:t>Open</w:t>
            </w:r>
          </w:p>
        </w:tc>
      </w:tr>
      <w:tr w:rsidR="0040529B" w14:paraId="6FE2954C" w14:textId="77777777">
        <w:trPr>
          <w:cantSplit/>
          <w:jc w:val="center"/>
        </w:trPr>
        <w:tc>
          <w:tcPr>
            <w:tcW w:w="1008" w:type="dxa"/>
            <w:tcMar>
              <w:top w:w="45" w:type="dxa"/>
              <w:left w:w="65" w:type="dxa"/>
              <w:bottom w:w="45" w:type="dxa"/>
              <w:right w:w="65" w:type="dxa"/>
            </w:tcMar>
          </w:tcPr>
          <w:p w14:paraId="6DCCEB35" w14:textId="77777777" w:rsidR="0040529B" w:rsidRDefault="00E52693">
            <w:pPr>
              <w:spacing w:after="0" w:line="240" w:lineRule="auto"/>
            </w:pPr>
            <w:r>
              <w:rPr>
                <w:sz w:val="17"/>
              </w:rPr>
              <w:t>P0-07</w:t>
            </w:r>
          </w:p>
        </w:tc>
        <w:tc>
          <w:tcPr>
            <w:tcW w:w="1440" w:type="dxa"/>
            <w:tcMar>
              <w:top w:w="45" w:type="dxa"/>
              <w:left w:w="65" w:type="dxa"/>
              <w:bottom w:w="45" w:type="dxa"/>
              <w:right w:w="65" w:type="dxa"/>
            </w:tcMar>
          </w:tcPr>
          <w:p w14:paraId="69683C73" w14:textId="77777777" w:rsidR="0040529B" w:rsidRDefault="00E52693">
            <w:pPr>
              <w:spacing w:after="0" w:line="240" w:lineRule="auto"/>
            </w:pPr>
            <w:r>
              <w:rPr>
                <w:sz w:val="17"/>
              </w:rPr>
              <w:t>Dr. Megat</w:t>
            </w:r>
          </w:p>
        </w:tc>
        <w:tc>
          <w:tcPr>
            <w:tcW w:w="4896" w:type="dxa"/>
            <w:tcMar>
              <w:top w:w="45" w:type="dxa"/>
              <w:left w:w="65" w:type="dxa"/>
              <w:bottom w:w="45" w:type="dxa"/>
              <w:right w:w="65" w:type="dxa"/>
            </w:tcMar>
          </w:tcPr>
          <w:p w14:paraId="5EE3ECB4" w14:textId="77777777" w:rsidR="0040529B" w:rsidRDefault="00E52693">
            <w:pPr>
              <w:spacing w:after="0" w:line="240" w:lineRule="auto"/>
            </w:pPr>
            <w:r>
              <w:rPr>
                <w:sz w:val="17"/>
              </w:rPr>
              <w:t>Prepare NACSA strategic-alignment brief based on mature CSM position.</w:t>
            </w:r>
          </w:p>
        </w:tc>
        <w:tc>
          <w:tcPr>
            <w:tcW w:w="1800" w:type="dxa"/>
            <w:tcMar>
              <w:top w:w="45" w:type="dxa"/>
              <w:left w:w="65" w:type="dxa"/>
              <w:bottom w:w="45" w:type="dxa"/>
              <w:right w:w="65" w:type="dxa"/>
            </w:tcMar>
          </w:tcPr>
          <w:p w14:paraId="68FCA8EE" w14:textId="77777777" w:rsidR="0040529B" w:rsidRDefault="00E52693">
            <w:pPr>
              <w:spacing w:after="0" w:line="240" w:lineRule="auto"/>
            </w:pPr>
            <w:r>
              <w:rPr>
                <w:sz w:val="17"/>
              </w:rPr>
              <w:t>DAF</w:t>
            </w:r>
          </w:p>
        </w:tc>
        <w:tc>
          <w:tcPr>
            <w:tcW w:w="1728" w:type="dxa"/>
            <w:tcMar>
              <w:top w:w="45" w:type="dxa"/>
              <w:left w:w="65" w:type="dxa"/>
              <w:bottom w:w="45" w:type="dxa"/>
              <w:right w:w="65" w:type="dxa"/>
            </w:tcMar>
          </w:tcPr>
          <w:p w14:paraId="3FE98FBF" w14:textId="77777777" w:rsidR="0040529B" w:rsidRDefault="00E52693">
            <w:pPr>
              <w:spacing w:after="0" w:line="240" w:lineRule="auto"/>
            </w:pPr>
            <w:r>
              <w:rPr>
                <w:sz w:val="17"/>
              </w:rPr>
              <w:t>After CSM gates substantially complete</w:t>
            </w:r>
          </w:p>
        </w:tc>
        <w:tc>
          <w:tcPr>
            <w:tcW w:w="1296" w:type="dxa"/>
            <w:tcMar>
              <w:top w:w="45" w:type="dxa"/>
              <w:left w:w="65" w:type="dxa"/>
              <w:bottom w:w="45" w:type="dxa"/>
              <w:right w:w="65" w:type="dxa"/>
            </w:tcMar>
          </w:tcPr>
          <w:p w14:paraId="7E3C71B1" w14:textId="77777777" w:rsidR="0040529B" w:rsidRDefault="00E52693">
            <w:pPr>
              <w:spacing w:after="0" w:line="240" w:lineRule="auto"/>
            </w:pPr>
            <w:r>
              <w:rPr>
                <w:sz w:val="17"/>
              </w:rPr>
              <w:t>Pending dependency</w:t>
            </w:r>
          </w:p>
        </w:tc>
      </w:tr>
      <w:tr w:rsidR="0040529B" w14:paraId="297E4F34" w14:textId="77777777">
        <w:trPr>
          <w:cantSplit/>
          <w:jc w:val="center"/>
        </w:trPr>
        <w:tc>
          <w:tcPr>
            <w:tcW w:w="1008" w:type="dxa"/>
            <w:tcMar>
              <w:top w:w="45" w:type="dxa"/>
              <w:left w:w="65" w:type="dxa"/>
              <w:bottom w:w="45" w:type="dxa"/>
              <w:right w:w="65" w:type="dxa"/>
            </w:tcMar>
          </w:tcPr>
          <w:p w14:paraId="62868A81" w14:textId="77777777" w:rsidR="0040529B" w:rsidRDefault="00E52693">
            <w:pPr>
              <w:spacing w:after="0" w:line="240" w:lineRule="auto"/>
            </w:pPr>
            <w:r>
              <w:rPr>
                <w:sz w:val="17"/>
              </w:rPr>
              <w:t>P0-08</w:t>
            </w:r>
          </w:p>
        </w:tc>
        <w:tc>
          <w:tcPr>
            <w:tcW w:w="1440" w:type="dxa"/>
            <w:tcMar>
              <w:top w:w="45" w:type="dxa"/>
              <w:left w:w="65" w:type="dxa"/>
              <w:bottom w:w="45" w:type="dxa"/>
              <w:right w:w="65" w:type="dxa"/>
            </w:tcMar>
          </w:tcPr>
          <w:p w14:paraId="5E7C677B" w14:textId="77777777" w:rsidR="0040529B" w:rsidRDefault="00E52693">
            <w:pPr>
              <w:spacing w:after="0" w:line="240" w:lineRule="auto"/>
            </w:pPr>
            <w:r>
              <w:rPr>
                <w:sz w:val="17"/>
              </w:rPr>
              <w:t>All</w:t>
            </w:r>
          </w:p>
        </w:tc>
        <w:tc>
          <w:tcPr>
            <w:tcW w:w="4896" w:type="dxa"/>
            <w:tcMar>
              <w:top w:w="45" w:type="dxa"/>
              <w:left w:w="65" w:type="dxa"/>
              <w:bottom w:w="45" w:type="dxa"/>
              <w:right w:w="65" w:type="dxa"/>
            </w:tcMar>
          </w:tcPr>
          <w:p w14:paraId="659AB3BF" w14:textId="77777777" w:rsidR="0040529B" w:rsidRDefault="00E52693">
            <w:pPr>
              <w:spacing w:after="0" w:line="240" w:lineRule="auto"/>
            </w:pPr>
            <w:r>
              <w:rPr>
                <w:sz w:val="17"/>
              </w:rPr>
              <w:t>Maintain weekly executive status using Green/Amber/Red readiness.</w:t>
            </w:r>
          </w:p>
        </w:tc>
        <w:tc>
          <w:tcPr>
            <w:tcW w:w="1800" w:type="dxa"/>
            <w:tcMar>
              <w:top w:w="45" w:type="dxa"/>
              <w:left w:w="65" w:type="dxa"/>
              <w:bottom w:w="45" w:type="dxa"/>
              <w:right w:w="65" w:type="dxa"/>
            </w:tcMar>
          </w:tcPr>
          <w:p w14:paraId="7AEE8CF6" w14:textId="77777777" w:rsidR="0040529B" w:rsidRDefault="00E52693">
            <w:pPr>
              <w:spacing w:after="0" w:line="240" w:lineRule="auto"/>
            </w:pPr>
            <w:r>
              <w:rPr>
                <w:sz w:val="17"/>
              </w:rPr>
              <w:t>DAF</w:t>
            </w:r>
          </w:p>
        </w:tc>
        <w:tc>
          <w:tcPr>
            <w:tcW w:w="1728" w:type="dxa"/>
            <w:tcMar>
              <w:top w:w="45" w:type="dxa"/>
              <w:left w:w="65" w:type="dxa"/>
              <w:bottom w:w="45" w:type="dxa"/>
              <w:right w:w="65" w:type="dxa"/>
            </w:tcMar>
          </w:tcPr>
          <w:p w14:paraId="2CA2ACC2" w14:textId="77777777" w:rsidR="0040529B" w:rsidRDefault="00E52693">
            <w:pPr>
              <w:spacing w:after="0" w:line="240" w:lineRule="auto"/>
            </w:pPr>
            <w:r>
              <w:rPr>
                <w:sz w:val="17"/>
              </w:rPr>
              <w:t>Weekly to CyberDSA</w:t>
            </w:r>
          </w:p>
        </w:tc>
        <w:tc>
          <w:tcPr>
            <w:tcW w:w="1296" w:type="dxa"/>
            <w:tcMar>
              <w:top w:w="45" w:type="dxa"/>
              <w:left w:w="65" w:type="dxa"/>
              <w:bottom w:w="45" w:type="dxa"/>
              <w:right w:w="65" w:type="dxa"/>
            </w:tcMar>
          </w:tcPr>
          <w:p w14:paraId="77CA5DD3" w14:textId="77777777" w:rsidR="0040529B" w:rsidRDefault="00E52693">
            <w:pPr>
              <w:spacing w:after="0" w:line="240" w:lineRule="auto"/>
            </w:pPr>
            <w:r>
              <w:rPr>
                <w:sz w:val="17"/>
              </w:rPr>
              <w:t>Open</w:t>
            </w:r>
          </w:p>
        </w:tc>
      </w:tr>
    </w:tbl>
    <w:p w14:paraId="6DB158C7" w14:textId="77777777" w:rsidR="0040529B" w:rsidRDefault="00E52693">
      <w:pPr>
        <w:pStyle w:val="Heading1"/>
      </w:pPr>
      <w:r>
        <w:t>13. Executive Engagement Brief Template</w:t>
      </w:r>
    </w:p>
    <w:p w14:paraId="47A7B0CB" w14:textId="77777777" w:rsidR="0040529B" w:rsidRDefault="00E52693">
      <w:r>
        <w:t>Use this structure for every stakeholder engagement. It keeps preparation focused and makes the close explicit.</w:t>
      </w:r>
    </w:p>
    <w:tbl>
      <w:tblPr>
        <w:tblW w:w="0" w:type="auto"/>
        <w:jc w:val="center"/>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Layout w:type="fixed"/>
        <w:tblLook w:val="04A0" w:firstRow="1" w:lastRow="0" w:firstColumn="1" w:lastColumn="0" w:noHBand="0" w:noVBand="1"/>
      </w:tblPr>
      <w:tblGrid>
        <w:gridCol w:w="2448"/>
        <w:gridCol w:w="8136"/>
      </w:tblGrid>
      <w:tr w:rsidR="0040529B" w14:paraId="4214F288" w14:textId="77777777">
        <w:trPr>
          <w:cantSplit/>
          <w:jc w:val="center"/>
        </w:trPr>
        <w:tc>
          <w:tcPr>
            <w:tcW w:w="2448" w:type="dxa"/>
            <w:shd w:val="clear" w:color="auto" w:fill="D9EAF7"/>
            <w:tcMar>
              <w:top w:w="90" w:type="dxa"/>
              <w:left w:w="100" w:type="dxa"/>
              <w:bottom w:w="90" w:type="dxa"/>
              <w:right w:w="100" w:type="dxa"/>
            </w:tcMar>
          </w:tcPr>
          <w:p w14:paraId="0736482C" w14:textId="77777777" w:rsidR="0040529B" w:rsidRDefault="00E52693">
            <w:r>
              <w:rPr>
                <w:b/>
                <w:color w:val="1F4E79"/>
              </w:rPr>
              <w:t>Stakeholder</w:t>
            </w:r>
          </w:p>
        </w:tc>
        <w:tc>
          <w:tcPr>
            <w:tcW w:w="8136" w:type="dxa"/>
            <w:tcMar>
              <w:top w:w="90" w:type="dxa"/>
              <w:left w:w="100" w:type="dxa"/>
              <w:bottom w:w="90" w:type="dxa"/>
              <w:right w:w="100" w:type="dxa"/>
            </w:tcMar>
          </w:tcPr>
          <w:p w14:paraId="487B6D17" w14:textId="77777777" w:rsidR="0040529B" w:rsidRDefault="00E52693">
            <w:r>
              <w:t>Name / role / influence lens</w:t>
            </w:r>
          </w:p>
        </w:tc>
      </w:tr>
      <w:tr w:rsidR="0040529B" w14:paraId="7EEA89AA" w14:textId="77777777">
        <w:trPr>
          <w:cantSplit/>
          <w:jc w:val="center"/>
        </w:trPr>
        <w:tc>
          <w:tcPr>
            <w:tcW w:w="2448" w:type="dxa"/>
            <w:shd w:val="clear" w:color="auto" w:fill="D9EAF7"/>
            <w:tcMar>
              <w:top w:w="90" w:type="dxa"/>
              <w:left w:w="100" w:type="dxa"/>
              <w:bottom w:w="90" w:type="dxa"/>
              <w:right w:w="100" w:type="dxa"/>
            </w:tcMar>
          </w:tcPr>
          <w:p w14:paraId="38A929D1" w14:textId="77777777" w:rsidR="0040529B" w:rsidRDefault="00E52693">
            <w:r>
              <w:rPr>
                <w:b/>
                <w:color w:val="1F4E79"/>
              </w:rPr>
              <w:t>Purpose</w:t>
            </w:r>
          </w:p>
        </w:tc>
        <w:tc>
          <w:tcPr>
            <w:tcW w:w="8136" w:type="dxa"/>
            <w:tcMar>
              <w:top w:w="90" w:type="dxa"/>
              <w:left w:w="100" w:type="dxa"/>
              <w:bottom w:w="90" w:type="dxa"/>
              <w:right w:w="100" w:type="dxa"/>
            </w:tcMar>
          </w:tcPr>
          <w:p w14:paraId="4CB60BAB" w14:textId="77777777" w:rsidR="0040529B" w:rsidRDefault="00E52693">
            <w:r>
              <w:t>Why this engagement is necessary now</w:t>
            </w:r>
          </w:p>
        </w:tc>
      </w:tr>
      <w:tr w:rsidR="0040529B" w14:paraId="1980857F" w14:textId="77777777">
        <w:trPr>
          <w:cantSplit/>
          <w:jc w:val="center"/>
        </w:trPr>
        <w:tc>
          <w:tcPr>
            <w:tcW w:w="2448" w:type="dxa"/>
            <w:shd w:val="clear" w:color="auto" w:fill="D9EAF7"/>
            <w:tcMar>
              <w:top w:w="90" w:type="dxa"/>
              <w:left w:w="100" w:type="dxa"/>
              <w:bottom w:w="90" w:type="dxa"/>
              <w:right w:w="100" w:type="dxa"/>
            </w:tcMar>
          </w:tcPr>
          <w:p w14:paraId="06B04A34" w14:textId="77777777" w:rsidR="0040529B" w:rsidRDefault="00E52693">
            <w:r>
              <w:rPr>
                <w:b/>
                <w:color w:val="1F4E79"/>
              </w:rPr>
              <w:t>Desired Outcome</w:t>
            </w:r>
          </w:p>
        </w:tc>
        <w:tc>
          <w:tcPr>
            <w:tcW w:w="8136" w:type="dxa"/>
            <w:tcMar>
              <w:top w:w="90" w:type="dxa"/>
              <w:left w:w="100" w:type="dxa"/>
              <w:bottom w:w="90" w:type="dxa"/>
              <w:right w:w="100" w:type="dxa"/>
            </w:tcMar>
          </w:tcPr>
          <w:p w14:paraId="341B61B7" w14:textId="77777777" w:rsidR="0040529B" w:rsidRDefault="00E52693">
            <w:r>
              <w:t>One sentence only</w:t>
            </w:r>
          </w:p>
        </w:tc>
      </w:tr>
      <w:tr w:rsidR="0040529B" w14:paraId="3082F215" w14:textId="77777777">
        <w:trPr>
          <w:cantSplit/>
          <w:jc w:val="center"/>
        </w:trPr>
        <w:tc>
          <w:tcPr>
            <w:tcW w:w="2448" w:type="dxa"/>
            <w:shd w:val="clear" w:color="auto" w:fill="D9EAF7"/>
            <w:tcMar>
              <w:top w:w="90" w:type="dxa"/>
              <w:left w:w="100" w:type="dxa"/>
              <w:bottom w:w="90" w:type="dxa"/>
              <w:right w:w="100" w:type="dxa"/>
            </w:tcMar>
          </w:tcPr>
          <w:p w14:paraId="728E0EB5" w14:textId="77777777" w:rsidR="0040529B" w:rsidRDefault="00E52693">
            <w:r>
              <w:rPr>
                <w:b/>
                <w:color w:val="1F4E79"/>
              </w:rPr>
              <w:t>Primary Ask</w:t>
            </w:r>
          </w:p>
        </w:tc>
        <w:tc>
          <w:tcPr>
            <w:tcW w:w="8136" w:type="dxa"/>
            <w:tcMar>
              <w:top w:w="90" w:type="dxa"/>
              <w:left w:w="100" w:type="dxa"/>
              <w:bottom w:w="90" w:type="dxa"/>
              <w:right w:w="100" w:type="dxa"/>
            </w:tcMar>
          </w:tcPr>
          <w:p w14:paraId="4ED73116" w14:textId="77777777" w:rsidR="0040529B" w:rsidRDefault="00E52693">
            <w:r>
              <w:t>The specific commitment or decision required</w:t>
            </w:r>
          </w:p>
        </w:tc>
      </w:tr>
      <w:tr w:rsidR="0040529B" w14:paraId="17063FBC" w14:textId="77777777">
        <w:trPr>
          <w:cantSplit/>
          <w:jc w:val="center"/>
        </w:trPr>
        <w:tc>
          <w:tcPr>
            <w:tcW w:w="2448" w:type="dxa"/>
            <w:shd w:val="clear" w:color="auto" w:fill="D9EAF7"/>
            <w:tcMar>
              <w:top w:w="90" w:type="dxa"/>
              <w:left w:w="100" w:type="dxa"/>
              <w:bottom w:w="90" w:type="dxa"/>
              <w:right w:w="100" w:type="dxa"/>
            </w:tcMar>
          </w:tcPr>
          <w:p w14:paraId="2A8DE858" w14:textId="77777777" w:rsidR="0040529B" w:rsidRDefault="00E52693">
            <w:r>
              <w:rPr>
                <w:b/>
                <w:color w:val="1F4E79"/>
              </w:rPr>
              <w:t>Stakeholder Value</w:t>
            </w:r>
          </w:p>
        </w:tc>
        <w:tc>
          <w:tcPr>
            <w:tcW w:w="8136" w:type="dxa"/>
            <w:tcMar>
              <w:top w:w="90" w:type="dxa"/>
              <w:left w:w="100" w:type="dxa"/>
              <w:bottom w:w="90" w:type="dxa"/>
              <w:right w:w="100" w:type="dxa"/>
            </w:tcMar>
          </w:tcPr>
          <w:p w14:paraId="21175435" w14:textId="77777777" w:rsidR="0040529B" w:rsidRDefault="00E52693">
            <w:r>
              <w:t>Why participation is useful to them / CSM / NACSA</w:t>
            </w:r>
          </w:p>
        </w:tc>
      </w:tr>
      <w:tr w:rsidR="0040529B" w14:paraId="63C34D80" w14:textId="77777777">
        <w:trPr>
          <w:cantSplit/>
          <w:jc w:val="center"/>
        </w:trPr>
        <w:tc>
          <w:tcPr>
            <w:tcW w:w="2448" w:type="dxa"/>
            <w:shd w:val="clear" w:color="auto" w:fill="D9EAF7"/>
            <w:tcMar>
              <w:top w:w="90" w:type="dxa"/>
              <w:left w:w="100" w:type="dxa"/>
              <w:bottom w:w="90" w:type="dxa"/>
              <w:right w:w="100" w:type="dxa"/>
            </w:tcMar>
          </w:tcPr>
          <w:p w14:paraId="65C7D7E7" w14:textId="77777777" w:rsidR="0040529B" w:rsidRDefault="00E52693">
            <w:r>
              <w:rPr>
                <w:b/>
                <w:color w:val="1F4E79"/>
              </w:rPr>
              <w:t>Three Proof Points</w:t>
            </w:r>
          </w:p>
        </w:tc>
        <w:tc>
          <w:tcPr>
            <w:tcW w:w="8136" w:type="dxa"/>
            <w:tcMar>
              <w:top w:w="90" w:type="dxa"/>
              <w:left w:w="100" w:type="dxa"/>
              <w:bottom w:w="90" w:type="dxa"/>
              <w:right w:w="100" w:type="dxa"/>
            </w:tcMar>
          </w:tcPr>
          <w:p w14:paraId="3EB29322" w14:textId="77777777" w:rsidR="0040529B" w:rsidRDefault="00E52693">
            <w:r>
              <w:t>Evidence supporting the narrative</w:t>
            </w:r>
          </w:p>
        </w:tc>
      </w:tr>
      <w:tr w:rsidR="0040529B" w14:paraId="338E61ED" w14:textId="77777777">
        <w:trPr>
          <w:cantSplit/>
          <w:jc w:val="center"/>
        </w:trPr>
        <w:tc>
          <w:tcPr>
            <w:tcW w:w="2448" w:type="dxa"/>
            <w:shd w:val="clear" w:color="auto" w:fill="D9EAF7"/>
            <w:tcMar>
              <w:top w:w="90" w:type="dxa"/>
              <w:left w:w="100" w:type="dxa"/>
              <w:bottom w:w="90" w:type="dxa"/>
              <w:right w:w="100" w:type="dxa"/>
            </w:tcMar>
          </w:tcPr>
          <w:p w14:paraId="568112A5" w14:textId="77777777" w:rsidR="0040529B" w:rsidRDefault="00E52693">
            <w:r>
              <w:rPr>
                <w:b/>
                <w:color w:val="1F4E79"/>
              </w:rPr>
              <w:t>Likely Concern</w:t>
            </w:r>
          </w:p>
        </w:tc>
        <w:tc>
          <w:tcPr>
            <w:tcW w:w="8136" w:type="dxa"/>
            <w:tcMar>
              <w:top w:w="90" w:type="dxa"/>
              <w:left w:w="100" w:type="dxa"/>
              <w:bottom w:w="90" w:type="dxa"/>
              <w:right w:w="100" w:type="dxa"/>
            </w:tcMar>
          </w:tcPr>
          <w:p w14:paraId="30B53A67" w14:textId="77777777" w:rsidR="0040529B" w:rsidRDefault="00E52693">
            <w:r>
              <w:t>Most probable objection or sensitivity</w:t>
            </w:r>
          </w:p>
        </w:tc>
      </w:tr>
      <w:tr w:rsidR="0040529B" w14:paraId="042E75F0" w14:textId="77777777">
        <w:trPr>
          <w:cantSplit/>
          <w:jc w:val="center"/>
        </w:trPr>
        <w:tc>
          <w:tcPr>
            <w:tcW w:w="2448" w:type="dxa"/>
            <w:shd w:val="clear" w:color="auto" w:fill="D9EAF7"/>
            <w:tcMar>
              <w:top w:w="90" w:type="dxa"/>
              <w:left w:w="100" w:type="dxa"/>
              <w:bottom w:w="90" w:type="dxa"/>
              <w:right w:w="100" w:type="dxa"/>
            </w:tcMar>
          </w:tcPr>
          <w:p w14:paraId="784F9923" w14:textId="77777777" w:rsidR="0040529B" w:rsidRDefault="00E52693">
            <w:r>
              <w:rPr>
                <w:b/>
                <w:color w:val="1F4E79"/>
              </w:rPr>
              <w:t>Response</w:t>
            </w:r>
          </w:p>
        </w:tc>
        <w:tc>
          <w:tcPr>
            <w:tcW w:w="8136" w:type="dxa"/>
            <w:tcMar>
              <w:top w:w="90" w:type="dxa"/>
              <w:left w:w="100" w:type="dxa"/>
              <w:bottom w:w="90" w:type="dxa"/>
              <w:right w:w="100" w:type="dxa"/>
            </w:tcMar>
          </w:tcPr>
          <w:p w14:paraId="20B2BDF7" w14:textId="77777777" w:rsidR="0040529B" w:rsidRDefault="00E52693">
            <w:r>
              <w:t>How the concern will be addressed without overcommitting</w:t>
            </w:r>
          </w:p>
        </w:tc>
      </w:tr>
      <w:tr w:rsidR="0040529B" w14:paraId="2A605F70" w14:textId="77777777">
        <w:trPr>
          <w:cantSplit/>
          <w:jc w:val="center"/>
        </w:trPr>
        <w:tc>
          <w:tcPr>
            <w:tcW w:w="2448" w:type="dxa"/>
            <w:shd w:val="clear" w:color="auto" w:fill="D9EAF7"/>
            <w:tcMar>
              <w:top w:w="90" w:type="dxa"/>
              <w:left w:w="100" w:type="dxa"/>
              <w:bottom w:w="90" w:type="dxa"/>
              <w:right w:w="100" w:type="dxa"/>
            </w:tcMar>
          </w:tcPr>
          <w:p w14:paraId="056F3D6D" w14:textId="77777777" w:rsidR="0040529B" w:rsidRDefault="00E52693">
            <w:r>
              <w:rPr>
                <w:b/>
                <w:color w:val="1F4E79"/>
              </w:rPr>
              <w:t>Required Close</w:t>
            </w:r>
          </w:p>
        </w:tc>
        <w:tc>
          <w:tcPr>
            <w:tcW w:w="8136" w:type="dxa"/>
            <w:tcMar>
              <w:top w:w="90" w:type="dxa"/>
              <w:left w:w="100" w:type="dxa"/>
              <w:bottom w:w="90" w:type="dxa"/>
              <w:right w:w="100" w:type="dxa"/>
            </w:tcMar>
          </w:tcPr>
          <w:p w14:paraId="17942BC8" w14:textId="77777777" w:rsidR="0040529B" w:rsidRDefault="00E52693">
            <w:r>
              <w:t>What must be agreed before leaving the room</w:t>
            </w:r>
          </w:p>
        </w:tc>
      </w:tr>
      <w:tr w:rsidR="0040529B" w14:paraId="67902A36" w14:textId="77777777">
        <w:trPr>
          <w:cantSplit/>
          <w:jc w:val="center"/>
        </w:trPr>
        <w:tc>
          <w:tcPr>
            <w:tcW w:w="2448" w:type="dxa"/>
            <w:shd w:val="clear" w:color="auto" w:fill="D9EAF7"/>
            <w:tcMar>
              <w:top w:w="90" w:type="dxa"/>
              <w:left w:w="100" w:type="dxa"/>
              <w:bottom w:w="90" w:type="dxa"/>
              <w:right w:w="100" w:type="dxa"/>
            </w:tcMar>
          </w:tcPr>
          <w:p w14:paraId="4E3A25FA" w14:textId="77777777" w:rsidR="0040529B" w:rsidRDefault="00E52693">
            <w:r>
              <w:rPr>
                <w:b/>
                <w:color w:val="1F4E79"/>
              </w:rPr>
              <w:t>Follow-Up</w:t>
            </w:r>
          </w:p>
        </w:tc>
        <w:tc>
          <w:tcPr>
            <w:tcW w:w="8136" w:type="dxa"/>
            <w:tcMar>
              <w:top w:w="90" w:type="dxa"/>
              <w:left w:w="100" w:type="dxa"/>
              <w:bottom w:w="90" w:type="dxa"/>
              <w:right w:w="100" w:type="dxa"/>
            </w:tcMar>
          </w:tcPr>
          <w:p w14:paraId="27CFBCF1" w14:textId="77777777" w:rsidR="0040529B" w:rsidRDefault="00E52693">
            <w:r>
              <w:t>Owner + date + next action</w:t>
            </w:r>
          </w:p>
        </w:tc>
      </w:tr>
    </w:tbl>
    <w:p w14:paraId="20B05075" w14:textId="77777777" w:rsidR="0040529B" w:rsidRDefault="00E52693">
      <w:pPr>
        <w:pStyle w:val="Heading1"/>
      </w:pPr>
      <w:r>
        <w:t>14. Final Operating Principle</w:t>
      </w:r>
    </w:p>
    <w:tbl>
      <w:tblPr>
        <w:tblW w:w="0" w:type="auto"/>
        <w:jc w:val="center"/>
        <w:tblBorders>
          <w:top w:val="single" w:sz="0" w:space="0" w:color="EAF2F8"/>
          <w:left w:val="single" w:sz="0" w:space="0" w:color="EAF2F8"/>
          <w:bottom w:val="single" w:sz="0" w:space="0" w:color="EAF2F8"/>
          <w:right w:val="single" w:sz="0" w:space="0" w:color="EAF2F8"/>
          <w:insideH w:val="single" w:sz="0" w:space="0" w:color="EAF2F8"/>
          <w:insideV w:val="single" w:sz="0" w:space="0" w:color="EAF2F8"/>
        </w:tblBorders>
        <w:tblLook w:val="04A0" w:firstRow="1" w:lastRow="0" w:firstColumn="1" w:lastColumn="0" w:noHBand="0" w:noVBand="1"/>
      </w:tblPr>
      <w:tblGrid>
        <w:gridCol w:w="10080"/>
      </w:tblGrid>
      <w:tr w:rsidR="0040529B" w14:paraId="77E7686C" w14:textId="77777777">
        <w:trPr>
          <w:cantSplit/>
          <w:jc w:val="center"/>
        </w:trPr>
        <w:tc>
          <w:tcPr>
            <w:tcW w:w="10080" w:type="dxa"/>
            <w:shd w:val="clear" w:color="auto" w:fill="EAF2F8"/>
            <w:tcMar>
              <w:top w:w="140" w:type="dxa"/>
              <w:left w:w="160" w:type="dxa"/>
              <w:bottom w:w="140" w:type="dxa"/>
              <w:right w:w="160" w:type="dxa"/>
            </w:tcMar>
          </w:tcPr>
          <w:p w14:paraId="270B4F21" w14:textId="77777777" w:rsidR="0040529B" w:rsidRDefault="00E52693">
            <w:r>
              <w:rPr>
                <w:b/>
                <w:color w:val="1F4E79"/>
              </w:rPr>
              <w:t>CyberDSA Is the Catalyst — Not the End State</w:t>
            </w:r>
            <w:r>
              <w:br/>
            </w:r>
            <w:r>
              <w:t>The desired outcome is not simply a successful event. It is a durable CSM–Aras operating relationship that can take sovereign cybersecurity capabilities from partnership formation, through technical and commercial validation, into national market activation. Every stakeholder engagement should therefore create reusable institutional alignment that remains valuable after CyberDSA 2026.</w:t>
            </w:r>
          </w:p>
        </w:tc>
      </w:tr>
    </w:tbl>
    <w:p w14:paraId="039DE35C" w14:textId="77777777" w:rsidR="0040529B" w:rsidRDefault="0040529B">
      <w:pPr>
        <w:spacing w:after="40"/>
      </w:pPr>
    </w:p>
    <w:p w14:paraId="5B27F818" w14:textId="77777777" w:rsidR="0040529B" w:rsidRDefault="00E52693">
      <w:r>
        <w:rPr>
          <w:b/>
        </w:rPr>
        <w:t xml:space="preserve">Immediate next move: </w:t>
      </w:r>
      <w:r>
        <w:t>Activate Azrul first. Secure partnership and alliance buy-in for the narrative, obtain sponsorship for the stakeholder sequence, and then move deliberately through commercial, media, technical and operational alignment before approaching Dr. Megat for NACSA strategic alignment.</w:t>
      </w:r>
    </w:p>
    <w:sectPr w:rsidR="0040529B"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CC25A" w14:textId="77777777" w:rsidR="00E52693" w:rsidRDefault="00E52693">
      <w:pPr>
        <w:spacing w:after="0" w:line="240" w:lineRule="auto"/>
      </w:pPr>
      <w:r>
        <w:separator/>
      </w:r>
    </w:p>
  </w:endnote>
  <w:endnote w:type="continuationSeparator" w:id="0">
    <w:p w14:paraId="713D7CC0" w14:textId="77777777" w:rsidR="00E52693" w:rsidRDefault="00E52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Calibri"/>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Aptos Display">
    <w:altName w:val="Calibri"/>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89B5C" w14:textId="77777777" w:rsidR="0040529B" w:rsidRDefault="0040529B">
    <w:pPr>
      <w:pStyle w:val="Footer"/>
    </w:pPr>
  </w:p>
  <w:tbl>
    <w:tblPr>
      <w:tblW w:w="0" w:type="auto"/>
      <w:tblLayout w:type="fixed"/>
      <w:tblLook w:val="04A0" w:firstRow="1" w:lastRow="0" w:firstColumn="1" w:lastColumn="0" w:noHBand="0" w:noVBand="1"/>
    </w:tblPr>
    <w:tblGrid>
      <w:gridCol w:w="8496"/>
      <w:gridCol w:w="1872"/>
    </w:tblGrid>
    <w:tr w:rsidR="0040529B" w14:paraId="523AD0B2" w14:textId="77777777">
      <w:tc>
        <w:tcPr>
          <w:tcW w:w="8496" w:type="dxa"/>
        </w:tcPr>
        <w:p w14:paraId="063CD139" w14:textId="77777777" w:rsidR="0040529B" w:rsidRDefault="00E52693">
          <w:r>
            <w:rPr>
              <w:color w:val="7F7F7F"/>
              <w:sz w:val="16"/>
            </w:rPr>
            <w:t>INTERNAL WORKING FRAMEWORK  |  19 AUGUST 2026</w:t>
          </w:r>
        </w:p>
      </w:tc>
      <w:tc>
        <w:tcPr>
          <w:tcW w:w="1872" w:type="dxa"/>
        </w:tcPr>
        <w:p w14:paraId="66331F0B" w14:textId="77777777" w:rsidR="0040529B" w:rsidRDefault="00E52693">
          <w:pPr>
            <w:jc w:val="right"/>
          </w:pPr>
          <w:r>
            <w:rPr>
              <w:color w:val="7F7F7F"/>
              <w:sz w:val="16"/>
            </w:rPr>
            <w:t xml:space="preserve">Page </w:t>
          </w:r>
          <w:r>
            <w:rPr>
              <w:color w:val="7F7F7F"/>
              <w:sz w:val="16"/>
            </w:rPr>
            <w:fldChar w:fldCharType="begin"/>
          </w:r>
          <w:r>
            <w:rPr>
              <w:color w:val="7F7F7F"/>
              <w:sz w:val="16"/>
            </w:rPr>
            <w:instrText>PAGE</w:instrText>
          </w:r>
          <w:r>
            <w:rPr>
              <w:color w:val="7F7F7F"/>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50455" w14:textId="77777777" w:rsidR="00E52693" w:rsidRDefault="00E52693">
      <w:pPr>
        <w:spacing w:after="0" w:line="240" w:lineRule="auto"/>
      </w:pPr>
      <w:r>
        <w:separator/>
      </w:r>
    </w:p>
  </w:footnote>
  <w:footnote w:type="continuationSeparator" w:id="0">
    <w:p w14:paraId="12031423" w14:textId="77777777" w:rsidR="00E52693" w:rsidRDefault="00E526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51E83" w14:textId="77777777" w:rsidR="0040529B" w:rsidRDefault="00E52693">
    <w:pPr>
      <w:pStyle w:val="Header"/>
      <w:jc w:val="right"/>
    </w:pPr>
    <w:r>
      <w:rPr>
        <w:b/>
        <w:color w:val="595959"/>
        <w:sz w:val="16"/>
      </w:rPr>
      <w:t>ARAS INTEGRASI  |  CYBERDSA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5431596">
    <w:abstractNumId w:val="8"/>
  </w:num>
  <w:num w:numId="2" w16cid:durableId="322859065">
    <w:abstractNumId w:val="6"/>
  </w:num>
  <w:num w:numId="3" w16cid:durableId="1147550707">
    <w:abstractNumId w:val="5"/>
  </w:num>
  <w:num w:numId="4" w16cid:durableId="368531919">
    <w:abstractNumId w:val="4"/>
  </w:num>
  <w:num w:numId="5" w16cid:durableId="1583485443">
    <w:abstractNumId w:val="7"/>
  </w:num>
  <w:num w:numId="6" w16cid:durableId="2020501961">
    <w:abstractNumId w:val="3"/>
  </w:num>
  <w:num w:numId="7" w16cid:durableId="631911697">
    <w:abstractNumId w:val="2"/>
  </w:num>
  <w:num w:numId="8" w16cid:durableId="871722778">
    <w:abstractNumId w:val="1"/>
  </w:num>
  <w:num w:numId="9" w16cid:durableId="1465808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3"/>
  <w:proofState w:spelling="clean" w:grammar="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529B"/>
    <w:rsid w:val="00447088"/>
    <w:rsid w:val="00AA1D8D"/>
    <w:rsid w:val="00B47730"/>
    <w:rsid w:val="00CB0664"/>
    <w:rsid w:val="00E526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AD1CAD"/>
  <w14:defaultImageDpi w14:val="300"/>
  <w15:docId w15:val="{F692ECDC-208C-8E4B-81DF-BE9E23970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Lead">
    <w:name w:val="Executive Lead"/>
    <w:rPr>
      <w:rFonts w:ascii="Aptos" w:hAnsi="Aptos"/>
      <w:color w:val="404040"/>
      <w:sz w:val="24"/>
    </w:rPr>
  </w:style>
  <w:style w:type="paragraph" w:customStyle="1" w:styleId="SmallNote">
    <w:name w:val="Small Note"/>
    <w:rPr>
      <w:rFonts w:ascii="Aptos" w:hAnsi="Aptos"/>
      <w:i/>
      <w:color w:val="595959"/>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3986</Words>
  <Characters>22724</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Faurani</cp:lastModifiedBy>
  <cp:revision>2</cp:revision>
  <dcterms:created xsi:type="dcterms:W3CDTF">2026-08-21T01:27:00Z</dcterms:created>
  <dcterms:modified xsi:type="dcterms:W3CDTF">2026-08-21T01:27:00Z</dcterms:modified>
  <cp:category/>
</cp:coreProperties>
</file>