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C0C0" w14:textId="77777777" w:rsidR="00411597" w:rsidRDefault="00411597">
      <w:pPr>
        <w:spacing w:before="600"/>
      </w:pPr>
    </w:p>
    <w:p w14:paraId="60E54FA1" w14:textId="77777777" w:rsidR="00411597" w:rsidRDefault="00000000">
      <w:pPr>
        <w:spacing w:before="800" w:after="100"/>
        <w:jc w:val="center"/>
      </w:pPr>
      <w:r>
        <w:rPr>
          <w:b/>
          <w:bCs/>
          <w:color w:val="444444"/>
          <w:spacing w:val="20"/>
          <w:sz w:val="26"/>
          <w:szCs w:val="26"/>
        </w:rPr>
        <w:t>A DATA SCIENCE PROJECT REPORT</w:t>
      </w:r>
    </w:p>
    <w:p w14:paraId="582CB113" w14:textId="77777777" w:rsidR="00411597" w:rsidRDefault="00411597">
      <w:pPr>
        <w:pBdr>
          <w:bottom w:val="single" w:sz="12" w:space="8" w:color="C9942C"/>
        </w:pBdr>
        <w:spacing w:after="400"/>
        <w:jc w:val="center"/>
      </w:pPr>
    </w:p>
    <w:p w14:paraId="4591FAB9" w14:textId="77777777" w:rsidR="00411597" w:rsidRDefault="00000000">
      <w:pPr>
        <w:spacing w:before="300" w:after="300"/>
        <w:jc w:val="center"/>
      </w:pPr>
      <w:r>
        <w:rPr>
          <w:b/>
          <w:bCs/>
          <w:color w:val="1F3A5F"/>
          <w:sz w:val="40"/>
          <w:szCs w:val="40"/>
        </w:rPr>
        <w:t>PREDICTING CUSTOMER LIFETIME VALUE THROUGH RFM-BASED FEATURE ENGINEERING AND REGRESSION MODELLING:</w:t>
      </w:r>
    </w:p>
    <w:p w14:paraId="0C4C565D" w14:textId="77777777" w:rsidR="00411597" w:rsidRDefault="00000000">
      <w:pPr>
        <w:spacing w:after="500"/>
        <w:jc w:val="center"/>
      </w:pPr>
      <w:r>
        <w:rPr>
          <w:i/>
          <w:iCs/>
          <w:color w:val="2C7A7B"/>
          <w:sz w:val="28"/>
          <w:szCs w:val="28"/>
        </w:rPr>
        <w:t>An End-to-End Data Science Study on Online Retail Transaction Data</w:t>
      </w:r>
    </w:p>
    <w:p w14:paraId="6799E861" w14:textId="77777777" w:rsidR="00411597" w:rsidRDefault="00000000">
      <w:pPr>
        <w:spacing w:before="400" w:after="400"/>
        <w:jc w:val="center"/>
      </w:pPr>
      <w:r>
        <w:rPr>
          <w:color w:val="C9942C"/>
          <w:sz w:val="32"/>
          <w:szCs w:val="32"/>
        </w:rPr>
        <w:t>❖</w:t>
      </w:r>
    </w:p>
    <w:p w14:paraId="1674ACBB" w14:textId="77777777" w:rsidR="00411597" w:rsidRDefault="00411597">
      <w:pPr>
        <w:spacing w:after="200"/>
      </w:pPr>
    </w:p>
    <w:p w14:paraId="15132D18" w14:textId="77777777" w:rsidR="00411597" w:rsidRDefault="00411597">
      <w:pPr>
        <w:spacing w:after="200"/>
      </w:pPr>
    </w:p>
    <w:p w14:paraId="1BB5BD2D" w14:textId="77777777" w:rsidR="00411597" w:rsidRDefault="00000000">
      <w:pPr>
        <w:spacing w:after="80"/>
        <w:jc w:val="center"/>
      </w:pPr>
      <w:r>
        <w:rPr>
          <w:color w:val="444444"/>
        </w:rPr>
        <w:t>Submitted by</w:t>
      </w:r>
    </w:p>
    <w:p w14:paraId="19DB5915" w14:textId="0F7AA43B" w:rsidR="005E3A81" w:rsidRDefault="005E3A81">
      <w:pPr>
        <w:spacing w:after="300"/>
        <w:jc w:val="center"/>
        <w:rPr>
          <w:b/>
          <w:bCs/>
          <w:color w:val="000000"/>
          <w:sz w:val="26"/>
          <w:szCs w:val="26"/>
        </w:rPr>
      </w:pPr>
      <w:r>
        <w:rPr>
          <w:b/>
          <w:bCs/>
          <w:color w:val="000000"/>
          <w:sz w:val="26"/>
          <w:szCs w:val="26"/>
        </w:rPr>
        <w:t>Muhammad Hamiz Bilal #241980132</w:t>
      </w:r>
    </w:p>
    <w:p w14:paraId="039B7C76" w14:textId="38056931" w:rsidR="005E3A81" w:rsidRDefault="005E3A81">
      <w:pPr>
        <w:spacing w:after="300"/>
        <w:jc w:val="center"/>
        <w:rPr>
          <w:b/>
          <w:bCs/>
          <w:color w:val="000000"/>
          <w:sz w:val="26"/>
          <w:szCs w:val="26"/>
        </w:rPr>
      </w:pPr>
      <w:r>
        <w:rPr>
          <w:b/>
          <w:bCs/>
          <w:color w:val="000000"/>
          <w:sz w:val="26"/>
          <w:szCs w:val="26"/>
        </w:rPr>
        <w:t>Ahmed Haseeb Khan #241980104</w:t>
      </w:r>
    </w:p>
    <w:p w14:paraId="687D1651" w14:textId="0556C4E4" w:rsidR="005E3A81" w:rsidRDefault="005E3A81">
      <w:pPr>
        <w:spacing w:after="300"/>
        <w:jc w:val="center"/>
        <w:rPr>
          <w:b/>
          <w:bCs/>
          <w:color w:val="000000"/>
          <w:sz w:val="26"/>
          <w:szCs w:val="26"/>
        </w:rPr>
      </w:pPr>
      <w:r>
        <w:rPr>
          <w:b/>
          <w:bCs/>
          <w:color w:val="000000"/>
          <w:sz w:val="26"/>
          <w:szCs w:val="26"/>
        </w:rPr>
        <w:t>Hamza Bin Naseer #241980005</w:t>
      </w:r>
    </w:p>
    <w:p w14:paraId="26271774" w14:textId="40978646" w:rsidR="00411597" w:rsidRDefault="005E3A81">
      <w:pPr>
        <w:spacing w:after="300"/>
        <w:jc w:val="center"/>
      </w:pPr>
      <w:r>
        <w:rPr>
          <w:b/>
          <w:bCs/>
          <w:color w:val="000000"/>
          <w:sz w:val="26"/>
          <w:szCs w:val="26"/>
        </w:rPr>
        <w:t>Abdul Wasay #241980105</w:t>
      </w:r>
    </w:p>
    <w:p w14:paraId="6962C676" w14:textId="415872C9" w:rsidR="00411597" w:rsidRDefault="00000000">
      <w:pPr>
        <w:spacing w:after="40"/>
        <w:jc w:val="center"/>
      </w:pPr>
      <w:proofErr w:type="spellStart"/>
      <w:r>
        <w:rPr>
          <w:color w:val="444444"/>
          <w:sz w:val="20"/>
          <w:szCs w:val="20"/>
        </w:rPr>
        <w:t>Programme</w:t>
      </w:r>
      <w:proofErr w:type="spellEnd"/>
      <w:r>
        <w:rPr>
          <w:color w:val="444444"/>
          <w:sz w:val="20"/>
          <w:szCs w:val="20"/>
        </w:rPr>
        <w:t>: [B.S. Data Science]</w:t>
      </w:r>
    </w:p>
    <w:p w14:paraId="0D64809A" w14:textId="5F5FEFF6" w:rsidR="00411597" w:rsidRDefault="00000000">
      <w:pPr>
        <w:spacing w:after="40"/>
        <w:jc w:val="center"/>
      </w:pPr>
      <w:r>
        <w:rPr>
          <w:color w:val="444444"/>
          <w:sz w:val="20"/>
          <w:szCs w:val="20"/>
        </w:rPr>
        <w:t>Department of Data Science</w:t>
      </w:r>
    </w:p>
    <w:p w14:paraId="63A63E5A" w14:textId="67D78680" w:rsidR="00411597" w:rsidRDefault="00000000">
      <w:pPr>
        <w:spacing w:after="40"/>
        <w:jc w:val="center"/>
      </w:pPr>
      <w:r>
        <w:rPr>
          <w:color w:val="444444"/>
          <w:sz w:val="20"/>
          <w:szCs w:val="20"/>
        </w:rPr>
        <w:t>[GIFT University]</w:t>
      </w:r>
    </w:p>
    <w:p w14:paraId="1C694FE7" w14:textId="77777777" w:rsidR="00411597" w:rsidRDefault="00000000">
      <w:pPr>
        <w:spacing w:before="300" w:after="40"/>
        <w:jc w:val="center"/>
      </w:pPr>
      <w:r>
        <w:rPr>
          <w:color w:val="444444"/>
          <w:sz w:val="20"/>
          <w:szCs w:val="20"/>
        </w:rPr>
        <w:t>July 2026</w:t>
      </w:r>
    </w:p>
    <w:p w14:paraId="0F2B182E" w14:textId="77777777" w:rsidR="00411597" w:rsidRDefault="00000000">
      <w:pPr>
        <w:spacing w:before="600"/>
        <w:jc w:val="center"/>
      </w:pPr>
      <w:r>
        <w:rPr>
          <w:i/>
          <w:iCs/>
          <w:color w:val="444444"/>
          <w:sz w:val="18"/>
          <w:szCs w:val="18"/>
        </w:rPr>
        <w:t xml:space="preserve">Dataset: UCI "Online Retail" Transactional </w:t>
      </w:r>
      <w:proofErr w:type="gramStart"/>
      <w:r>
        <w:rPr>
          <w:i/>
          <w:iCs/>
          <w:color w:val="444444"/>
          <w:sz w:val="18"/>
          <w:szCs w:val="18"/>
        </w:rPr>
        <w:t>Dataset  |</w:t>
      </w:r>
      <w:proofErr w:type="gramEnd"/>
      <w:r>
        <w:rPr>
          <w:i/>
          <w:iCs/>
          <w:color w:val="444444"/>
          <w:sz w:val="18"/>
          <w:szCs w:val="18"/>
        </w:rPr>
        <w:t xml:space="preserve">  Tooling: R (</w:t>
      </w:r>
      <w:proofErr w:type="spellStart"/>
      <w:r>
        <w:rPr>
          <w:i/>
          <w:iCs/>
          <w:color w:val="444444"/>
          <w:sz w:val="18"/>
          <w:szCs w:val="18"/>
        </w:rPr>
        <w:t>dplyr</w:t>
      </w:r>
      <w:proofErr w:type="spellEnd"/>
      <w:r>
        <w:rPr>
          <w:i/>
          <w:iCs/>
          <w:color w:val="444444"/>
          <w:sz w:val="18"/>
          <w:szCs w:val="18"/>
        </w:rPr>
        <w:t>, ggplot2, stats)</w:t>
      </w:r>
    </w:p>
    <w:p w14:paraId="034B463A" w14:textId="77777777" w:rsidR="00411597" w:rsidRDefault="00000000">
      <w:r>
        <w:br w:type="page"/>
      </w:r>
    </w:p>
    <w:p w14:paraId="22872880" w14:textId="6EFB3250" w:rsidR="00411597" w:rsidRDefault="00411597"/>
    <w:p w14:paraId="362985ED" w14:textId="77777777" w:rsidR="00411597" w:rsidRDefault="00000000">
      <w:pPr>
        <w:pStyle w:val="Heading1"/>
        <w:pBdr>
          <w:bottom w:val="single" w:sz="6" w:space="4" w:color="1F3A5F"/>
        </w:pBdr>
      </w:pPr>
      <w:bookmarkStart w:id="0" w:name="_Toc234425794"/>
      <w:r>
        <w:t>Table of Contents</w:t>
      </w:r>
      <w:bookmarkEnd w:id="0"/>
    </w:p>
    <w:sdt>
      <w:sdtPr>
        <w:alias w:val="Table of Contents"/>
        <w:id w:val="704441226"/>
      </w:sdtPr>
      <w:sdtContent>
        <w:p w14:paraId="72039D40" w14:textId="137AED5F" w:rsidR="005E3A81" w:rsidRDefault="00000000">
          <w:pPr>
            <w:pStyle w:val="TOC1"/>
            <w:tabs>
              <w:tab w:val="right" w:leader="dot" w:pos="9350"/>
            </w:tabs>
            <w:rPr>
              <w:noProof/>
            </w:rPr>
          </w:pPr>
          <w:r>
            <w:fldChar w:fldCharType="begin"/>
          </w:r>
          <w:r>
            <w:instrText>TOC \h \o "1-3"</w:instrText>
          </w:r>
          <w:r>
            <w:fldChar w:fldCharType="separate"/>
          </w:r>
        </w:p>
        <w:p w14:paraId="0FB49D62" w14:textId="36208649" w:rsidR="005E3A81" w:rsidRDefault="005E3A81">
          <w:pPr>
            <w:pStyle w:val="TOC1"/>
            <w:tabs>
              <w:tab w:val="right" w:leader="dot" w:pos="9350"/>
            </w:tabs>
            <w:rPr>
              <w:noProof/>
            </w:rPr>
          </w:pPr>
          <w:hyperlink w:anchor="_Toc234425794" w:history="1">
            <w:r>
              <w:rPr>
                <w:rStyle w:val="Hyperlink"/>
                <w:noProof/>
              </w:rPr>
              <w:t>Table of Contents</w:t>
            </w:r>
            <w:r>
              <w:rPr>
                <w:noProof/>
              </w:rPr>
              <w:tab/>
            </w:r>
            <w:r>
              <w:rPr>
                <w:noProof/>
              </w:rPr>
              <w:fldChar w:fldCharType="begin"/>
            </w:r>
            <w:r>
              <w:rPr>
                <w:noProof/>
              </w:rPr>
              <w:instrText xml:space="preserve"> PAGEREF _Toc234425794 \h </w:instrText>
            </w:r>
            <w:r>
              <w:rPr>
                <w:noProof/>
              </w:rPr>
            </w:r>
            <w:r>
              <w:rPr>
                <w:noProof/>
              </w:rPr>
              <w:fldChar w:fldCharType="separate"/>
            </w:r>
            <w:r>
              <w:rPr>
                <w:noProof/>
              </w:rPr>
              <w:t>3</w:t>
            </w:r>
            <w:r>
              <w:rPr>
                <w:noProof/>
              </w:rPr>
              <w:fldChar w:fldCharType="end"/>
            </w:r>
          </w:hyperlink>
        </w:p>
        <w:p w14:paraId="1F067944" w14:textId="73697EAC" w:rsidR="005E3A81" w:rsidRDefault="005E3A81">
          <w:pPr>
            <w:pStyle w:val="TOC1"/>
            <w:tabs>
              <w:tab w:val="right" w:leader="dot" w:pos="9350"/>
            </w:tabs>
            <w:rPr>
              <w:noProof/>
            </w:rPr>
          </w:pPr>
          <w:hyperlink w:anchor="_Toc234425795" w:history="1">
            <w:r>
              <w:rPr>
                <w:rStyle w:val="Hyperlink"/>
                <w:noProof/>
              </w:rPr>
              <w:t>Abstract</w:t>
            </w:r>
            <w:r>
              <w:rPr>
                <w:noProof/>
              </w:rPr>
              <w:tab/>
            </w:r>
            <w:r>
              <w:rPr>
                <w:noProof/>
              </w:rPr>
              <w:fldChar w:fldCharType="begin"/>
            </w:r>
            <w:r>
              <w:rPr>
                <w:noProof/>
              </w:rPr>
              <w:instrText xml:space="preserve"> PAGEREF _Toc234425795 \h </w:instrText>
            </w:r>
            <w:r>
              <w:rPr>
                <w:noProof/>
              </w:rPr>
            </w:r>
            <w:r>
              <w:rPr>
                <w:noProof/>
              </w:rPr>
              <w:fldChar w:fldCharType="separate"/>
            </w:r>
            <w:r>
              <w:rPr>
                <w:noProof/>
              </w:rPr>
              <w:t>5</w:t>
            </w:r>
            <w:r>
              <w:rPr>
                <w:noProof/>
              </w:rPr>
              <w:fldChar w:fldCharType="end"/>
            </w:r>
          </w:hyperlink>
        </w:p>
        <w:p w14:paraId="5666F62D" w14:textId="3C91E111" w:rsidR="005E3A81" w:rsidRDefault="005E3A81">
          <w:pPr>
            <w:pStyle w:val="TOC1"/>
            <w:tabs>
              <w:tab w:val="right" w:leader="dot" w:pos="9350"/>
            </w:tabs>
            <w:rPr>
              <w:noProof/>
            </w:rPr>
          </w:pPr>
          <w:hyperlink w:anchor="_Toc234425796" w:history="1">
            <w:r>
              <w:rPr>
                <w:rStyle w:val="Hyperlink"/>
                <w:noProof/>
              </w:rPr>
              <w:t>Executive Summary</w:t>
            </w:r>
            <w:r>
              <w:rPr>
                <w:noProof/>
              </w:rPr>
              <w:tab/>
            </w:r>
            <w:r>
              <w:rPr>
                <w:noProof/>
              </w:rPr>
              <w:fldChar w:fldCharType="begin"/>
            </w:r>
            <w:r>
              <w:rPr>
                <w:noProof/>
              </w:rPr>
              <w:instrText xml:space="preserve"> PAGEREF _Toc234425796 \h </w:instrText>
            </w:r>
            <w:r>
              <w:rPr>
                <w:noProof/>
              </w:rPr>
            </w:r>
            <w:r>
              <w:rPr>
                <w:noProof/>
              </w:rPr>
              <w:fldChar w:fldCharType="separate"/>
            </w:r>
            <w:r>
              <w:rPr>
                <w:noProof/>
              </w:rPr>
              <w:t>6</w:t>
            </w:r>
            <w:r>
              <w:rPr>
                <w:noProof/>
              </w:rPr>
              <w:fldChar w:fldCharType="end"/>
            </w:r>
          </w:hyperlink>
        </w:p>
        <w:p w14:paraId="3BBD0226" w14:textId="483BFE15" w:rsidR="005E3A81" w:rsidRDefault="005E3A81">
          <w:pPr>
            <w:pStyle w:val="TOC1"/>
            <w:tabs>
              <w:tab w:val="right" w:leader="dot" w:pos="9350"/>
            </w:tabs>
            <w:rPr>
              <w:noProof/>
            </w:rPr>
          </w:pPr>
          <w:hyperlink w:anchor="_Toc234425822" w:history="1">
            <w:r>
              <w:rPr>
                <w:rStyle w:val="Hyperlink"/>
                <w:noProof/>
              </w:rPr>
              <w:t>1.0 CLV Predictive Modelling</w:t>
            </w:r>
            <w:r>
              <w:rPr>
                <w:noProof/>
              </w:rPr>
              <w:tab/>
            </w:r>
            <w:r>
              <w:rPr>
                <w:noProof/>
              </w:rPr>
              <w:fldChar w:fldCharType="begin"/>
            </w:r>
            <w:r>
              <w:rPr>
                <w:noProof/>
              </w:rPr>
              <w:instrText xml:space="preserve"> PAGEREF _Toc234425822 \h </w:instrText>
            </w:r>
            <w:r>
              <w:rPr>
                <w:noProof/>
              </w:rPr>
            </w:r>
            <w:r>
              <w:rPr>
                <w:noProof/>
              </w:rPr>
              <w:fldChar w:fldCharType="separate"/>
            </w:r>
            <w:r>
              <w:rPr>
                <w:noProof/>
              </w:rPr>
              <w:t>27</w:t>
            </w:r>
            <w:r>
              <w:rPr>
                <w:noProof/>
              </w:rPr>
              <w:fldChar w:fldCharType="end"/>
            </w:r>
          </w:hyperlink>
        </w:p>
        <w:p w14:paraId="5D083A54" w14:textId="528B8839" w:rsidR="005E3A81" w:rsidRDefault="005E3A81">
          <w:pPr>
            <w:pStyle w:val="TOC2"/>
            <w:tabs>
              <w:tab w:val="right" w:leader="dot" w:pos="9350"/>
            </w:tabs>
            <w:rPr>
              <w:noProof/>
            </w:rPr>
          </w:pPr>
          <w:hyperlink w:anchor="_Toc234425823" w:history="1">
            <w:r>
              <w:rPr>
                <w:rStyle w:val="Hyperlink"/>
                <w:noProof/>
              </w:rPr>
              <w:t>1.1 Model Selection and Justification</w:t>
            </w:r>
            <w:r>
              <w:rPr>
                <w:noProof/>
              </w:rPr>
              <w:tab/>
            </w:r>
            <w:r>
              <w:rPr>
                <w:noProof/>
              </w:rPr>
              <w:fldChar w:fldCharType="begin"/>
            </w:r>
            <w:r>
              <w:rPr>
                <w:noProof/>
              </w:rPr>
              <w:instrText xml:space="preserve"> PAGEREF _Toc234425823 \h </w:instrText>
            </w:r>
            <w:r>
              <w:rPr>
                <w:noProof/>
              </w:rPr>
            </w:r>
            <w:r>
              <w:rPr>
                <w:noProof/>
              </w:rPr>
              <w:fldChar w:fldCharType="separate"/>
            </w:r>
            <w:r>
              <w:rPr>
                <w:noProof/>
              </w:rPr>
              <w:t>27</w:t>
            </w:r>
            <w:r>
              <w:rPr>
                <w:noProof/>
              </w:rPr>
              <w:fldChar w:fldCharType="end"/>
            </w:r>
          </w:hyperlink>
        </w:p>
        <w:p w14:paraId="1FB29025" w14:textId="6B333754" w:rsidR="005E3A81" w:rsidRDefault="005E3A81">
          <w:pPr>
            <w:pStyle w:val="TOC2"/>
            <w:tabs>
              <w:tab w:val="right" w:leader="dot" w:pos="9350"/>
            </w:tabs>
            <w:rPr>
              <w:noProof/>
            </w:rPr>
          </w:pPr>
          <w:hyperlink w:anchor="_Toc234425824" w:history="1">
            <w:r>
              <w:rPr>
                <w:rStyle w:val="Hyperlink"/>
                <w:noProof/>
              </w:rPr>
              <w:t>1.2 Mathematical Formulation of the Model</w:t>
            </w:r>
            <w:r>
              <w:rPr>
                <w:noProof/>
              </w:rPr>
              <w:tab/>
            </w:r>
            <w:r>
              <w:rPr>
                <w:noProof/>
              </w:rPr>
              <w:fldChar w:fldCharType="begin"/>
            </w:r>
            <w:r>
              <w:rPr>
                <w:noProof/>
              </w:rPr>
              <w:instrText xml:space="preserve"> PAGEREF _Toc234425824 \h </w:instrText>
            </w:r>
            <w:r>
              <w:rPr>
                <w:noProof/>
              </w:rPr>
            </w:r>
            <w:r>
              <w:rPr>
                <w:noProof/>
              </w:rPr>
              <w:fldChar w:fldCharType="separate"/>
            </w:r>
            <w:r>
              <w:rPr>
                <w:noProof/>
              </w:rPr>
              <w:t>27</w:t>
            </w:r>
            <w:r>
              <w:rPr>
                <w:noProof/>
              </w:rPr>
              <w:fldChar w:fldCharType="end"/>
            </w:r>
          </w:hyperlink>
        </w:p>
        <w:p w14:paraId="205096F0" w14:textId="41D14574" w:rsidR="005E3A81" w:rsidRDefault="005E3A81">
          <w:pPr>
            <w:pStyle w:val="TOC2"/>
            <w:tabs>
              <w:tab w:val="right" w:leader="dot" w:pos="9350"/>
            </w:tabs>
            <w:rPr>
              <w:noProof/>
            </w:rPr>
          </w:pPr>
          <w:hyperlink w:anchor="_Toc234425825" w:history="1">
            <w:r>
              <w:rPr>
                <w:rStyle w:val="Hyperlink"/>
                <w:noProof/>
              </w:rPr>
              <w:t>1.3 Data Transformation Pipeline for Modelling</w:t>
            </w:r>
            <w:r>
              <w:rPr>
                <w:noProof/>
              </w:rPr>
              <w:tab/>
            </w:r>
            <w:r>
              <w:rPr>
                <w:noProof/>
              </w:rPr>
              <w:fldChar w:fldCharType="begin"/>
            </w:r>
            <w:r>
              <w:rPr>
                <w:noProof/>
              </w:rPr>
              <w:instrText xml:space="preserve"> PAGEREF _Toc234425825 \h </w:instrText>
            </w:r>
            <w:r>
              <w:rPr>
                <w:noProof/>
              </w:rPr>
            </w:r>
            <w:r>
              <w:rPr>
                <w:noProof/>
              </w:rPr>
              <w:fldChar w:fldCharType="separate"/>
            </w:r>
            <w:r>
              <w:rPr>
                <w:noProof/>
              </w:rPr>
              <w:t>28</w:t>
            </w:r>
            <w:r>
              <w:rPr>
                <w:noProof/>
              </w:rPr>
              <w:fldChar w:fldCharType="end"/>
            </w:r>
          </w:hyperlink>
        </w:p>
        <w:p w14:paraId="4EBB3134" w14:textId="18F6B8F4" w:rsidR="005E3A81" w:rsidRDefault="005E3A81">
          <w:pPr>
            <w:pStyle w:val="TOC2"/>
            <w:tabs>
              <w:tab w:val="right" w:leader="dot" w:pos="9350"/>
            </w:tabs>
            <w:rPr>
              <w:noProof/>
            </w:rPr>
          </w:pPr>
          <w:hyperlink w:anchor="_Toc234425826" w:history="1">
            <w:r>
              <w:rPr>
                <w:rStyle w:val="Hyperlink"/>
                <w:noProof/>
              </w:rPr>
              <w:t>1.4 Model Architecture and Workflow</w:t>
            </w:r>
            <w:r>
              <w:rPr>
                <w:noProof/>
              </w:rPr>
              <w:tab/>
            </w:r>
            <w:r>
              <w:rPr>
                <w:noProof/>
              </w:rPr>
              <w:fldChar w:fldCharType="begin"/>
            </w:r>
            <w:r>
              <w:rPr>
                <w:noProof/>
              </w:rPr>
              <w:instrText xml:space="preserve"> PAGEREF _Toc234425826 \h </w:instrText>
            </w:r>
            <w:r>
              <w:rPr>
                <w:noProof/>
              </w:rPr>
            </w:r>
            <w:r>
              <w:rPr>
                <w:noProof/>
              </w:rPr>
              <w:fldChar w:fldCharType="separate"/>
            </w:r>
            <w:r>
              <w:rPr>
                <w:noProof/>
              </w:rPr>
              <w:t>28</w:t>
            </w:r>
            <w:r>
              <w:rPr>
                <w:noProof/>
              </w:rPr>
              <w:fldChar w:fldCharType="end"/>
            </w:r>
          </w:hyperlink>
        </w:p>
        <w:p w14:paraId="7E5B84AF" w14:textId="579FAE66" w:rsidR="005E3A81" w:rsidRDefault="005E3A81">
          <w:pPr>
            <w:pStyle w:val="TOC2"/>
            <w:tabs>
              <w:tab w:val="right" w:leader="dot" w:pos="9350"/>
            </w:tabs>
            <w:rPr>
              <w:noProof/>
            </w:rPr>
          </w:pPr>
          <w:hyperlink w:anchor="_Toc234425827" w:history="1">
            <w:r>
              <w:rPr>
                <w:rStyle w:val="Hyperlink"/>
                <w:noProof/>
              </w:rPr>
              <w:t>1.5 Model Training Process — Step by Step</w:t>
            </w:r>
            <w:r>
              <w:rPr>
                <w:noProof/>
              </w:rPr>
              <w:tab/>
            </w:r>
            <w:r>
              <w:rPr>
                <w:noProof/>
              </w:rPr>
              <w:fldChar w:fldCharType="begin"/>
            </w:r>
            <w:r>
              <w:rPr>
                <w:noProof/>
              </w:rPr>
              <w:instrText xml:space="preserve"> PAGEREF _Toc234425827 \h </w:instrText>
            </w:r>
            <w:r>
              <w:rPr>
                <w:noProof/>
              </w:rPr>
            </w:r>
            <w:r>
              <w:rPr>
                <w:noProof/>
              </w:rPr>
              <w:fldChar w:fldCharType="separate"/>
            </w:r>
            <w:r>
              <w:rPr>
                <w:noProof/>
              </w:rPr>
              <w:t>29</w:t>
            </w:r>
            <w:r>
              <w:rPr>
                <w:noProof/>
              </w:rPr>
              <w:fldChar w:fldCharType="end"/>
            </w:r>
          </w:hyperlink>
        </w:p>
        <w:p w14:paraId="17FE23E4" w14:textId="26F51093" w:rsidR="005E3A81" w:rsidRDefault="005E3A81">
          <w:pPr>
            <w:pStyle w:val="TOC1"/>
            <w:tabs>
              <w:tab w:val="right" w:leader="dot" w:pos="9350"/>
            </w:tabs>
            <w:rPr>
              <w:noProof/>
            </w:rPr>
          </w:pPr>
          <w:hyperlink w:anchor="_Toc234425828" w:history="1">
            <w:r>
              <w:rPr>
                <w:rStyle w:val="Hyperlink"/>
                <w:noProof/>
              </w:rPr>
              <w:t>2.0 Model Evaluation</w:t>
            </w:r>
            <w:r>
              <w:rPr>
                <w:noProof/>
              </w:rPr>
              <w:tab/>
            </w:r>
            <w:r>
              <w:rPr>
                <w:noProof/>
              </w:rPr>
              <w:fldChar w:fldCharType="begin"/>
            </w:r>
            <w:r>
              <w:rPr>
                <w:noProof/>
              </w:rPr>
              <w:instrText xml:space="preserve"> PAGEREF _Toc234425828 \h </w:instrText>
            </w:r>
            <w:r>
              <w:rPr>
                <w:noProof/>
              </w:rPr>
            </w:r>
            <w:r>
              <w:rPr>
                <w:noProof/>
              </w:rPr>
              <w:fldChar w:fldCharType="separate"/>
            </w:r>
            <w:r>
              <w:rPr>
                <w:noProof/>
              </w:rPr>
              <w:t>31</w:t>
            </w:r>
            <w:r>
              <w:rPr>
                <w:noProof/>
              </w:rPr>
              <w:fldChar w:fldCharType="end"/>
            </w:r>
          </w:hyperlink>
        </w:p>
        <w:p w14:paraId="0BB38E1D" w14:textId="127B7BD5" w:rsidR="005E3A81" w:rsidRDefault="005E3A81">
          <w:pPr>
            <w:pStyle w:val="TOC2"/>
            <w:tabs>
              <w:tab w:val="right" w:leader="dot" w:pos="9350"/>
            </w:tabs>
            <w:rPr>
              <w:noProof/>
            </w:rPr>
          </w:pPr>
          <w:hyperlink w:anchor="_Toc234425829" w:history="1">
            <w:r>
              <w:rPr>
                <w:rStyle w:val="Hyperlink"/>
                <w:noProof/>
              </w:rPr>
              <w:t>2.1 Evaluation Metric Definitions</w:t>
            </w:r>
            <w:r>
              <w:rPr>
                <w:noProof/>
              </w:rPr>
              <w:tab/>
            </w:r>
            <w:r>
              <w:rPr>
                <w:noProof/>
              </w:rPr>
              <w:fldChar w:fldCharType="begin"/>
            </w:r>
            <w:r>
              <w:rPr>
                <w:noProof/>
              </w:rPr>
              <w:instrText xml:space="preserve"> PAGEREF _Toc234425829 \h </w:instrText>
            </w:r>
            <w:r>
              <w:rPr>
                <w:noProof/>
              </w:rPr>
            </w:r>
            <w:r>
              <w:rPr>
                <w:noProof/>
              </w:rPr>
              <w:fldChar w:fldCharType="separate"/>
            </w:r>
            <w:r>
              <w:rPr>
                <w:noProof/>
              </w:rPr>
              <w:t>31</w:t>
            </w:r>
            <w:r>
              <w:rPr>
                <w:noProof/>
              </w:rPr>
              <w:fldChar w:fldCharType="end"/>
            </w:r>
          </w:hyperlink>
        </w:p>
        <w:p w14:paraId="025FAF6D" w14:textId="0EDB36BB" w:rsidR="005E3A81" w:rsidRDefault="005E3A81">
          <w:pPr>
            <w:pStyle w:val="TOC2"/>
            <w:tabs>
              <w:tab w:val="right" w:leader="dot" w:pos="9350"/>
            </w:tabs>
            <w:rPr>
              <w:noProof/>
            </w:rPr>
          </w:pPr>
          <w:hyperlink w:anchor="_Toc234425830" w:history="1">
            <w:r>
              <w:rPr>
                <w:rStyle w:val="Hyperlink"/>
                <w:noProof/>
              </w:rPr>
              <w:t>2.2 Independent Reproducibility Verification</w:t>
            </w:r>
            <w:r>
              <w:rPr>
                <w:noProof/>
              </w:rPr>
              <w:tab/>
            </w:r>
            <w:r>
              <w:rPr>
                <w:noProof/>
              </w:rPr>
              <w:fldChar w:fldCharType="begin"/>
            </w:r>
            <w:r>
              <w:rPr>
                <w:noProof/>
              </w:rPr>
              <w:instrText xml:space="preserve"> PAGEREF _Toc234425830 \h </w:instrText>
            </w:r>
            <w:r>
              <w:rPr>
                <w:noProof/>
              </w:rPr>
            </w:r>
            <w:r>
              <w:rPr>
                <w:noProof/>
              </w:rPr>
              <w:fldChar w:fldCharType="separate"/>
            </w:r>
            <w:r>
              <w:rPr>
                <w:noProof/>
              </w:rPr>
              <w:t>32</w:t>
            </w:r>
            <w:r>
              <w:rPr>
                <w:noProof/>
              </w:rPr>
              <w:fldChar w:fldCharType="end"/>
            </w:r>
          </w:hyperlink>
        </w:p>
        <w:p w14:paraId="2BD9A79D" w14:textId="4E67B3AE" w:rsidR="005E3A81" w:rsidRDefault="005E3A81">
          <w:pPr>
            <w:pStyle w:val="TOC2"/>
            <w:tabs>
              <w:tab w:val="right" w:leader="dot" w:pos="9350"/>
            </w:tabs>
            <w:rPr>
              <w:noProof/>
            </w:rPr>
          </w:pPr>
          <w:hyperlink w:anchor="_Toc234425831" w:history="1">
            <w:r>
              <w:rPr>
                <w:rStyle w:val="Hyperlink"/>
                <w:noProof/>
              </w:rPr>
              <w:t>2.3 Residual and Error Analysis</w:t>
            </w:r>
            <w:r>
              <w:rPr>
                <w:noProof/>
              </w:rPr>
              <w:tab/>
            </w:r>
            <w:r>
              <w:rPr>
                <w:noProof/>
              </w:rPr>
              <w:fldChar w:fldCharType="begin"/>
            </w:r>
            <w:r>
              <w:rPr>
                <w:noProof/>
              </w:rPr>
              <w:instrText xml:space="preserve"> PAGEREF _Toc234425831 \h </w:instrText>
            </w:r>
            <w:r>
              <w:rPr>
                <w:noProof/>
              </w:rPr>
            </w:r>
            <w:r>
              <w:rPr>
                <w:noProof/>
              </w:rPr>
              <w:fldChar w:fldCharType="separate"/>
            </w:r>
            <w:r>
              <w:rPr>
                <w:noProof/>
              </w:rPr>
              <w:t>33</w:t>
            </w:r>
            <w:r>
              <w:rPr>
                <w:noProof/>
              </w:rPr>
              <w:fldChar w:fldCharType="end"/>
            </w:r>
          </w:hyperlink>
        </w:p>
        <w:p w14:paraId="580002A9" w14:textId="6B04A79E" w:rsidR="005E3A81" w:rsidRDefault="005E3A81">
          <w:pPr>
            <w:pStyle w:val="TOC1"/>
            <w:tabs>
              <w:tab w:val="right" w:leader="dot" w:pos="9350"/>
            </w:tabs>
            <w:rPr>
              <w:noProof/>
            </w:rPr>
          </w:pPr>
          <w:hyperlink w:anchor="_Toc234425832" w:history="1">
            <w:r>
              <w:rPr>
                <w:rStyle w:val="Hyperlink"/>
                <w:noProof/>
              </w:rPr>
              <w:t>3.0 Results and Interpretation</w:t>
            </w:r>
            <w:r>
              <w:rPr>
                <w:noProof/>
              </w:rPr>
              <w:tab/>
            </w:r>
            <w:r>
              <w:rPr>
                <w:noProof/>
              </w:rPr>
              <w:fldChar w:fldCharType="begin"/>
            </w:r>
            <w:r>
              <w:rPr>
                <w:noProof/>
              </w:rPr>
              <w:instrText xml:space="preserve"> PAGEREF _Toc234425832 \h </w:instrText>
            </w:r>
            <w:r>
              <w:rPr>
                <w:noProof/>
              </w:rPr>
            </w:r>
            <w:r>
              <w:rPr>
                <w:noProof/>
              </w:rPr>
              <w:fldChar w:fldCharType="separate"/>
            </w:r>
            <w:r>
              <w:rPr>
                <w:noProof/>
              </w:rPr>
              <w:t>34</w:t>
            </w:r>
            <w:r>
              <w:rPr>
                <w:noProof/>
              </w:rPr>
              <w:fldChar w:fldCharType="end"/>
            </w:r>
          </w:hyperlink>
        </w:p>
        <w:p w14:paraId="1372E8F6" w14:textId="74510925" w:rsidR="005E3A81" w:rsidRDefault="005E3A81">
          <w:pPr>
            <w:pStyle w:val="TOC2"/>
            <w:tabs>
              <w:tab w:val="right" w:leader="dot" w:pos="9350"/>
            </w:tabs>
            <w:rPr>
              <w:noProof/>
            </w:rPr>
          </w:pPr>
          <w:hyperlink w:anchor="_Toc234425833" w:history="1">
            <w:r>
              <w:rPr>
                <w:rStyle w:val="Hyperlink"/>
                <w:noProof/>
              </w:rPr>
              <w:t>3.1 Revenue Concentration Analysis</w:t>
            </w:r>
            <w:r>
              <w:rPr>
                <w:noProof/>
              </w:rPr>
              <w:tab/>
            </w:r>
            <w:r>
              <w:rPr>
                <w:noProof/>
              </w:rPr>
              <w:fldChar w:fldCharType="begin"/>
            </w:r>
            <w:r>
              <w:rPr>
                <w:noProof/>
              </w:rPr>
              <w:instrText xml:space="preserve"> PAGEREF _Toc234425833 \h </w:instrText>
            </w:r>
            <w:r>
              <w:rPr>
                <w:noProof/>
              </w:rPr>
            </w:r>
            <w:r>
              <w:rPr>
                <w:noProof/>
              </w:rPr>
              <w:fldChar w:fldCharType="separate"/>
            </w:r>
            <w:r>
              <w:rPr>
                <w:noProof/>
              </w:rPr>
              <w:t>34</w:t>
            </w:r>
            <w:r>
              <w:rPr>
                <w:noProof/>
              </w:rPr>
              <w:fldChar w:fldCharType="end"/>
            </w:r>
          </w:hyperlink>
        </w:p>
        <w:p w14:paraId="3A5FD77F" w14:textId="0B8D6C86" w:rsidR="005E3A81" w:rsidRDefault="005E3A81">
          <w:pPr>
            <w:pStyle w:val="TOC2"/>
            <w:tabs>
              <w:tab w:val="right" w:leader="dot" w:pos="9350"/>
            </w:tabs>
            <w:rPr>
              <w:noProof/>
            </w:rPr>
          </w:pPr>
          <w:hyperlink w:anchor="_Toc234425834" w:history="1">
            <w:r>
              <w:rPr>
                <w:rStyle w:val="Hyperlink"/>
                <w:noProof/>
              </w:rPr>
              <w:t>3.2 Coefficient Interpretation</w:t>
            </w:r>
            <w:r>
              <w:rPr>
                <w:noProof/>
              </w:rPr>
              <w:tab/>
            </w:r>
            <w:r>
              <w:rPr>
                <w:noProof/>
              </w:rPr>
              <w:fldChar w:fldCharType="begin"/>
            </w:r>
            <w:r>
              <w:rPr>
                <w:noProof/>
              </w:rPr>
              <w:instrText xml:space="preserve"> PAGEREF _Toc234425834 \h </w:instrText>
            </w:r>
            <w:r>
              <w:rPr>
                <w:noProof/>
              </w:rPr>
            </w:r>
            <w:r>
              <w:rPr>
                <w:noProof/>
              </w:rPr>
              <w:fldChar w:fldCharType="separate"/>
            </w:r>
            <w:r>
              <w:rPr>
                <w:noProof/>
              </w:rPr>
              <w:t>34</w:t>
            </w:r>
            <w:r>
              <w:rPr>
                <w:noProof/>
              </w:rPr>
              <w:fldChar w:fldCharType="end"/>
            </w:r>
          </w:hyperlink>
        </w:p>
        <w:p w14:paraId="09DAEA79" w14:textId="6193EE29" w:rsidR="005E3A81" w:rsidRDefault="005E3A81">
          <w:pPr>
            <w:pStyle w:val="TOC2"/>
            <w:tabs>
              <w:tab w:val="right" w:leader="dot" w:pos="9350"/>
            </w:tabs>
            <w:rPr>
              <w:noProof/>
            </w:rPr>
          </w:pPr>
          <w:hyperlink w:anchor="_Toc234425835" w:history="1">
            <w:r>
              <w:rPr>
                <w:rStyle w:val="Hyperlink"/>
                <w:noProof/>
              </w:rPr>
              <w:t>3.3 Deployment Simulation on Unseen Customers</w:t>
            </w:r>
            <w:r>
              <w:rPr>
                <w:noProof/>
              </w:rPr>
              <w:tab/>
            </w:r>
            <w:r>
              <w:rPr>
                <w:noProof/>
              </w:rPr>
              <w:fldChar w:fldCharType="begin"/>
            </w:r>
            <w:r>
              <w:rPr>
                <w:noProof/>
              </w:rPr>
              <w:instrText xml:space="preserve"> PAGEREF _Toc234425835 \h </w:instrText>
            </w:r>
            <w:r>
              <w:rPr>
                <w:noProof/>
              </w:rPr>
            </w:r>
            <w:r>
              <w:rPr>
                <w:noProof/>
              </w:rPr>
              <w:fldChar w:fldCharType="separate"/>
            </w:r>
            <w:r>
              <w:rPr>
                <w:noProof/>
              </w:rPr>
              <w:t>35</w:t>
            </w:r>
            <w:r>
              <w:rPr>
                <w:noProof/>
              </w:rPr>
              <w:fldChar w:fldCharType="end"/>
            </w:r>
          </w:hyperlink>
        </w:p>
        <w:p w14:paraId="2E61D470" w14:textId="66919C8E" w:rsidR="005E3A81" w:rsidRDefault="005E3A81">
          <w:pPr>
            <w:pStyle w:val="TOC1"/>
            <w:tabs>
              <w:tab w:val="right" w:leader="dot" w:pos="9350"/>
            </w:tabs>
            <w:rPr>
              <w:noProof/>
            </w:rPr>
          </w:pPr>
          <w:hyperlink w:anchor="_Toc234425836" w:history="1">
            <w:r>
              <w:rPr>
                <w:rStyle w:val="Hyperlink"/>
                <w:noProof/>
              </w:rPr>
              <w:t>4.0 Critical Analysis</w:t>
            </w:r>
            <w:r>
              <w:rPr>
                <w:noProof/>
              </w:rPr>
              <w:tab/>
            </w:r>
            <w:r>
              <w:rPr>
                <w:noProof/>
              </w:rPr>
              <w:fldChar w:fldCharType="begin"/>
            </w:r>
            <w:r>
              <w:rPr>
                <w:noProof/>
              </w:rPr>
              <w:instrText xml:space="preserve"> PAGEREF _Toc234425836 \h </w:instrText>
            </w:r>
            <w:r>
              <w:rPr>
                <w:noProof/>
              </w:rPr>
            </w:r>
            <w:r>
              <w:rPr>
                <w:noProof/>
              </w:rPr>
              <w:fldChar w:fldCharType="separate"/>
            </w:r>
            <w:r>
              <w:rPr>
                <w:noProof/>
              </w:rPr>
              <w:t>36</w:t>
            </w:r>
            <w:r>
              <w:rPr>
                <w:noProof/>
              </w:rPr>
              <w:fldChar w:fldCharType="end"/>
            </w:r>
          </w:hyperlink>
        </w:p>
        <w:p w14:paraId="7A1F942A" w14:textId="47FAE1F5" w:rsidR="005E3A81" w:rsidRDefault="005E3A81">
          <w:pPr>
            <w:pStyle w:val="TOC2"/>
            <w:tabs>
              <w:tab w:val="right" w:leader="dot" w:pos="9350"/>
            </w:tabs>
            <w:rPr>
              <w:noProof/>
            </w:rPr>
          </w:pPr>
          <w:hyperlink w:anchor="_Toc234425837" w:history="1">
            <w:r>
              <w:rPr>
                <w:rStyle w:val="Hyperlink"/>
                <w:noProof/>
              </w:rPr>
              <w:t>4.1 Strengths</w:t>
            </w:r>
            <w:r>
              <w:rPr>
                <w:noProof/>
              </w:rPr>
              <w:tab/>
            </w:r>
            <w:r>
              <w:rPr>
                <w:noProof/>
              </w:rPr>
              <w:fldChar w:fldCharType="begin"/>
            </w:r>
            <w:r>
              <w:rPr>
                <w:noProof/>
              </w:rPr>
              <w:instrText xml:space="preserve"> PAGEREF _Toc234425837 \h </w:instrText>
            </w:r>
            <w:r>
              <w:rPr>
                <w:noProof/>
              </w:rPr>
            </w:r>
            <w:r>
              <w:rPr>
                <w:noProof/>
              </w:rPr>
              <w:fldChar w:fldCharType="separate"/>
            </w:r>
            <w:r>
              <w:rPr>
                <w:noProof/>
              </w:rPr>
              <w:t>36</w:t>
            </w:r>
            <w:r>
              <w:rPr>
                <w:noProof/>
              </w:rPr>
              <w:fldChar w:fldCharType="end"/>
            </w:r>
          </w:hyperlink>
        </w:p>
        <w:p w14:paraId="28841A67" w14:textId="4811F740" w:rsidR="005E3A81" w:rsidRDefault="005E3A81">
          <w:pPr>
            <w:pStyle w:val="TOC2"/>
            <w:tabs>
              <w:tab w:val="right" w:leader="dot" w:pos="9350"/>
            </w:tabs>
            <w:rPr>
              <w:noProof/>
            </w:rPr>
          </w:pPr>
          <w:hyperlink w:anchor="_Toc234425838" w:history="1">
            <w:r>
              <w:rPr>
                <w:rStyle w:val="Hyperlink"/>
                <w:noProof/>
              </w:rPr>
              <w:t>4.2 Limitations</w:t>
            </w:r>
            <w:r>
              <w:rPr>
                <w:noProof/>
              </w:rPr>
              <w:tab/>
            </w:r>
            <w:r>
              <w:rPr>
                <w:noProof/>
              </w:rPr>
              <w:fldChar w:fldCharType="begin"/>
            </w:r>
            <w:r>
              <w:rPr>
                <w:noProof/>
              </w:rPr>
              <w:instrText xml:space="preserve"> PAGEREF _Toc234425838 \h </w:instrText>
            </w:r>
            <w:r>
              <w:rPr>
                <w:noProof/>
              </w:rPr>
            </w:r>
            <w:r>
              <w:rPr>
                <w:noProof/>
              </w:rPr>
              <w:fldChar w:fldCharType="separate"/>
            </w:r>
            <w:r>
              <w:rPr>
                <w:noProof/>
              </w:rPr>
              <w:t>36</w:t>
            </w:r>
            <w:r>
              <w:rPr>
                <w:noProof/>
              </w:rPr>
              <w:fldChar w:fldCharType="end"/>
            </w:r>
          </w:hyperlink>
        </w:p>
        <w:p w14:paraId="6EF5A0BB" w14:textId="7DD095D3" w:rsidR="005E3A81" w:rsidRDefault="005E3A81">
          <w:pPr>
            <w:pStyle w:val="TOC2"/>
            <w:tabs>
              <w:tab w:val="right" w:leader="dot" w:pos="9350"/>
            </w:tabs>
            <w:rPr>
              <w:noProof/>
            </w:rPr>
          </w:pPr>
          <w:hyperlink w:anchor="_Toc234425839" w:history="1">
            <w:r>
              <w:rPr>
                <w:rStyle w:val="Hyperlink"/>
                <w:noProof/>
              </w:rPr>
              <w:t>4.3 Threats to Validity</w:t>
            </w:r>
            <w:r>
              <w:rPr>
                <w:noProof/>
              </w:rPr>
              <w:tab/>
            </w:r>
            <w:r>
              <w:rPr>
                <w:noProof/>
              </w:rPr>
              <w:fldChar w:fldCharType="begin"/>
            </w:r>
            <w:r>
              <w:rPr>
                <w:noProof/>
              </w:rPr>
              <w:instrText xml:space="preserve"> PAGEREF _Toc234425839 \h </w:instrText>
            </w:r>
            <w:r>
              <w:rPr>
                <w:noProof/>
              </w:rPr>
            </w:r>
            <w:r>
              <w:rPr>
                <w:noProof/>
              </w:rPr>
              <w:fldChar w:fldCharType="separate"/>
            </w:r>
            <w:r>
              <w:rPr>
                <w:noProof/>
              </w:rPr>
              <w:t>37</w:t>
            </w:r>
            <w:r>
              <w:rPr>
                <w:noProof/>
              </w:rPr>
              <w:fldChar w:fldCharType="end"/>
            </w:r>
          </w:hyperlink>
        </w:p>
        <w:p w14:paraId="6024126E" w14:textId="635B67EA" w:rsidR="005E3A81" w:rsidRDefault="005E3A81">
          <w:pPr>
            <w:pStyle w:val="TOC1"/>
            <w:tabs>
              <w:tab w:val="right" w:leader="dot" w:pos="9350"/>
            </w:tabs>
            <w:rPr>
              <w:noProof/>
            </w:rPr>
          </w:pPr>
          <w:hyperlink w:anchor="_Toc234425840" w:history="1">
            <w:r>
              <w:rPr>
                <w:rStyle w:val="Hyperlink"/>
                <w:noProof/>
              </w:rPr>
              <w:t>5.0 Business Recommendations</w:t>
            </w:r>
            <w:r>
              <w:rPr>
                <w:noProof/>
              </w:rPr>
              <w:tab/>
            </w:r>
            <w:r>
              <w:rPr>
                <w:noProof/>
              </w:rPr>
              <w:fldChar w:fldCharType="begin"/>
            </w:r>
            <w:r>
              <w:rPr>
                <w:noProof/>
              </w:rPr>
              <w:instrText xml:space="preserve"> PAGEREF _Toc234425840 \h </w:instrText>
            </w:r>
            <w:r>
              <w:rPr>
                <w:noProof/>
              </w:rPr>
            </w:r>
            <w:r>
              <w:rPr>
                <w:noProof/>
              </w:rPr>
              <w:fldChar w:fldCharType="separate"/>
            </w:r>
            <w:r>
              <w:rPr>
                <w:noProof/>
              </w:rPr>
              <w:t>38</w:t>
            </w:r>
            <w:r>
              <w:rPr>
                <w:noProof/>
              </w:rPr>
              <w:fldChar w:fldCharType="end"/>
            </w:r>
          </w:hyperlink>
        </w:p>
        <w:p w14:paraId="62E3E066" w14:textId="0829D30D" w:rsidR="005E3A81" w:rsidRDefault="005E3A81">
          <w:pPr>
            <w:pStyle w:val="TOC1"/>
            <w:tabs>
              <w:tab w:val="right" w:leader="dot" w:pos="9350"/>
            </w:tabs>
            <w:rPr>
              <w:noProof/>
            </w:rPr>
          </w:pPr>
          <w:hyperlink w:anchor="_Toc234425841" w:history="1">
            <w:r>
              <w:rPr>
                <w:rStyle w:val="Hyperlink"/>
                <w:noProof/>
              </w:rPr>
              <w:t>6.0 Future Work and Recommended Improvements</w:t>
            </w:r>
            <w:r>
              <w:rPr>
                <w:noProof/>
              </w:rPr>
              <w:tab/>
            </w:r>
            <w:r>
              <w:rPr>
                <w:noProof/>
              </w:rPr>
              <w:fldChar w:fldCharType="begin"/>
            </w:r>
            <w:r>
              <w:rPr>
                <w:noProof/>
              </w:rPr>
              <w:instrText xml:space="preserve"> PAGEREF _Toc234425841 \h </w:instrText>
            </w:r>
            <w:r>
              <w:rPr>
                <w:noProof/>
              </w:rPr>
            </w:r>
            <w:r>
              <w:rPr>
                <w:noProof/>
              </w:rPr>
              <w:fldChar w:fldCharType="separate"/>
            </w:r>
            <w:r>
              <w:rPr>
                <w:noProof/>
              </w:rPr>
              <w:t>39</w:t>
            </w:r>
            <w:r>
              <w:rPr>
                <w:noProof/>
              </w:rPr>
              <w:fldChar w:fldCharType="end"/>
            </w:r>
          </w:hyperlink>
        </w:p>
        <w:p w14:paraId="5B248C1C" w14:textId="04C216AE" w:rsidR="005E3A81" w:rsidRDefault="005E3A81">
          <w:pPr>
            <w:pStyle w:val="TOC1"/>
            <w:tabs>
              <w:tab w:val="right" w:leader="dot" w:pos="9350"/>
            </w:tabs>
            <w:rPr>
              <w:noProof/>
            </w:rPr>
          </w:pPr>
          <w:hyperlink w:anchor="_Toc234425842" w:history="1">
            <w:r>
              <w:rPr>
                <w:rStyle w:val="Hyperlink"/>
                <w:noProof/>
              </w:rPr>
              <w:t>7.0 Conclusion</w:t>
            </w:r>
            <w:r>
              <w:rPr>
                <w:noProof/>
              </w:rPr>
              <w:tab/>
            </w:r>
            <w:r>
              <w:rPr>
                <w:noProof/>
              </w:rPr>
              <w:fldChar w:fldCharType="begin"/>
            </w:r>
            <w:r>
              <w:rPr>
                <w:noProof/>
              </w:rPr>
              <w:instrText xml:space="preserve"> PAGEREF _Toc234425842 \h </w:instrText>
            </w:r>
            <w:r>
              <w:rPr>
                <w:noProof/>
              </w:rPr>
            </w:r>
            <w:r>
              <w:rPr>
                <w:noProof/>
              </w:rPr>
              <w:fldChar w:fldCharType="separate"/>
            </w:r>
            <w:r>
              <w:rPr>
                <w:noProof/>
              </w:rPr>
              <w:t>39</w:t>
            </w:r>
            <w:r>
              <w:rPr>
                <w:noProof/>
              </w:rPr>
              <w:fldChar w:fldCharType="end"/>
            </w:r>
          </w:hyperlink>
        </w:p>
        <w:p w14:paraId="58903B03" w14:textId="1A831AB7" w:rsidR="005E3A81" w:rsidRDefault="005E3A81">
          <w:pPr>
            <w:pStyle w:val="TOC1"/>
            <w:tabs>
              <w:tab w:val="right" w:leader="dot" w:pos="9350"/>
            </w:tabs>
            <w:rPr>
              <w:noProof/>
            </w:rPr>
          </w:pPr>
        </w:p>
        <w:p w14:paraId="3034C91E" w14:textId="77777777" w:rsidR="00411597" w:rsidRDefault="00000000">
          <w:r>
            <w:fldChar w:fldCharType="end"/>
          </w:r>
        </w:p>
      </w:sdtContent>
    </w:sdt>
    <w:p w14:paraId="7414545E" w14:textId="77777777" w:rsidR="00411597" w:rsidRDefault="00000000">
      <w:r>
        <w:br w:type="page"/>
      </w:r>
    </w:p>
    <w:p w14:paraId="4AF59D7F" w14:textId="77777777" w:rsidR="00411597" w:rsidRDefault="00000000">
      <w:pPr>
        <w:pStyle w:val="Heading1"/>
        <w:pBdr>
          <w:bottom w:val="single" w:sz="6" w:space="4" w:color="1F3A5F"/>
        </w:pBdr>
      </w:pPr>
      <w:bookmarkStart w:id="1" w:name="_Toc234425795"/>
      <w:r>
        <w:lastRenderedPageBreak/>
        <w:t>Abstract</w:t>
      </w:r>
      <w:bookmarkEnd w:id="1"/>
    </w:p>
    <w:p w14:paraId="4BA7FB03" w14:textId="77777777" w:rsidR="00411597" w:rsidRDefault="00000000">
      <w:pPr>
        <w:spacing w:after="160" w:line="300" w:lineRule="auto"/>
        <w:jc w:val="both"/>
      </w:pPr>
      <w:r>
        <w:rPr>
          <w:color w:val="222222"/>
        </w:rPr>
        <w:t xml:space="preserve">Customer Lifetime Value (CLV) estimation constitutes a central problem in data-driven customer relationship management, enabling </w:t>
      </w:r>
      <w:proofErr w:type="spellStart"/>
      <w:r>
        <w:rPr>
          <w:color w:val="222222"/>
        </w:rPr>
        <w:t>organisations</w:t>
      </w:r>
      <w:proofErr w:type="spellEnd"/>
      <w:r>
        <w:rPr>
          <w:color w:val="222222"/>
        </w:rPr>
        <w:t xml:space="preserve"> to allocate marketing resources toward the customers most likely to generate sustained future revenue. This report presents an end-to-end data science investigation into CLV prediction using a real-world e-commerce transaction log comprising 541,909 order lines from a United Kingdom-based online retailer. Following the removal of transactions lacking a valid customer identifier and the elimination of noise arising from bulk order cancellations, a cleaned dataset of 406,829 transactions was retained. A Recency-Frequency-Monetary (RFM) feature engineering pipeline was implemented in R to </w:t>
      </w:r>
      <w:proofErr w:type="spellStart"/>
      <w:r>
        <w:rPr>
          <w:color w:val="222222"/>
        </w:rPr>
        <w:t>summarise</w:t>
      </w:r>
      <w:proofErr w:type="spellEnd"/>
      <w:r>
        <w:rPr>
          <w:color w:val="222222"/>
        </w:rPr>
        <w:t xml:space="preserve"> each customer's transactional </w:t>
      </w:r>
      <w:proofErr w:type="spellStart"/>
      <w:r>
        <w:rPr>
          <w:color w:val="222222"/>
        </w:rPr>
        <w:t>behaviour</w:t>
      </w:r>
      <w:proofErr w:type="spellEnd"/>
      <w:r>
        <w:rPr>
          <w:color w:val="222222"/>
        </w:rPr>
        <w:t xml:space="preserve">, and a temporal split (75% historical / 25% future) was used to define a supervised learning target — the monetary value each customer would generate in the subsequent observation window. A multiple linear regression model was trained on log-transformed and </w:t>
      </w:r>
      <w:proofErr w:type="spellStart"/>
      <w:r>
        <w:rPr>
          <w:color w:val="222222"/>
        </w:rPr>
        <w:t>standardised</w:t>
      </w:r>
      <w:proofErr w:type="spellEnd"/>
      <w:r>
        <w:rPr>
          <w:color w:val="222222"/>
        </w:rPr>
        <w:t xml:space="preserve"> RFM features, refined iteratively through outlier </w:t>
      </w:r>
      <w:proofErr w:type="spellStart"/>
      <w:r>
        <w:rPr>
          <w:color w:val="222222"/>
        </w:rPr>
        <w:t>winsorisation</w:t>
      </w:r>
      <w:proofErr w:type="spellEnd"/>
      <w:r>
        <w:rPr>
          <w:color w:val="222222"/>
        </w:rPr>
        <w:t xml:space="preserve"> at the 99th percentile, and validated using Root Mean Squared Error (RMSE), Mean Absolute Error (MAE) and the coefficient of determination (R²). The resulting model was applied to 3,287 customers to generate three-month forward-looking income predictions. Quantile-based RFM scoring was additionally used to segment the customer base into five actionable cohorts — Champions, Loyal Customers, Potential Loyalists, At-Risk, and Lost — revealing that the top 10% of customers by predicted value account for over 90% of projected near-term revenue. The study discusses the statistical assumptions, limitations of back-transformed log-linear regression (including a small number of negative and extreme predictions), and concludes with concrete, segment-specific marketing recommendations. This work demonstrates that a comparatively simple, interpretable linear model, when paired with disciplined feature engineering and rigorous data cleaning, can produce actionable, business-ready CLV estimates suitable for deployment in a retail marketing analytics pipeline.</w:t>
      </w:r>
    </w:p>
    <w:p w14:paraId="06556ED2" w14:textId="77777777" w:rsidR="00411597" w:rsidRDefault="00000000">
      <w:pPr>
        <w:spacing w:after="160" w:line="300" w:lineRule="auto"/>
        <w:jc w:val="both"/>
      </w:pPr>
      <w:r>
        <w:rPr>
          <w:b/>
          <w:bCs/>
          <w:i/>
          <w:iCs/>
          <w:color w:val="222222"/>
        </w:rPr>
        <w:t>Keywords: Customer Lifetime Value, RFM Analysis, Customer Segmentation, Linear Regression, Retail Analytics, Predictive Modelling, R Programming</w:t>
      </w:r>
    </w:p>
    <w:p w14:paraId="168921C5" w14:textId="77777777" w:rsidR="00411597" w:rsidRDefault="00000000">
      <w:r>
        <w:br w:type="page"/>
      </w:r>
    </w:p>
    <w:p w14:paraId="25E12DE0" w14:textId="77777777" w:rsidR="00411597" w:rsidRDefault="00000000">
      <w:pPr>
        <w:pStyle w:val="Heading1"/>
        <w:pBdr>
          <w:bottom w:val="single" w:sz="6" w:space="4" w:color="1F3A5F"/>
        </w:pBdr>
      </w:pPr>
      <w:bookmarkStart w:id="2" w:name="_Toc234425796"/>
      <w:r>
        <w:lastRenderedPageBreak/>
        <w:t>Executive Summary</w:t>
      </w:r>
      <w:bookmarkEnd w:id="2"/>
    </w:p>
    <w:p w14:paraId="4AA9C3C4" w14:textId="77777777" w:rsidR="00411597" w:rsidRDefault="00000000">
      <w:pPr>
        <w:spacing w:after="160" w:line="300" w:lineRule="auto"/>
        <w:jc w:val="both"/>
      </w:pPr>
      <w:r>
        <w:rPr>
          <w:color w:val="222222"/>
        </w:rPr>
        <w:t>This project set out to answer a concrete business question: which customers of an online retailer are likely to be the most valuable in the near future, and how should the business act on that information? The analysis proceeded through eight structured phases — data ingestion, cleaning, exploratory analysis, RFM feature engineering, customer segmentation, predictive modelling, evaluation, and business translation — mirroring the standard CRISP-DM lifecycle used in industry-grade data science engagements.</w:t>
      </w:r>
    </w:p>
    <w:p w14:paraId="6DC8046D" w14:textId="77777777" w:rsidR="00411597" w:rsidRDefault="00000000">
      <w:pPr>
        <w:spacing w:after="160" w:line="300" w:lineRule="auto"/>
        <w:jc w:val="both"/>
      </w:pPr>
      <w:r>
        <w:rPr>
          <w:color w:val="222222"/>
        </w:rPr>
        <w:t>Working from 541,909 raw transaction records, 135,080 rows (24.9%) were removed due to missing customer identifiers, since these transactions cannot be attributed to an individual customer and are unusable for customer-level modelling. A further data-driven threshold was applied to the Quantity field (retaining values between −500 and 500 units) to eliminate a small number of extreme bulk cancellations and clerical errors that would otherwise dominate the Monetary feature. The resulting 406,829-transaction dataset was used to construct a Recency, Frequency, Monetary (RFM) profile for every customer, and a temporal train/future split (75%/25% of the observed date range) was used to build a supervised target representing each customer's actual spend in the subsequent period.</w:t>
      </w:r>
    </w:p>
    <w:p w14:paraId="2D5EBBB7" w14:textId="77777777" w:rsidR="00411597" w:rsidRDefault="00000000">
      <w:pPr>
        <w:spacing w:after="160" w:line="300" w:lineRule="auto"/>
        <w:jc w:val="both"/>
      </w:pPr>
      <w:r>
        <w:rPr>
          <w:color w:val="222222"/>
        </w:rPr>
        <w:t>A multiple linear regression model, trained on log-transformed and z-</w:t>
      </w:r>
      <w:proofErr w:type="spellStart"/>
      <w:r>
        <w:rPr>
          <w:color w:val="222222"/>
        </w:rPr>
        <w:t>standardised</w:t>
      </w:r>
      <w:proofErr w:type="spellEnd"/>
      <w:r>
        <w:rPr>
          <w:color w:val="222222"/>
        </w:rPr>
        <w:t xml:space="preserve"> RFM features, was used to predict this forward-looking spend. Two iterations of the model were built: an initial version trained on the full RFM dataset, and a refined version (“model_lr_v2”) trained after </w:t>
      </w:r>
      <w:proofErr w:type="spellStart"/>
      <w:r>
        <w:rPr>
          <w:color w:val="222222"/>
        </w:rPr>
        <w:t>winsorising</w:t>
      </w:r>
      <w:proofErr w:type="spellEnd"/>
      <w:r>
        <w:rPr>
          <w:color w:val="222222"/>
        </w:rPr>
        <w:t xml:space="preserve"> the Monetary and target variables at the 99th percentile to reduce the influence of extreme values. The final model was applied to 3,287 customers, producing a three-month forward income estimate for each. Independent verification performed for this report confirms that the exported predictions are internally consistent with the log-linear specification described in the training script, achieving a log-scale R² in excess of 0.999 when the linear form is refitted against the delivered Recency, Frequency and Monetary features.</w:t>
      </w:r>
    </w:p>
    <w:p w14:paraId="26542789" w14:textId="77777777" w:rsidR="00411597" w:rsidRDefault="00000000">
      <w:pPr>
        <w:spacing w:after="160" w:line="300" w:lineRule="auto"/>
        <w:jc w:val="both"/>
      </w:pPr>
      <w:r>
        <w:rPr>
          <w:color w:val="222222"/>
        </w:rPr>
        <w:t>Segmentation using quantile-based RFM scoring divided the customer base into five cohorts. Champions (22.1% of customers) were found to hold disproportionate importance, accounting for an overwhelming share of projected future income, while Lost customers (25.5% of the base) contribute minimally and represent low-priority win-back targets rather than an acquisition priority. These findings translate directly into segment-specific recommendations detailed in Section 5, including loyalty incentives for Champions, reactivation campaigns for At-Risk customers, and low-cost automated nurture flows for the Lost segment.</w:t>
      </w:r>
    </w:p>
    <w:p w14:paraId="057D7443" w14:textId="77777777" w:rsidR="00411597" w:rsidRDefault="00000000">
      <w:pPr>
        <w:spacing w:after="160" w:line="300" w:lineRule="auto"/>
        <w:jc w:val="both"/>
      </w:pPr>
      <w:r>
        <w:rPr>
          <w:color w:val="222222"/>
        </w:rPr>
        <w:t xml:space="preserve">Overall, the project demonstrates that disciplined data cleaning and feature engineering, combined with an interpretable statistical model, are sufficient to produce a defensible, explainable, and business-actionable CLV prediction system — while also surfacing important limitations (back-transformation bias, </w:t>
      </w:r>
      <w:r>
        <w:rPr>
          <w:color w:val="222222"/>
        </w:rPr>
        <w:lastRenderedPageBreak/>
        <w:t>negative predictions, and sensitivity to a single extreme high-frequency customer) that must be addressed before production deployment.</w:t>
      </w:r>
    </w:p>
    <w:p w14:paraId="38E1D860" w14:textId="77777777" w:rsidR="00411597" w:rsidRDefault="00000000">
      <w:r>
        <w:br w:type="page"/>
      </w:r>
    </w:p>
    <w:p w14:paraId="123BE9EE" w14:textId="48173592" w:rsidR="00411597" w:rsidRDefault="001C6E18">
      <w:pPr>
        <w:pStyle w:val="Heading1"/>
        <w:pBdr>
          <w:bottom w:val="single" w:sz="6" w:space="4" w:color="1F3A5F"/>
        </w:pBdr>
      </w:pPr>
      <w:bookmarkStart w:id="3" w:name="_Toc234425822"/>
      <w:r>
        <w:lastRenderedPageBreak/>
        <w:t>1.0 CLV Predictive Modelling</w:t>
      </w:r>
      <w:bookmarkEnd w:id="3"/>
    </w:p>
    <w:p w14:paraId="1F8A0A22" w14:textId="64A24557" w:rsidR="00411597" w:rsidRDefault="001C6E18">
      <w:pPr>
        <w:pStyle w:val="Heading2"/>
      </w:pPr>
      <w:bookmarkStart w:id="4" w:name="_Toc234425823"/>
      <w:r>
        <w:t>1.1 Model Selection and Justification</w:t>
      </w:r>
      <w:bookmarkEnd w:id="4"/>
    </w:p>
    <w:p w14:paraId="0DB37673" w14:textId="77777777" w:rsidR="00411597" w:rsidRDefault="00000000">
      <w:pPr>
        <w:spacing w:after="160" w:line="300" w:lineRule="auto"/>
        <w:jc w:val="both"/>
      </w:pPr>
      <w:r>
        <w:rPr>
          <w:color w:val="222222"/>
        </w:rPr>
        <w:t>Three broad classes of algorithm were considered for the CLV regression task: Multiple Linear Regression, Random Forest Regression, and Gradient Boosting (</w:t>
      </w:r>
      <w:proofErr w:type="spellStart"/>
      <w:r>
        <w:rPr>
          <w:color w:val="222222"/>
        </w:rPr>
        <w:t>XGBoost</w:t>
      </w:r>
      <w:proofErr w:type="spellEnd"/>
      <w:r>
        <w:rPr>
          <w:color w:val="222222"/>
        </w:rPr>
        <w:t>). The final pipeline implements Multiple Linear Regression. This choice was made deliberately rather than by default, for the following reasons: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00"/>
        <w:gridCol w:w="2200"/>
      </w:tblGrid>
      <w:tr w:rsidR="00411597" w14:paraId="51286083" w14:textId="77777777">
        <w:trPr>
          <w:tblHeader/>
        </w:trPr>
        <w:tc>
          <w:tcPr>
            <w:tcW w:w="2400" w:type="dxa"/>
            <w:shd w:val="clear" w:color="auto" w:fill="1F3A5F"/>
            <w:tcMar>
              <w:top w:w="80" w:type="dxa"/>
              <w:left w:w="100" w:type="dxa"/>
              <w:bottom w:w="80" w:type="dxa"/>
              <w:right w:w="100" w:type="dxa"/>
            </w:tcMar>
            <w:vAlign w:val="center"/>
          </w:tcPr>
          <w:p w14:paraId="38D3C0D1" w14:textId="77777777" w:rsidR="00411597" w:rsidRDefault="00000000">
            <w:pPr>
              <w:jc w:val="center"/>
            </w:pPr>
            <w:r>
              <w:rPr>
                <w:b/>
                <w:bCs/>
                <w:color w:val="FFFFFF"/>
                <w:sz w:val="20"/>
                <w:szCs w:val="20"/>
              </w:rPr>
              <w:t>Criterion</w:t>
            </w:r>
          </w:p>
        </w:tc>
        <w:tc>
          <w:tcPr>
            <w:tcW w:w="2400" w:type="dxa"/>
            <w:shd w:val="clear" w:color="auto" w:fill="1F3A5F"/>
            <w:tcMar>
              <w:top w:w="80" w:type="dxa"/>
              <w:left w:w="100" w:type="dxa"/>
              <w:bottom w:w="80" w:type="dxa"/>
              <w:right w:w="100" w:type="dxa"/>
            </w:tcMar>
            <w:vAlign w:val="center"/>
          </w:tcPr>
          <w:p w14:paraId="2E98DDC1" w14:textId="77777777" w:rsidR="00411597" w:rsidRDefault="00000000">
            <w:pPr>
              <w:jc w:val="center"/>
            </w:pPr>
            <w:r>
              <w:rPr>
                <w:b/>
                <w:bCs/>
                <w:color w:val="FFFFFF"/>
                <w:sz w:val="20"/>
                <w:szCs w:val="20"/>
              </w:rPr>
              <w:t>Linear Regression</w:t>
            </w:r>
          </w:p>
        </w:tc>
        <w:tc>
          <w:tcPr>
            <w:tcW w:w="2200" w:type="dxa"/>
            <w:shd w:val="clear" w:color="auto" w:fill="1F3A5F"/>
            <w:tcMar>
              <w:top w:w="80" w:type="dxa"/>
              <w:left w:w="100" w:type="dxa"/>
              <w:bottom w:w="80" w:type="dxa"/>
              <w:right w:w="100" w:type="dxa"/>
            </w:tcMar>
            <w:vAlign w:val="center"/>
          </w:tcPr>
          <w:p w14:paraId="3980080F" w14:textId="77777777" w:rsidR="00411597" w:rsidRDefault="00000000">
            <w:pPr>
              <w:jc w:val="center"/>
            </w:pPr>
            <w:r>
              <w:rPr>
                <w:b/>
                <w:bCs/>
                <w:color w:val="FFFFFF"/>
                <w:sz w:val="20"/>
                <w:szCs w:val="20"/>
              </w:rPr>
              <w:t>Random Forest</w:t>
            </w:r>
          </w:p>
        </w:tc>
        <w:tc>
          <w:tcPr>
            <w:tcW w:w="2200" w:type="dxa"/>
            <w:shd w:val="clear" w:color="auto" w:fill="1F3A5F"/>
            <w:tcMar>
              <w:top w:w="80" w:type="dxa"/>
              <w:left w:w="100" w:type="dxa"/>
              <w:bottom w:w="80" w:type="dxa"/>
              <w:right w:w="100" w:type="dxa"/>
            </w:tcMar>
            <w:vAlign w:val="center"/>
          </w:tcPr>
          <w:p w14:paraId="7FC20435" w14:textId="77777777" w:rsidR="00411597" w:rsidRDefault="00000000">
            <w:pPr>
              <w:jc w:val="center"/>
            </w:pPr>
            <w:proofErr w:type="spellStart"/>
            <w:r>
              <w:rPr>
                <w:b/>
                <w:bCs/>
                <w:color w:val="FFFFFF"/>
                <w:sz w:val="20"/>
                <w:szCs w:val="20"/>
              </w:rPr>
              <w:t>XGBoost</w:t>
            </w:r>
            <w:proofErr w:type="spellEnd"/>
          </w:p>
        </w:tc>
      </w:tr>
      <w:tr w:rsidR="00411597" w14:paraId="311045BD" w14:textId="77777777">
        <w:tc>
          <w:tcPr>
            <w:tcW w:w="2400" w:type="dxa"/>
            <w:tcMar>
              <w:top w:w="80" w:type="dxa"/>
              <w:left w:w="100" w:type="dxa"/>
              <w:bottom w:w="80" w:type="dxa"/>
              <w:right w:w="100" w:type="dxa"/>
            </w:tcMar>
            <w:vAlign w:val="center"/>
          </w:tcPr>
          <w:p w14:paraId="150B53CA" w14:textId="77777777" w:rsidR="00411597" w:rsidRDefault="00000000">
            <w:r>
              <w:rPr>
                <w:color w:val="222222"/>
                <w:sz w:val="20"/>
                <w:szCs w:val="20"/>
              </w:rPr>
              <w:t>Interpretability of coefficients</w:t>
            </w:r>
          </w:p>
        </w:tc>
        <w:tc>
          <w:tcPr>
            <w:tcW w:w="2400" w:type="dxa"/>
            <w:tcMar>
              <w:top w:w="80" w:type="dxa"/>
              <w:left w:w="100" w:type="dxa"/>
              <w:bottom w:w="80" w:type="dxa"/>
              <w:right w:w="100" w:type="dxa"/>
            </w:tcMar>
            <w:vAlign w:val="center"/>
          </w:tcPr>
          <w:p w14:paraId="6E9A29D2" w14:textId="77777777" w:rsidR="00411597" w:rsidRDefault="00000000">
            <w:pPr>
              <w:jc w:val="center"/>
            </w:pPr>
            <w:r>
              <w:rPr>
                <w:color w:val="222222"/>
                <w:sz w:val="20"/>
                <w:szCs w:val="20"/>
              </w:rPr>
              <w:t>High — each RFM feature has a directly interpretable, signed coefficient</w:t>
            </w:r>
          </w:p>
        </w:tc>
        <w:tc>
          <w:tcPr>
            <w:tcW w:w="2200" w:type="dxa"/>
            <w:tcMar>
              <w:top w:w="80" w:type="dxa"/>
              <w:left w:w="100" w:type="dxa"/>
              <w:bottom w:w="80" w:type="dxa"/>
              <w:right w:w="100" w:type="dxa"/>
            </w:tcMar>
            <w:vAlign w:val="center"/>
          </w:tcPr>
          <w:p w14:paraId="2B435B65" w14:textId="77777777" w:rsidR="00411597" w:rsidRDefault="00000000">
            <w:pPr>
              <w:jc w:val="center"/>
            </w:pPr>
            <w:r>
              <w:rPr>
                <w:color w:val="222222"/>
                <w:sz w:val="20"/>
                <w:szCs w:val="20"/>
              </w:rPr>
              <w:t>Low — requires post-hoc importance/SHAP analysis</w:t>
            </w:r>
          </w:p>
        </w:tc>
        <w:tc>
          <w:tcPr>
            <w:tcW w:w="2200" w:type="dxa"/>
            <w:tcMar>
              <w:top w:w="80" w:type="dxa"/>
              <w:left w:w="100" w:type="dxa"/>
              <w:bottom w:w="80" w:type="dxa"/>
              <w:right w:w="100" w:type="dxa"/>
            </w:tcMar>
            <w:vAlign w:val="center"/>
          </w:tcPr>
          <w:p w14:paraId="52160024" w14:textId="77777777" w:rsidR="00411597" w:rsidRDefault="00000000">
            <w:pPr>
              <w:jc w:val="center"/>
            </w:pPr>
            <w:r>
              <w:rPr>
                <w:color w:val="222222"/>
                <w:sz w:val="20"/>
                <w:szCs w:val="20"/>
              </w:rPr>
              <w:t>Low — requires post-hoc importance/SHAP analysis</w:t>
            </w:r>
          </w:p>
        </w:tc>
      </w:tr>
      <w:tr w:rsidR="00411597" w14:paraId="62AE910C" w14:textId="77777777">
        <w:tc>
          <w:tcPr>
            <w:tcW w:w="2400" w:type="dxa"/>
            <w:shd w:val="clear" w:color="auto" w:fill="EAF0F6"/>
            <w:tcMar>
              <w:top w:w="80" w:type="dxa"/>
              <w:left w:w="100" w:type="dxa"/>
              <w:bottom w:w="80" w:type="dxa"/>
              <w:right w:w="100" w:type="dxa"/>
            </w:tcMar>
            <w:vAlign w:val="center"/>
          </w:tcPr>
          <w:p w14:paraId="58502346" w14:textId="77777777" w:rsidR="00411597" w:rsidRDefault="00000000">
            <w:r>
              <w:rPr>
                <w:color w:val="222222"/>
                <w:sz w:val="20"/>
                <w:szCs w:val="20"/>
              </w:rPr>
              <w:t>Performance with only 3 features, ~3,000 rows</w:t>
            </w:r>
          </w:p>
        </w:tc>
        <w:tc>
          <w:tcPr>
            <w:tcW w:w="2400" w:type="dxa"/>
            <w:shd w:val="clear" w:color="auto" w:fill="EAF0F6"/>
            <w:tcMar>
              <w:top w:w="80" w:type="dxa"/>
              <w:left w:w="100" w:type="dxa"/>
              <w:bottom w:w="80" w:type="dxa"/>
              <w:right w:w="100" w:type="dxa"/>
            </w:tcMar>
            <w:vAlign w:val="center"/>
          </w:tcPr>
          <w:p w14:paraId="15661670" w14:textId="77777777" w:rsidR="00411597" w:rsidRDefault="00000000">
            <w:pPr>
              <w:jc w:val="center"/>
            </w:pPr>
            <w:r>
              <w:rPr>
                <w:color w:val="222222"/>
                <w:sz w:val="20"/>
                <w:szCs w:val="20"/>
              </w:rPr>
              <w:t>Sufficient — low risk of underfitting with a small, well-engineered feature set</w:t>
            </w:r>
          </w:p>
        </w:tc>
        <w:tc>
          <w:tcPr>
            <w:tcW w:w="2200" w:type="dxa"/>
            <w:shd w:val="clear" w:color="auto" w:fill="EAF0F6"/>
            <w:tcMar>
              <w:top w:w="80" w:type="dxa"/>
              <w:left w:w="100" w:type="dxa"/>
              <w:bottom w:w="80" w:type="dxa"/>
              <w:right w:w="100" w:type="dxa"/>
            </w:tcMar>
            <w:vAlign w:val="center"/>
          </w:tcPr>
          <w:p w14:paraId="087790A5" w14:textId="77777777" w:rsidR="00411597" w:rsidRDefault="00000000">
            <w:pPr>
              <w:jc w:val="center"/>
            </w:pPr>
            <w:r>
              <w:rPr>
                <w:color w:val="222222"/>
                <w:sz w:val="20"/>
                <w:szCs w:val="20"/>
              </w:rPr>
              <w:t>Prone to overfitting on a small feature set without careful tuning</w:t>
            </w:r>
          </w:p>
        </w:tc>
        <w:tc>
          <w:tcPr>
            <w:tcW w:w="2200" w:type="dxa"/>
            <w:shd w:val="clear" w:color="auto" w:fill="EAF0F6"/>
            <w:tcMar>
              <w:top w:w="80" w:type="dxa"/>
              <w:left w:w="100" w:type="dxa"/>
              <w:bottom w:w="80" w:type="dxa"/>
              <w:right w:w="100" w:type="dxa"/>
            </w:tcMar>
            <w:vAlign w:val="center"/>
          </w:tcPr>
          <w:p w14:paraId="6DF4C821" w14:textId="77777777" w:rsidR="00411597" w:rsidRDefault="00000000">
            <w:pPr>
              <w:jc w:val="center"/>
            </w:pPr>
            <w:r>
              <w:rPr>
                <w:color w:val="222222"/>
                <w:sz w:val="20"/>
                <w:szCs w:val="20"/>
              </w:rPr>
              <w:t xml:space="preserve">Prone to overfitting; requires careful </w:t>
            </w:r>
            <w:proofErr w:type="spellStart"/>
            <w:r>
              <w:rPr>
                <w:color w:val="222222"/>
                <w:sz w:val="20"/>
                <w:szCs w:val="20"/>
              </w:rPr>
              <w:t>regularisation</w:t>
            </w:r>
            <w:proofErr w:type="spellEnd"/>
            <w:r>
              <w:rPr>
                <w:color w:val="222222"/>
                <w:sz w:val="20"/>
                <w:szCs w:val="20"/>
              </w:rPr>
              <w:t xml:space="preserve"> and tuning</w:t>
            </w:r>
          </w:p>
        </w:tc>
      </w:tr>
      <w:tr w:rsidR="00411597" w14:paraId="366FA527" w14:textId="77777777">
        <w:tc>
          <w:tcPr>
            <w:tcW w:w="2400" w:type="dxa"/>
            <w:tcMar>
              <w:top w:w="80" w:type="dxa"/>
              <w:left w:w="100" w:type="dxa"/>
              <w:bottom w:w="80" w:type="dxa"/>
              <w:right w:w="100" w:type="dxa"/>
            </w:tcMar>
            <w:vAlign w:val="center"/>
          </w:tcPr>
          <w:p w14:paraId="5DFF6B53" w14:textId="77777777" w:rsidR="00411597" w:rsidRDefault="00000000">
            <w:r>
              <w:rPr>
                <w:color w:val="222222"/>
                <w:sz w:val="20"/>
                <w:szCs w:val="20"/>
              </w:rPr>
              <w:t>Transparency for business/regulatory stakeholders</w:t>
            </w:r>
          </w:p>
        </w:tc>
        <w:tc>
          <w:tcPr>
            <w:tcW w:w="2400" w:type="dxa"/>
            <w:tcMar>
              <w:top w:w="80" w:type="dxa"/>
              <w:left w:w="100" w:type="dxa"/>
              <w:bottom w:w="80" w:type="dxa"/>
              <w:right w:w="100" w:type="dxa"/>
            </w:tcMar>
            <w:vAlign w:val="center"/>
          </w:tcPr>
          <w:p w14:paraId="2AC5338F" w14:textId="77777777" w:rsidR="00411597" w:rsidRDefault="00000000">
            <w:pPr>
              <w:jc w:val="center"/>
            </w:pPr>
            <w:r>
              <w:rPr>
                <w:color w:val="222222"/>
                <w:sz w:val="20"/>
                <w:szCs w:val="20"/>
              </w:rPr>
              <w:t>High — defensible, auditable formula</w:t>
            </w:r>
          </w:p>
        </w:tc>
        <w:tc>
          <w:tcPr>
            <w:tcW w:w="2200" w:type="dxa"/>
            <w:tcMar>
              <w:top w:w="80" w:type="dxa"/>
              <w:left w:w="100" w:type="dxa"/>
              <w:bottom w:w="80" w:type="dxa"/>
              <w:right w:w="100" w:type="dxa"/>
            </w:tcMar>
            <w:vAlign w:val="center"/>
          </w:tcPr>
          <w:p w14:paraId="6A57B7B5" w14:textId="77777777" w:rsidR="00411597" w:rsidRDefault="00000000">
            <w:pPr>
              <w:jc w:val="center"/>
            </w:pPr>
            <w:r>
              <w:rPr>
                <w:color w:val="222222"/>
                <w:sz w:val="20"/>
                <w:szCs w:val="20"/>
              </w:rPr>
              <w:t>Moderate</w:t>
            </w:r>
          </w:p>
        </w:tc>
        <w:tc>
          <w:tcPr>
            <w:tcW w:w="2200" w:type="dxa"/>
            <w:tcMar>
              <w:top w:w="80" w:type="dxa"/>
              <w:left w:w="100" w:type="dxa"/>
              <w:bottom w:w="80" w:type="dxa"/>
              <w:right w:w="100" w:type="dxa"/>
            </w:tcMar>
            <w:vAlign w:val="center"/>
          </w:tcPr>
          <w:p w14:paraId="422F94E3" w14:textId="77777777" w:rsidR="00411597" w:rsidRDefault="00000000">
            <w:pPr>
              <w:jc w:val="center"/>
            </w:pPr>
            <w:r>
              <w:rPr>
                <w:color w:val="222222"/>
                <w:sz w:val="20"/>
                <w:szCs w:val="20"/>
              </w:rPr>
              <w:t>Low</w:t>
            </w:r>
          </w:p>
        </w:tc>
      </w:tr>
      <w:tr w:rsidR="00411597" w14:paraId="0A61B76D" w14:textId="77777777">
        <w:tc>
          <w:tcPr>
            <w:tcW w:w="2400" w:type="dxa"/>
            <w:shd w:val="clear" w:color="auto" w:fill="EAF0F6"/>
            <w:tcMar>
              <w:top w:w="80" w:type="dxa"/>
              <w:left w:w="100" w:type="dxa"/>
              <w:bottom w:w="80" w:type="dxa"/>
              <w:right w:w="100" w:type="dxa"/>
            </w:tcMar>
            <w:vAlign w:val="center"/>
          </w:tcPr>
          <w:p w14:paraId="741F9717" w14:textId="77777777" w:rsidR="00411597" w:rsidRDefault="00000000">
            <w:r>
              <w:rPr>
                <w:color w:val="222222"/>
                <w:sz w:val="20"/>
                <w:szCs w:val="20"/>
              </w:rPr>
              <w:t>Computational cost / training time</w:t>
            </w:r>
          </w:p>
        </w:tc>
        <w:tc>
          <w:tcPr>
            <w:tcW w:w="2400" w:type="dxa"/>
            <w:shd w:val="clear" w:color="auto" w:fill="EAF0F6"/>
            <w:tcMar>
              <w:top w:w="80" w:type="dxa"/>
              <w:left w:w="100" w:type="dxa"/>
              <w:bottom w:w="80" w:type="dxa"/>
              <w:right w:w="100" w:type="dxa"/>
            </w:tcMar>
            <w:vAlign w:val="center"/>
          </w:tcPr>
          <w:p w14:paraId="7AF449F5" w14:textId="77777777" w:rsidR="00411597" w:rsidRDefault="00000000">
            <w:pPr>
              <w:jc w:val="center"/>
            </w:pPr>
            <w:r>
              <w:rPr>
                <w:color w:val="222222"/>
                <w:sz w:val="20"/>
                <w:szCs w:val="20"/>
              </w:rPr>
              <w:t>Negligible</w:t>
            </w:r>
          </w:p>
        </w:tc>
        <w:tc>
          <w:tcPr>
            <w:tcW w:w="2200" w:type="dxa"/>
            <w:shd w:val="clear" w:color="auto" w:fill="EAF0F6"/>
            <w:tcMar>
              <w:top w:w="80" w:type="dxa"/>
              <w:left w:w="100" w:type="dxa"/>
              <w:bottom w:w="80" w:type="dxa"/>
              <w:right w:w="100" w:type="dxa"/>
            </w:tcMar>
            <w:vAlign w:val="center"/>
          </w:tcPr>
          <w:p w14:paraId="08C63EE8" w14:textId="77777777" w:rsidR="00411597" w:rsidRDefault="00000000">
            <w:pPr>
              <w:jc w:val="center"/>
            </w:pPr>
            <w:r>
              <w:rPr>
                <w:color w:val="222222"/>
                <w:sz w:val="20"/>
                <w:szCs w:val="20"/>
              </w:rPr>
              <w:t>Moderate</w:t>
            </w:r>
          </w:p>
        </w:tc>
        <w:tc>
          <w:tcPr>
            <w:tcW w:w="2200" w:type="dxa"/>
            <w:shd w:val="clear" w:color="auto" w:fill="EAF0F6"/>
            <w:tcMar>
              <w:top w:w="80" w:type="dxa"/>
              <w:left w:w="100" w:type="dxa"/>
              <w:bottom w:w="80" w:type="dxa"/>
              <w:right w:w="100" w:type="dxa"/>
            </w:tcMar>
            <w:vAlign w:val="center"/>
          </w:tcPr>
          <w:p w14:paraId="38680A59" w14:textId="77777777" w:rsidR="00411597" w:rsidRDefault="00000000">
            <w:pPr>
              <w:jc w:val="center"/>
            </w:pPr>
            <w:r>
              <w:rPr>
                <w:color w:val="222222"/>
                <w:sz w:val="20"/>
                <w:szCs w:val="20"/>
              </w:rPr>
              <w:t>Higher; requires hyperparameter search</w:t>
            </w:r>
          </w:p>
        </w:tc>
      </w:tr>
      <w:tr w:rsidR="00411597" w14:paraId="5F908A23" w14:textId="77777777">
        <w:tc>
          <w:tcPr>
            <w:tcW w:w="2400" w:type="dxa"/>
            <w:tcMar>
              <w:top w:w="80" w:type="dxa"/>
              <w:left w:w="100" w:type="dxa"/>
              <w:bottom w:w="80" w:type="dxa"/>
              <w:right w:w="100" w:type="dxa"/>
            </w:tcMar>
            <w:vAlign w:val="center"/>
          </w:tcPr>
          <w:p w14:paraId="61C681D3" w14:textId="77777777" w:rsidR="00411597" w:rsidRDefault="00000000">
            <w:r>
              <w:rPr>
                <w:color w:val="222222"/>
                <w:sz w:val="20"/>
                <w:szCs w:val="20"/>
              </w:rPr>
              <w:t>Sensitivity to feature engineering quality</w:t>
            </w:r>
          </w:p>
        </w:tc>
        <w:tc>
          <w:tcPr>
            <w:tcW w:w="2400" w:type="dxa"/>
            <w:tcMar>
              <w:top w:w="80" w:type="dxa"/>
              <w:left w:w="100" w:type="dxa"/>
              <w:bottom w:w="80" w:type="dxa"/>
              <w:right w:w="100" w:type="dxa"/>
            </w:tcMar>
            <w:vAlign w:val="center"/>
          </w:tcPr>
          <w:p w14:paraId="176F6275" w14:textId="77777777" w:rsidR="00411597" w:rsidRDefault="00000000">
            <w:pPr>
              <w:jc w:val="center"/>
            </w:pPr>
            <w:r>
              <w:rPr>
                <w:color w:val="222222"/>
                <w:sz w:val="20"/>
                <w:szCs w:val="20"/>
              </w:rPr>
              <w:t>High (rewards careful transformation, as applied in Section 3.6/7.3)</w:t>
            </w:r>
          </w:p>
        </w:tc>
        <w:tc>
          <w:tcPr>
            <w:tcW w:w="2200" w:type="dxa"/>
            <w:tcMar>
              <w:top w:w="80" w:type="dxa"/>
              <w:left w:w="100" w:type="dxa"/>
              <w:bottom w:w="80" w:type="dxa"/>
              <w:right w:w="100" w:type="dxa"/>
            </w:tcMar>
            <w:vAlign w:val="center"/>
          </w:tcPr>
          <w:p w14:paraId="2720DE13" w14:textId="77777777" w:rsidR="00411597" w:rsidRDefault="00000000">
            <w:pPr>
              <w:jc w:val="center"/>
            </w:pPr>
            <w:r>
              <w:rPr>
                <w:color w:val="222222"/>
                <w:sz w:val="20"/>
                <w:szCs w:val="20"/>
              </w:rPr>
              <w:t>Lower (tree splits are scale-invariant)</w:t>
            </w:r>
          </w:p>
        </w:tc>
        <w:tc>
          <w:tcPr>
            <w:tcW w:w="2200" w:type="dxa"/>
            <w:tcMar>
              <w:top w:w="80" w:type="dxa"/>
              <w:left w:w="100" w:type="dxa"/>
              <w:bottom w:w="80" w:type="dxa"/>
              <w:right w:w="100" w:type="dxa"/>
            </w:tcMar>
            <w:vAlign w:val="center"/>
          </w:tcPr>
          <w:p w14:paraId="32F441E4" w14:textId="77777777" w:rsidR="00411597" w:rsidRDefault="00000000">
            <w:pPr>
              <w:jc w:val="center"/>
            </w:pPr>
            <w:r>
              <w:rPr>
                <w:color w:val="222222"/>
                <w:sz w:val="20"/>
                <w:szCs w:val="20"/>
              </w:rPr>
              <w:t>Lower (tree splits are scale-invariant)</w:t>
            </w:r>
          </w:p>
        </w:tc>
      </w:tr>
    </w:tbl>
    <w:p w14:paraId="47105767" w14:textId="1AC39AB8" w:rsidR="00411597" w:rsidRDefault="00000000">
      <w:pPr>
        <w:spacing w:before="80" w:after="200"/>
        <w:jc w:val="center"/>
      </w:pPr>
      <w:r>
        <w:rPr>
          <w:b/>
          <w:bCs/>
          <w:i/>
          <w:iCs/>
          <w:color w:val="444444"/>
          <w:sz w:val="20"/>
          <w:szCs w:val="20"/>
        </w:rPr>
        <w:t>Table 1.1: Comparative Justification of Model Selection</w:t>
      </w:r>
    </w:p>
    <w:p w14:paraId="58F5D977" w14:textId="77777777" w:rsidR="00411597" w:rsidRDefault="00000000">
      <w:pPr>
        <w:spacing w:after="160" w:line="300" w:lineRule="auto"/>
        <w:jc w:val="both"/>
      </w:pPr>
      <w:r>
        <w:rPr>
          <w:color w:val="222222"/>
        </w:rPr>
        <w:t xml:space="preserve">Given a feature set restricted to three well-understood, theoretically grounded predictors (R, F, M) and a moderate sample size (3,287 customers), the marginal predictive benefit typically offered by ensemble tree methods is unlikely to be large, while the interpretability cost is substantial. A retail marketing stakeholder can directly inspect a linear model's coefficients and understand, in plain terms, how much predicted future value changes for a one-standard-deviation change in Recency, Frequency, or Monetary — a property essential for building </w:t>
      </w:r>
      <w:proofErr w:type="spellStart"/>
      <w:r>
        <w:rPr>
          <w:color w:val="222222"/>
        </w:rPr>
        <w:t>organisational</w:t>
      </w:r>
      <w:proofErr w:type="spellEnd"/>
      <w:r>
        <w:rPr>
          <w:color w:val="222222"/>
        </w:rPr>
        <w:t xml:space="preserve"> trust in a customer-facing analytics output. Random Forest and </w:t>
      </w:r>
      <w:proofErr w:type="spellStart"/>
      <w:r>
        <w:rPr>
          <w:color w:val="222222"/>
        </w:rPr>
        <w:t>XGBoost</w:t>
      </w:r>
      <w:proofErr w:type="spellEnd"/>
      <w:r>
        <w:rPr>
          <w:color w:val="222222"/>
        </w:rPr>
        <w:t xml:space="preserve"> remain valid candidates for future iterations of this project (Section 6) once additional features (e.g., product category diversity, seasonality, channel) are incorporated, at which point their capacity to model non-linear interactions would offer a clearer advantage over a linear specification.</w:t>
      </w:r>
    </w:p>
    <w:p w14:paraId="6AA49C45" w14:textId="4B25B98D" w:rsidR="00411597" w:rsidRDefault="001C6E18">
      <w:pPr>
        <w:pStyle w:val="Heading2"/>
      </w:pPr>
      <w:bookmarkStart w:id="5" w:name="_Toc234425824"/>
      <w:r>
        <w:t>1.2 Mathematical Formulation of the Model</w:t>
      </w:r>
      <w:bookmarkEnd w:id="5"/>
    </w:p>
    <w:p w14:paraId="480BEE70" w14:textId="77777777" w:rsidR="00411597" w:rsidRDefault="00000000">
      <w:pPr>
        <w:spacing w:after="160" w:line="300" w:lineRule="auto"/>
        <w:jc w:val="both"/>
      </w:pPr>
      <w:r>
        <w:rPr>
          <w:color w:val="222222"/>
        </w:rPr>
        <w:t>The fitted model is a multiple linear regression of the form:</w:t>
      </w:r>
    </w:p>
    <w:p w14:paraId="0CC723B2" w14:textId="77777777" w:rsidR="00411597" w:rsidRDefault="00000000">
      <w:pPr>
        <w:spacing w:after="160" w:line="300" w:lineRule="auto"/>
        <w:jc w:val="center"/>
      </w:pPr>
      <w:proofErr w:type="gramStart"/>
      <w:r>
        <w:rPr>
          <w:b/>
          <w:bCs/>
          <w:color w:val="222222"/>
        </w:rPr>
        <w:t>log(</w:t>
      </w:r>
      <w:proofErr w:type="gramEnd"/>
      <w:r>
        <w:rPr>
          <w:b/>
          <w:bCs/>
          <w:color w:val="222222"/>
        </w:rPr>
        <w:t xml:space="preserve">1 + </w:t>
      </w:r>
      <w:proofErr w:type="spellStart"/>
      <w:r>
        <w:rPr>
          <w:b/>
          <w:bCs/>
          <w:color w:val="222222"/>
        </w:rPr>
        <w:t>Future_Monetary</w:t>
      </w:r>
      <w:proofErr w:type="spellEnd"/>
      <w:r>
        <w:rPr>
          <w:b/>
          <w:bCs/>
          <w:color w:val="222222"/>
        </w:rPr>
        <w:t>) = β₀ + β₁·</w:t>
      </w:r>
      <w:proofErr w:type="spellStart"/>
      <w:r>
        <w:rPr>
          <w:b/>
          <w:bCs/>
          <w:color w:val="222222"/>
        </w:rPr>
        <w:t>Recency_z</w:t>
      </w:r>
      <w:proofErr w:type="spellEnd"/>
      <w:r>
        <w:rPr>
          <w:b/>
          <w:bCs/>
          <w:color w:val="222222"/>
        </w:rPr>
        <w:t xml:space="preserve"> + β₂·</w:t>
      </w:r>
      <w:proofErr w:type="spellStart"/>
      <w:r>
        <w:rPr>
          <w:b/>
          <w:bCs/>
          <w:color w:val="222222"/>
        </w:rPr>
        <w:t>Frequency_z</w:t>
      </w:r>
      <w:proofErr w:type="spellEnd"/>
      <w:r>
        <w:rPr>
          <w:b/>
          <w:bCs/>
          <w:color w:val="222222"/>
        </w:rPr>
        <w:t xml:space="preserve"> + β₃·log(1+</w:t>
      </w:r>
      <w:proofErr w:type="gramStart"/>
      <w:r>
        <w:rPr>
          <w:b/>
          <w:bCs/>
          <w:color w:val="222222"/>
        </w:rPr>
        <w:t>Monetary)_</w:t>
      </w:r>
      <w:proofErr w:type="gramEnd"/>
      <w:r>
        <w:rPr>
          <w:b/>
          <w:bCs/>
          <w:color w:val="222222"/>
        </w:rPr>
        <w:t>z + ε</w:t>
      </w:r>
    </w:p>
    <w:p w14:paraId="4EB11172" w14:textId="77777777" w:rsidR="00411597" w:rsidRDefault="00000000">
      <w:pPr>
        <w:spacing w:after="160" w:line="300" w:lineRule="auto"/>
        <w:jc w:val="both"/>
      </w:pPr>
      <w:r>
        <w:rPr>
          <w:color w:val="222222"/>
        </w:rPr>
        <w:lastRenderedPageBreak/>
        <w:t xml:space="preserve">where the subscript “z” denotes a training-set z-score </w:t>
      </w:r>
      <w:proofErr w:type="spellStart"/>
      <w:r>
        <w:rPr>
          <w:color w:val="222222"/>
        </w:rPr>
        <w:t>standardisation</w:t>
      </w:r>
      <w:proofErr w:type="spellEnd"/>
      <w:r>
        <w:rPr>
          <w:color w:val="222222"/>
        </w:rPr>
        <w:t xml:space="preserve">, β₀…β₃ are coefficients estimated by ordinary least squares (OLS), and ε is an independently and identically distributed error term assumed to be normally distributed with mean zero. OLS estimates the coefficient vector β that </w:t>
      </w:r>
      <w:proofErr w:type="spellStart"/>
      <w:r>
        <w:rPr>
          <w:color w:val="222222"/>
        </w:rPr>
        <w:t>minimises</w:t>
      </w:r>
      <w:proofErr w:type="spellEnd"/>
      <w:r>
        <w:rPr>
          <w:color w:val="222222"/>
        </w:rPr>
        <w:t xml:space="preserve"> the residual sum of squares:</w:t>
      </w:r>
    </w:p>
    <w:p w14:paraId="79F71B93" w14:textId="77777777" w:rsidR="00411597" w:rsidRDefault="00000000">
      <w:pPr>
        <w:spacing w:after="160" w:line="300" w:lineRule="auto"/>
        <w:jc w:val="center"/>
      </w:pPr>
      <w:r>
        <w:rPr>
          <w:b/>
          <w:bCs/>
          <w:color w:val="222222"/>
        </w:rPr>
        <w:t xml:space="preserve">β̂ = </w:t>
      </w:r>
      <w:proofErr w:type="spellStart"/>
      <w:r>
        <w:rPr>
          <w:b/>
          <w:bCs/>
          <w:color w:val="222222"/>
        </w:rPr>
        <w:t>argmin</w:t>
      </w:r>
      <w:proofErr w:type="spellEnd"/>
      <w:r>
        <w:rPr>
          <w:b/>
          <w:bCs/>
          <w:color w:val="222222"/>
        </w:rPr>
        <w:t>ᵨ Σᵢ (yᵢ − Xᵢ</w:t>
      </w:r>
      <w:proofErr w:type="gramStart"/>
      <w:r>
        <w:rPr>
          <w:b/>
          <w:bCs/>
          <w:color w:val="222222"/>
        </w:rPr>
        <w:t>β)²</w:t>
      </w:r>
      <w:proofErr w:type="gramEnd"/>
      <w:r>
        <w:rPr>
          <w:b/>
          <w:bCs/>
          <w:color w:val="222222"/>
        </w:rPr>
        <w:t xml:space="preserve"> = (XᵀX)⁻¹ </w:t>
      </w:r>
      <w:proofErr w:type="spellStart"/>
      <w:r>
        <w:rPr>
          <w:b/>
          <w:bCs/>
          <w:color w:val="222222"/>
        </w:rPr>
        <w:t>Xᵀy</w:t>
      </w:r>
      <w:proofErr w:type="spellEnd"/>
    </w:p>
    <w:p w14:paraId="17E9DC74" w14:textId="77777777" w:rsidR="00411597" w:rsidRDefault="00000000">
      <w:pPr>
        <w:spacing w:after="160" w:line="300" w:lineRule="auto"/>
        <w:jc w:val="both"/>
      </w:pPr>
      <w:r>
        <w:rPr>
          <w:color w:val="222222"/>
        </w:rPr>
        <w:t xml:space="preserve">Because the response variable is modelled in log1p space, predictions must be back-transformed to the original monetary scale using the inverse transform, expm1(x) = </w:t>
      </w:r>
      <w:proofErr w:type="spellStart"/>
      <w:r>
        <w:rPr>
          <w:color w:val="222222"/>
        </w:rPr>
        <w:t>eˣ</w:t>
      </w:r>
      <w:proofErr w:type="spellEnd"/>
      <w:r>
        <w:rPr>
          <w:color w:val="222222"/>
        </w:rPr>
        <w:t xml:space="preserve"> − 1, exactly as implemented in the training script (pred &lt;- expm1(</w:t>
      </w:r>
      <w:proofErr w:type="spellStart"/>
      <w:r>
        <w:rPr>
          <w:color w:val="222222"/>
        </w:rPr>
        <w:t>pred_log</w:t>
      </w:r>
      <w:proofErr w:type="spellEnd"/>
      <w:r>
        <w:rPr>
          <w:color w:val="222222"/>
        </w:rPr>
        <w:t>)). This back-transformation is mathematically necessary but is also the specific source of the extreme-value amplification discussed as a limitation in Section 4.2: because expm1 is a convex, rapidly increasing function, small errors in log-space translate into disproportionately large errors in raw monetary terms for customers predicted to have high log-scale values.</w:t>
      </w:r>
    </w:p>
    <w:p w14:paraId="01BAFFF9" w14:textId="656C09FF" w:rsidR="00411597" w:rsidRDefault="001C6E18">
      <w:pPr>
        <w:pStyle w:val="Heading2"/>
      </w:pPr>
      <w:bookmarkStart w:id="6" w:name="_Toc234425825"/>
      <w:r>
        <w:t>1.3 Data Transformation Pipeline for Modelling</w:t>
      </w:r>
      <w:bookmarkEnd w:id="6"/>
    </w:p>
    <w:p w14:paraId="7DFA9EE9" w14:textId="77777777" w:rsidR="00411597" w:rsidRDefault="00000000">
      <w:pPr>
        <w:spacing w:after="160" w:line="300" w:lineRule="auto"/>
        <w:jc w:val="both"/>
      </w:pPr>
      <w:r>
        <w:rPr>
          <w:color w:val="222222"/>
        </w:rPr>
        <w:t>Prior to fitting, the following transformations were applied identically to the training and test partitions (with test-set statistics always derived from training-set parameters to prevent leakage):</w:t>
      </w:r>
    </w:p>
    <w:p w14:paraId="12AF5E57" w14:textId="77777777" w:rsidR="00411597" w:rsidRDefault="00000000">
      <w:pPr>
        <w:pStyle w:val="ListParagraph"/>
        <w:numPr>
          <w:ilvl w:val="0"/>
          <w:numId w:val="2"/>
        </w:numPr>
        <w:spacing w:after="80"/>
      </w:pPr>
      <w:r>
        <w:t xml:space="preserve">Log1p transform: Monetary and </w:t>
      </w:r>
      <w:proofErr w:type="spellStart"/>
      <w:r>
        <w:t>Future_Monetary</w:t>
      </w:r>
      <w:proofErr w:type="spellEnd"/>
      <w:r>
        <w:t xml:space="preserve"> were each transformed via log(1+x), correcting the severe right-skew documented in Section 5 (Figures 5.3 and 5.4) and satisfying the linear model's homoscedasticity assumption more closely than the raw scale would.</w:t>
      </w:r>
    </w:p>
    <w:p w14:paraId="6CC2E63A" w14:textId="77777777" w:rsidR="00411597" w:rsidRDefault="00000000">
      <w:pPr>
        <w:pStyle w:val="ListParagraph"/>
        <w:numPr>
          <w:ilvl w:val="0"/>
          <w:numId w:val="2"/>
        </w:numPr>
        <w:spacing w:after="80"/>
      </w:pPr>
      <w:proofErr w:type="spellStart"/>
      <w:r>
        <w:t>Standardisation</w:t>
      </w:r>
      <w:proofErr w:type="spellEnd"/>
      <w:r>
        <w:t xml:space="preserve">: Recency, Frequency, and log-transformed Monetary were each </w:t>
      </w:r>
      <w:proofErr w:type="spellStart"/>
      <w:r>
        <w:t>centred</w:t>
      </w:r>
      <w:proofErr w:type="spellEnd"/>
      <w:r>
        <w:t xml:space="preserve"> and scaled to zero mean and unit variance using training-set mean and standard deviation, a standard step that places all three predictors on a comparable scale so that estimated coefficients can be meaningfully compared in magnitude.</w:t>
      </w:r>
    </w:p>
    <w:p w14:paraId="0C0728DF" w14:textId="77777777" w:rsidR="00411597" w:rsidRDefault="00000000">
      <w:pPr>
        <w:pStyle w:val="ListParagraph"/>
        <w:numPr>
          <w:ilvl w:val="0"/>
          <w:numId w:val="2"/>
        </w:numPr>
        <w:spacing w:after="80"/>
      </w:pPr>
      <w:r>
        <w:t xml:space="preserve">Outlier </w:t>
      </w:r>
      <w:proofErr w:type="spellStart"/>
      <w:r>
        <w:t>winsorisation</w:t>
      </w:r>
      <w:proofErr w:type="spellEnd"/>
      <w:r>
        <w:t xml:space="preserve">: in the refined model iteration (Section 1.5), Monetary and </w:t>
      </w:r>
      <w:proofErr w:type="spellStart"/>
      <w:r>
        <w:t>Future_Monetary</w:t>
      </w:r>
      <w:proofErr w:type="spellEnd"/>
      <w:r>
        <w:t xml:space="preserve"> were capped at their 99th percentile prior to the log/</w:t>
      </w:r>
      <w:proofErr w:type="spellStart"/>
      <w:r>
        <w:t>standardisation</w:t>
      </w:r>
      <w:proofErr w:type="spellEnd"/>
      <w:r>
        <w:t xml:space="preserve"> steps, reducing the leverage of a small number of extreme customers on the fitted coefficients.</w:t>
      </w:r>
    </w:p>
    <w:p w14:paraId="09B7B8C6" w14:textId="77777777" w:rsidR="00411597" w:rsidRDefault="00000000">
      <w:pPr>
        <w:pStyle w:val="ListParagraph"/>
        <w:numPr>
          <w:ilvl w:val="0"/>
          <w:numId w:val="2"/>
        </w:numPr>
        <w:spacing w:after="80"/>
      </w:pPr>
      <w:r>
        <w:t>Train/Test split: an 80/20 random split (seed = 123) was used to hold out a test set for unbiased evaluation, as detailed in Section 2.</w:t>
      </w:r>
    </w:p>
    <w:p w14:paraId="68383B86" w14:textId="2F5E259C" w:rsidR="00411597" w:rsidRDefault="001C6E18">
      <w:pPr>
        <w:pStyle w:val="Heading2"/>
      </w:pPr>
      <w:bookmarkStart w:id="7" w:name="_Toc234425826"/>
      <w:r>
        <w:t>1.4 Model Architecture and Workflow</w:t>
      </w:r>
      <w:bookmarkEnd w:id="7"/>
    </w:p>
    <w:p w14:paraId="50507B57" w14:textId="77777777" w:rsidR="00411597" w:rsidRDefault="00000000">
      <w:pPr>
        <w:spacing w:before="200" w:after="40"/>
        <w:jc w:val="center"/>
      </w:pPr>
      <w:r>
        <w:rPr>
          <w:noProof/>
        </w:rPr>
        <w:lastRenderedPageBreak/>
        <w:drawing>
          <wp:inline distT="0" distB="0" distL="0" distR="0" wp14:anchorId="484B3B54" wp14:editId="092FDADD">
            <wp:extent cx="5524500" cy="2000250"/>
            <wp:effectExtent l="0" t="0" r="0" b="0"/>
            <wp:docPr id="184507452" name="Picture 18450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000250"/>
                    </a:xfrm>
                    <a:prstGeom prst="rect">
                      <a:avLst/>
                    </a:prstGeom>
                  </pic:spPr>
                </pic:pic>
              </a:graphicData>
            </a:graphic>
          </wp:inline>
        </w:drawing>
      </w:r>
    </w:p>
    <w:p w14:paraId="3A989584" w14:textId="223BF3A1" w:rsidR="00411597" w:rsidRDefault="00000000">
      <w:pPr>
        <w:spacing w:before="80" w:after="200"/>
        <w:jc w:val="center"/>
      </w:pPr>
      <w:r>
        <w:rPr>
          <w:b/>
          <w:bCs/>
          <w:i/>
          <w:iCs/>
          <w:color w:val="444444"/>
          <w:sz w:val="20"/>
          <w:szCs w:val="20"/>
        </w:rPr>
        <w:t>Figure 1.1: End-to-End CLV Modelling Workflow</w:t>
      </w:r>
    </w:p>
    <w:p w14:paraId="0AACCBCA" w14:textId="636818D8" w:rsidR="00411597" w:rsidRDefault="00000000">
      <w:pPr>
        <w:spacing w:after="160" w:line="300" w:lineRule="auto"/>
        <w:jc w:val="both"/>
      </w:pPr>
      <w:r>
        <w:rPr>
          <w:color w:val="222222"/>
        </w:rPr>
        <w:t xml:space="preserve">The workflow diagram in Figure 1.1 </w:t>
      </w:r>
      <w:proofErr w:type="spellStart"/>
      <w:r>
        <w:rPr>
          <w:color w:val="222222"/>
        </w:rPr>
        <w:t>summarises</w:t>
      </w:r>
      <w:proofErr w:type="spellEnd"/>
      <w:r>
        <w:rPr>
          <w:color w:val="222222"/>
        </w:rPr>
        <w:t xml:space="preserve"> the full pipeline implemented in </w:t>
      </w:r>
      <w:proofErr w:type="spellStart"/>
      <w:r>
        <w:rPr>
          <w:color w:val="222222"/>
        </w:rPr>
        <w:t>Model_Training.R</w:t>
      </w:r>
      <w:proofErr w:type="spellEnd"/>
      <w:r>
        <w:rPr>
          <w:color w:val="222222"/>
        </w:rPr>
        <w:t>, from raw transaction ingestion through to the deployment of customer-level CLV predictions. Each stage corresponds to a section of this report: cleaning (Section 3), RFM feature engineering (Section 4), the modelling-specific train/test split and transformation (Section 1.3), model fitting (Section 1.5), evaluation (Section 2), and the final exported prediction artefact, CLV_Predictions.xlsx.</w:t>
      </w:r>
    </w:p>
    <w:p w14:paraId="2212A7E7" w14:textId="77777777" w:rsidR="00411597" w:rsidRDefault="00000000">
      <w:pPr>
        <w:pStyle w:val="Heading2"/>
      </w:pPr>
      <w:bookmarkStart w:id="8" w:name="_Toc234425827"/>
      <w:r>
        <w:t>1.5 Model Training Process — Step by Step</w:t>
      </w:r>
      <w:bookmarkEnd w:id="8"/>
    </w:p>
    <w:p w14:paraId="40C00024" w14:textId="77777777" w:rsidR="00411597" w:rsidRDefault="00000000">
      <w:pPr>
        <w:spacing w:after="160" w:line="300" w:lineRule="auto"/>
        <w:jc w:val="both"/>
      </w:pPr>
      <w:r>
        <w:rPr>
          <w:color w:val="222222"/>
        </w:rPr>
        <w:t>The training procedure was executed in two iterations, reflecting a realistic, disciplined data science workflow in which an initial baseline model is critically examined and then refined:</w:t>
      </w:r>
    </w:p>
    <w:p w14:paraId="20D239E6" w14:textId="77777777" w:rsidR="00411597" w:rsidRDefault="00000000">
      <w:pPr>
        <w:pStyle w:val="ListParagraph"/>
        <w:numPr>
          <w:ilvl w:val="0"/>
          <w:numId w:val="2"/>
        </w:numPr>
        <w:spacing w:after="80"/>
      </w:pPr>
      <w:r>
        <w:t xml:space="preserve">Step 1 (Baseline model, </w:t>
      </w:r>
      <w:proofErr w:type="spellStart"/>
      <w:r>
        <w:t>model_lr</w:t>
      </w:r>
      <w:proofErr w:type="spellEnd"/>
      <w:r>
        <w:t xml:space="preserve">): the full RFM feature table (post </w:t>
      </w:r>
      <w:proofErr w:type="spellStart"/>
      <w:r>
        <w:t>rfm_features</w:t>
      </w:r>
      <w:proofErr w:type="spellEnd"/>
      <w:r>
        <w:t xml:space="preserve"> filtering, Monetary &gt; 0) was split 80/20, log-transformed, and </w:t>
      </w:r>
      <w:proofErr w:type="spellStart"/>
      <w:r>
        <w:t>standardised</w:t>
      </w:r>
      <w:proofErr w:type="spellEnd"/>
      <w:r>
        <w:t xml:space="preserve"> as described above; an OLS model was fitted on the training partition and evaluated on the held-out test partition.</w:t>
      </w:r>
    </w:p>
    <w:p w14:paraId="3C03F7B5" w14:textId="77777777" w:rsidR="00411597" w:rsidRDefault="00000000">
      <w:pPr>
        <w:pStyle w:val="ListParagraph"/>
        <w:numPr>
          <w:ilvl w:val="0"/>
          <w:numId w:val="2"/>
        </w:numPr>
        <w:spacing w:after="80"/>
      </w:pPr>
      <w:r>
        <w:t>Step 2 (Residual diagnostics): the ten largest absolute prediction errors were inspected directly (errors[order(-abs(</w:t>
      </w:r>
      <w:proofErr w:type="spellStart"/>
      <w:r>
        <w:t>errors$error</w:t>
      </w:r>
      <w:proofErr w:type="spellEnd"/>
      <w:r>
        <w:t>))</w:t>
      </w:r>
      <w:proofErr w:type="gramStart"/>
      <w:r>
        <w:t>, ]</w:t>
      </w:r>
      <w:proofErr w:type="gramEnd"/>
      <w:r>
        <w:t xml:space="preserve"> |&gt; </w:t>
      </w:r>
      <w:proofErr w:type="gramStart"/>
      <w:r>
        <w:t>head(</w:t>
      </w:r>
      <w:proofErr w:type="gramEnd"/>
      <w:r>
        <w:t>10)), and R² was recomputed after excluding the single largest-error observation, to quantify how strongly one extreme customer was distorting the overall goodness-of-fit metric.</w:t>
      </w:r>
    </w:p>
    <w:p w14:paraId="7F42BBB5" w14:textId="77777777" w:rsidR="00411597" w:rsidRDefault="00000000">
      <w:pPr>
        <w:pStyle w:val="ListParagraph"/>
        <w:numPr>
          <w:ilvl w:val="0"/>
          <w:numId w:val="2"/>
        </w:numPr>
        <w:spacing w:after="80"/>
      </w:pPr>
      <w:r>
        <w:t xml:space="preserve">Step 3 (Outlier </w:t>
      </w:r>
      <w:proofErr w:type="spellStart"/>
      <w:r>
        <w:t>winsorisation</w:t>
      </w:r>
      <w:proofErr w:type="spellEnd"/>
      <w:r>
        <w:t xml:space="preserve">, </w:t>
      </w:r>
      <w:proofErr w:type="spellStart"/>
      <w:r>
        <w:t>model_data_no_outliers</w:t>
      </w:r>
      <w:proofErr w:type="spellEnd"/>
      <w:r>
        <w:t xml:space="preserve">): informed by the residual diagnostics and by explicit boxplot/IQR analysis of Monetary and </w:t>
      </w:r>
      <w:proofErr w:type="spellStart"/>
      <w:r>
        <w:t>Future_Monetary</w:t>
      </w:r>
      <w:proofErr w:type="spellEnd"/>
      <w:r>
        <w:t xml:space="preserve">, both variables were capped at their 99th percentile to construct a </w:t>
      </w:r>
      <w:proofErr w:type="spellStart"/>
      <w:r>
        <w:t>winsorised</w:t>
      </w:r>
      <w:proofErr w:type="spellEnd"/>
      <w:r>
        <w:t xml:space="preserve"> training population.</w:t>
      </w:r>
    </w:p>
    <w:p w14:paraId="3E28109B" w14:textId="77777777" w:rsidR="00411597" w:rsidRDefault="00000000">
      <w:pPr>
        <w:pStyle w:val="ListParagraph"/>
        <w:numPr>
          <w:ilvl w:val="0"/>
          <w:numId w:val="2"/>
        </w:numPr>
        <w:spacing w:after="80"/>
      </w:pPr>
      <w:r>
        <w:t xml:space="preserve">Step 4 (Refined model, model_lr_v2): the identical train/test split procedure, log transform, and </w:t>
      </w:r>
      <w:proofErr w:type="spellStart"/>
      <w:r>
        <w:t>standardisation</w:t>
      </w:r>
      <w:proofErr w:type="spellEnd"/>
      <w:r>
        <w:t xml:space="preserve"> were re-applied to the </w:t>
      </w:r>
      <w:proofErr w:type="spellStart"/>
      <w:r>
        <w:t>winsorised</w:t>
      </w:r>
      <w:proofErr w:type="spellEnd"/>
      <w:r>
        <w:t xml:space="preserve"> dataset, and a second OLS model was fitted — this is the model ultimately used to generate the deployed predictions in CLV_Predictions.xlsx.</w:t>
      </w:r>
    </w:p>
    <w:p w14:paraId="2211DBE8" w14:textId="77777777" w:rsidR="00411597" w:rsidRDefault="00000000">
      <w:pPr>
        <w:pStyle w:val="ListParagraph"/>
        <w:numPr>
          <w:ilvl w:val="0"/>
          <w:numId w:val="2"/>
        </w:numPr>
        <w:spacing w:after="80"/>
      </w:pPr>
      <w:r>
        <w:t>Step 5 (Deployment simulation): five synthetic “SAMPLE” customer records, spanning a deliberately diverse range of Recency, Frequency and Monetary combinations, were passed through the identical scaling pipeline (using training-set mean/SD, never re-estimated on new data) to confirm the model produces sensible, monotonic predictions on unseen inputs before being applied to the full customer population.</w:t>
      </w:r>
    </w:p>
    <w:p w14:paraId="222E25B4" w14:textId="77777777" w:rsidR="00411597" w:rsidRDefault="00000000">
      <w:pPr>
        <w:pStyle w:val="ListParagraph"/>
        <w:numPr>
          <w:ilvl w:val="0"/>
          <w:numId w:val="2"/>
        </w:numPr>
        <w:spacing w:after="80"/>
      </w:pPr>
      <w:r>
        <w:lastRenderedPageBreak/>
        <w:t xml:space="preserve">Step 6 (Full-population scoring): the final model_lr_v2 was applied to every customer in </w:t>
      </w:r>
      <w:proofErr w:type="spellStart"/>
      <w:r>
        <w:t>model_data_no_outliers</w:t>
      </w:r>
      <w:proofErr w:type="spellEnd"/>
      <w:r>
        <w:t xml:space="preserve">, generating the </w:t>
      </w:r>
      <w:proofErr w:type="spellStart"/>
      <w:r>
        <w:t>Predicted_Future_Income</w:t>
      </w:r>
      <w:proofErr w:type="spellEnd"/>
      <w:r>
        <w:t xml:space="preserve"> column that was exported as CLV_Predictions.xlsx, renamed Future_Income_for_3_months to reflect the three-month forward window defined in Section 3.5.</w:t>
      </w:r>
    </w:p>
    <w:p w14:paraId="5F693CBC" w14:textId="77777777" w:rsidR="00411597" w:rsidRDefault="00000000">
      <w:r>
        <w:br w:type="page"/>
      </w:r>
    </w:p>
    <w:p w14:paraId="634BEA09" w14:textId="77777777" w:rsidR="00411597" w:rsidRDefault="00000000">
      <w:pPr>
        <w:pStyle w:val="Heading1"/>
        <w:pBdr>
          <w:bottom w:val="single" w:sz="6" w:space="4" w:color="1F3A5F"/>
        </w:pBdr>
      </w:pPr>
      <w:bookmarkStart w:id="9" w:name="_Toc234425828"/>
      <w:r>
        <w:lastRenderedPageBreak/>
        <w:t>2.0 Model Evaluation</w:t>
      </w:r>
      <w:bookmarkEnd w:id="9"/>
    </w:p>
    <w:p w14:paraId="725E5121" w14:textId="77777777" w:rsidR="00411597" w:rsidRDefault="00000000">
      <w:pPr>
        <w:pStyle w:val="Heading2"/>
      </w:pPr>
      <w:bookmarkStart w:id="10" w:name="_Toc234425829"/>
      <w:r>
        <w:t>2.1 Evaluation Metric Definitions</w:t>
      </w:r>
      <w:bookmarkEnd w:id="10"/>
    </w:p>
    <w:p w14:paraId="275B547A" w14:textId="77777777" w:rsidR="00411597" w:rsidRDefault="00000000">
      <w:pPr>
        <w:spacing w:after="160" w:line="300" w:lineRule="auto"/>
        <w:jc w:val="both"/>
      </w:pPr>
      <w:r>
        <w:rPr>
          <w:color w:val="222222"/>
        </w:rPr>
        <w:t xml:space="preserve">Because CLV prediction is formulated in this project as a regression problem (predicting a continuous monetary value), the primary evaluation metrics are regression metrics. Their formal definitions, as implemented in the training script via </w:t>
      </w:r>
      <w:proofErr w:type="gramStart"/>
      <w:r>
        <w:rPr>
          <w:color w:val="222222"/>
        </w:rPr>
        <w:t>caret::</w:t>
      </w:r>
      <w:proofErr w:type="spellStart"/>
      <w:r>
        <w:rPr>
          <w:color w:val="222222"/>
        </w:rPr>
        <w:t>postResample</w:t>
      </w:r>
      <w:proofErr w:type="spellEnd"/>
      <w:r>
        <w:rPr>
          <w:color w:val="222222"/>
        </w:rPr>
        <w:t>(</w:t>
      </w:r>
      <w:proofErr w:type="gramEnd"/>
      <w:r>
        <w:rPr>
          <w:color w:val="222222"/>
        </w:rPr>
        <w:t>)-equivalent manual computation, are given below, where yᵢ is the true future monetary value, ŷᵢ is the predicted value, and n is the number of test observations.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400"/>
      </w:tblGrid>
      <w:tr w:rsidR="00411597" w14:paraId="68072EAD" w14:textId="77777777">
        <w:trPr>
          <w:tblHeader/>
        </w:trPr>
        <w:tc>
          <w:tcPr>
            <w:tcW w:w="2600" w:type="dxa"/>
            <w:shd w:val="clear" w:color="auto" w:fill="1F3A5F"/>
            <w:tcMar>
              <w:top w:w="80" w:type="dxa"/>
              <w:left w:w="100" w:type="dxa"/>
              <w:bottom w:w="80" w:type="dxa"/>
              <w:right w:w="100" w:type="dxa"/>
            </w:tcMar>
            <w:vAlign w:val="center"/>
          </w:tcPr>
          <w:p w14:paraId="75C49EF7" w14:textId="77777777" w:rsidR="00411597" w:rsidRDefault="00000000">
            <w:pPr>
              <w:jc w:val="center"/>
            </w:pPr>
            <w:r>
              <w:rPr>
                <w:b/>
                <w:bCs/>
                <w:color w:val="FFFFFF"/>
                <w:sz w:val="20"/>
                <w:szCs w:val="20"/>
              </w:rPr>
              <w:t>Metric</w:t>
            </w:r>
          </w:p>
        </w:tc>
        <w:tc>
          <w:tcPr>
            <w:tcW w:w="3200" w:type="dxa"/>
            <w:shd w:val="clear" w:color="auto" w:fill="1F3A5F"/>
            <w:tcMar>
              <w:top w:w="80" w:type="dxa"/>
              <w:left w:w="100" w:type="dxa"/>
              <w:bottom w:w="80" w:type="dxa"/>
              <w:right w:w="100" w:type="dxa"/>
            </w:tcMar>
            <w:vAlign w:val="center"/>
          </w:tcPr>
          <w:p w14:paraId="131350FC" w14:textId="77777777" w:rsidR="00411597" w:rsidRDefault="00000000">
            <w:pPr>
              <w:jc w:val="center"/>
            </w:pPr>
            <w:r>
              <w:rPr>
                <w:b/>
                <w:bCs/>
                <w:color w:val="FFFFFF"/>
                <w:sz w:val="20"/>
                <w:szCs w:val="20"/>
              </w:rPr>
              <w:t>Formula</w:t>
            </w:r>
          </w:p>
        </w:tc>
        <w:tc>
          <w:tcPr>
            <w:tcW w:w="3400" w:type="dxa"/>
            <w:shd w:val="clear" w:color="auto" w:fill="1F3A5F"/>
            <w:tcMar>
              <w:top w:w="80" w:type="dxa"/>
              <w:left w:w="100" w:type="dxa"/>
              <w:bottom w:w="80" w:type="dxa"/>
              <w:right w:w="100" w:type="dxa"/>
            </w:tcMar>
            <w:vAlign w:val="center"/>
          </w:tcPr>
          <w:p w14:paraId="671692B6" w14:textId="77777777" w:rsidR="00411597" w:rsidRDefault="00000000">
            <w:pPr>
              <w:jc w:val="center"/>
            </w:pPr>
            <w:r>
              <w:rPr>
                <w:b/>
                <w:bCs/>
                <w:color w:val="FFFFFF"/>
                <w:sz w:val="20"/>
                <w:szCs w:val="20"/>
              </w:rPr>
              <w:t>Interpretation</w:t>
            </w:r>
          </w:p>
        </w:tc>
      </w:tr>
      <w:tr w:rsidR="00411597" w14:paraId="42C422F7" w14:textId="77777777">
        <w:tc>
          <w:tcPr>
            <w:tcW w:w="2600" w:type="dxa"/>
            <w:tcMar>
              <w:top w:w="80" w:type="dxa"/>
              <w:left w:w="100" w:type="dxa"/>
              <w:bottom w:w="80" w:type="dxa"/>
              <w:right w:w="100" w:type="dxa"/>
            </w:tcMar>
            <w:vAlign w:val="center"/>
          </w:tcPr>
          <w:p w14:paraId="76968586" w14:textId="77777777" w:rsidR="00411597" w:rsidRDefault="00000000">
            <w:r>
              <w:rPr>
                <w:color w:val="222222"/>
                <w:sz w:val="20"/>
                <w:szCs w:val="20"/>
              </w:rPr>
              <w:t>Mean Absolute Error (MAE)</w:t>
            </w:r>
          </w:p>
        </w:tc>
        <w:tc>
          <w:tcPr>
            <w:tcW w:w="3200" w:type="dxa"/>
            <w:tcMar>
              <w:top w:w="80" w:type="dxa"/>
              <w:left w:w="100" w:type="dxa"/>
              <w:bottom w:w="80" w:type="dxa"/>
              <w:right w:w="100" w:type="dxa"/>
            </w:tcMar>
            <w:vAlign w:val="center"/>
          </w:tcPr>
          <w:p w14:paraId="078D6E5A" w14:textId="77777777" w:rsidR="00411597" w:rsidRDefault="00000000">
            <w:pPr>
              <w:jc w:val="center"/>
            </w:pPr>
            <w:r>
              <w:rPr>
                <w:color w:val="222222"/>
                <w:sz w:val="20"/>
                <w:szCs w:val="20"/>
              </w:rPr>
              <w:t>(1/n) Σ |yᵢ − ŷᵢ|</w:t>
            </w:r>
          </w:p>
        </w:tc>
        <w:tc>
          <w:tcPr>
            <w:tcW w:w="3400" w:type="dxa"/>
            <w:tcMar>
              <w:top w:w="80" w:type="dxa"/>
              <w:left w:w="100" w:type="dxa"/>
              <w:bottom w:w="80" w:type="dxa"/>
              <w:right w:w="100" w:type="dxa"/>
            </w:tcMar>
            <w:vAlign w:val="center"/>
          </w:tcPr>
          <w:p w14:paraId="57CF3229" w14:textId="77777777" w:rsidR="00411597" w:rsidRDefault="00000000">
            <w:pPr>
              <w:jc w:val="center"/>
            </w:pPr>
            <w:r>
              <w:rPr>
                <w:color w:val="222222"/>
                <w:sz w:val="20"/>
                <w:szCs w:val="20"/>
              </w:rPr>
              <w:t>Average absolute prediction error, in the original currency unit (£); robust to outliers relative to RMSE.</w:t>
            </w:r>
          </w:p>
        </w:tc>
      </w:tr>
      <w:tr w:rsidR="00411597" w14:paraId="25FC6CD9" w14:textId="77777777">
        <w:tc>
          <w:tcPr>
            <w:tcW w:w="2600" w:type="dxa"/>
            <w:shd w:val="clear" w:color="auto" w:fill="EAF0F6"/>
            <w:tcMar>
              <w:top w:w="80" w:type="dxa"/>
              <w:left w:w="100" w:type="dxa"/>
              <w:bottom w:w="80" w:type="dxa"/>
              <w:right w:w="100" w:type="dxa"/>
            </w:tcMar>
            <w:vAlign w:val="center"/>
          </w:tcPr>
          <w:p w14:paraId="797E2FEC" w14:textId="77777777" w:rsidR="00411597" w:rsidRDefault="00000000">
            <w:r>
              <w:rPr>
                <w:color w:val="222222"/>
                <w:sz w:val="20"/>
                <w:szCs w:val="20"/>
              </w:rPr>
              <w:t>Mean Squared Error (MSE)</w:t>
            </w:r>
          </w:p>
        </w:tc>
        <w:tc>
          <w:tcPr>
            <w:tcW w:w="3200" w:type="dxa"/>
            <w:shd w:val="clear" w:color="auto" w:fill="EAF0F6"/>
            <w:tcMar>
              <w:top w:w="80" w:type="dxa"/>
              <w:left w:w="100" w:type="dxa"/>
              <w:bottom w:w="80" w:type="dxa"/>
              <w:right w:w="100" w:type="dxa"/>
            </w:tcMar>
            <w:vAlign w:val="center"/>
          </w:tcPr>
          <w:p w14:paraId="79017AE6" w14:textId="77777777" w:rsidR="00411597" w:rsidRDefault="00000000">
            <w:pPr>
              <w:jc w:val="center"/>
            </w:pPr>
            <w:r>
              <w:rPr>
                <w:color w:val="222222"/>
                <w:sz w:val="20"/>
                <w:szCs w:val="20"/>
              </w:rPr>
              <w:t xml:space="preserve">(1/n) Σ (yᵢ − </w:t>
            </w:r>
            <w:proofErr w:type="gramStart"/>
            <w:r>
              <w:rPr>
                <w:color w:val="222222"/>
                <w:sz w:val="20"/>
                <w:szCs w:val="20"/>
              </w:rPr>
              <w:t>ŷᵢ)²</w:t>
            </w:r>
            <w:proofErr w:type="gramEnd"/>
          </w:p>
        </w:tc>
        <w:tc>
          <w:tcPr>
            <w:tcW w:w="3400" w:type="dxa"/>
            <w:shd w:val="clear" w:color="auto" w:fill="EAF0F6"/>
            <w:tcMar>
              <w:top w:w="80" w:type="dxa"/>
              <w:left w:w="100" w:type="dxa"/>
              <w:bottom w:w="80" w:type="dxa"/>
              <w:right w:w="100" w:type="dxa"/>
            </w:tcMar>
            <w:vAlign w:val="center"/>
          </w:tcPr>
          <w:p w14:paraId="48D4C7A9" w14:textId="77777777" w:rsidR="00411597" w:rsidRDefault="00000000">
            <w:pPr>
              <w:jc w:val="center"/>
            </w:pPr>
            <w:r>
              <w:rPr>
                <w:color w:val="222222"/>
                <w:sz w:val="20"/>
                <w:szCs w:val="20"/>
              </w:rPr>
              <w:t xml:space="preserve">Average squared error; </w:t>
            </w:r>
            <w:proofErr w:type="spellStart"/>
            <w:r>
              <w:rPr>
                <w:color w:val="222222"/>
                <w:sz w:val="20"/>
                <w:szCs w:val="20"/>
              </w:rPr>
              <w:t>penalises</w:t>
            </w:r>
            <w:proofErr w:type="spellEnd"/>
            <w:r>
              <w:rPr>
                <w:color w:val="222222"/>
                <w:sz w:val="20"/>
                <w:szCs w:val="20"/>
              </w:rPr>
              <w:t xml:space="preserve"> large errors more heavily than MAE.</w:t>
            </w:r>
          </w:p>
        </w:tc>
      </w:tr>
      <w:tr w:rsidR="00411597" w14:paraId="0DD2BB99" w14:textId="77777777">
        <w:tc>
          <w:tcPr>
            <w:tcW w:w="2600" w:type="dxa"/>
            <w:tcMar>
              <w:top w:w="80" w:type="dxa"/>
              <w:left w:w="100" w:type="dxa"/>
              <w:bottom w:w="80" w:type="dxa"/>
              <w:right w:w="100" w:type="dxa"/>
            </w:tcMar>
            <w:vAlign w:val="center"/>
          </w:tcPr>
          <w:p w14:paraId="5FE87B20" w14:textId="77777777" w:rsidR="00411597" w:rsidRDefault="00000000">
            <w:r>
              <w:rPr>
                <w:color w:val="222222"/>
                <w:sz w:val="20"/>
                <w:szCs w:val="20"/>
              </w:rPr>
              <w:t>Root Mean Squared Error (RMSE)</w:t>
            </w:r>
          </w:p>
        </w:tc>
        <w:tc>
          <w:tcPr>
            <w:tcW w:w="3200" w:type="dxa"/>
            <w:tcMar>
              <w:top w:w="80" w:type="dxa"/>
              <w:left w:w="100" w:type="dxa"/>
              <w:bottom w:w="80" w:type="dxa"/>
              <w:right w:w="100" w:type="dxa"/>
            </w:tcMar>
            <w:vAlign w:val="center"/>
          </w:tcPr>
          <w:p w14:paraId="74C86099" w14:textId="77777777" w:rsidR="00411597" w:rsidRDefault="00000000">
            <w:pPr>
              <w:jc w:val="center"/>
            </w:pPr>
            <w:r>
              <w:rPr>
                <w:color w:val="222222"/>
                <w:sz w:val="20"/>
                <w:szCs w:val="20"/>
              </w:rPr>
              <w:t xml:space="preserve">√[(1/n) Σ (yᵢ − </w:t>
            </w:r>
            <w:proofErr w:type="gramStart"/>
            <w:r>
              <w:rPr>
                <w:color w:val="222222"/>
                <w:sz w:val="20"/>
                <w:szCs w:val="20"/>
              </w:rPr>
              <w:t>ŷᵢ)²</w:t>
            </w:r>
            <w:proofErr w:type="gramEnd"/>
            <w:r>
              <w:rPr>
                <w:color w:val="222222"/>
                <w:sz w:val="20"/>
                <w:szCs w:val="20"/>
              </w:rPr>
              <w:t>]</w:t>
            </w:r>
          </w:p>
        </w:tc>
        <w:tc>
          <w:tcPr>
            <w:tcW w:w="3400" w:type="dxa"/>
            <w:tcMar>
              <w:top w:w="80" w:type="dxa"/>
              <w:left w:w="100" w:type="dxa"/>
              <w:bottom w:w="80" w:type="dxa"/>
              <w:right w:w="100" w:type="dxa"/>
            </w:tcMar>
            <w:vAlign w:val="center"/>
          </w:tcPr>
          <w:p w14:paraId="462ED5F4" w14:textId="77777777" w:rsidR="00411597" w:rsidRDefault="00000000">
            <w:pPr>
              <w:jc w:val="center"/>
            </w:pPr>
            <w:r>
              <w:rPr>
                <w:color w:val="222222"/>
                <w:sz w:val="20"/>
                <w:szCs w:val="20"/>
              </w:rPr>
              <w:t>Square root of MSE, returned to the original currency unit for interpretability.</w:t>
            </w:r>
          </w:p>
        </w:tc>
      </w:tr>
      <w:tr w:rsidR="00411597" w14:paraId="70F890E3" w14:textId="77777777">
        <w:tc>
          <w:tcPr>
            <w:tcW w:w="2600" w:type="dxa"/>
            <w:shd w:val="clear" w:color="auto" w:fill="EAF0F6"/>
            <w:tcMar>
              <w:top w:w="80" w:type="dxa"/>
              <w:left w:w="100" w:type="dxa"/>
              <w:bottom w:w="80" w:type="dxa"/>
              <w:right w:w="100" w:type="dxa"/>
            </w:tcMar>
            <w:vAlign w:val="center"/>
          </w:tcPr>
          <w:p w14:paraId="68739AC5" w14:textId="77777777" w:rsidR="00411597" w:rsidRDefault="00000000">
            <w:r>
              <w:rPr>
                <w:color w:val="222222"/>
                <w:sz w:val="20"/>
                <w:szCs w:val="20"/>
              </w:rPr>
              <w:t>Coefficient of Determination (R²)</w:t>
            </w:r>
          </w:p>
        </w:tc>
        <w:tc>
          <w:tcPr>
            <w:tcW w:w="3200" w:type="dxa"/>
            <w:shd w:val="clear" w:color="auto" w:fill="EAF0F6"/>
            <w:tcMar>
              <w:top w:w="80" w:type="dxa"/>
              <w:left w:w="100" w:type="dxa"/>
              <w:bottom w:w="80" w:type="dxa"/>
              <w:right w:w="100" w:type="dxa"/>
            </w:tcMar>
            <w:vAlign w:val="center"/>
          </w:tcPr>
          <w:p w14:paraId="36056EA1" w14:textId="77777777" w:rsidR="00411597" w:rsidRDefault="00000000">
            <w:pPr>
              <w:jc w:val="center"/>
            </w:pPr>
            <w:r>
              <w:rPr>
                <w:color w:val="222222"/>
                <w:sz w:val="20"/>
                <w:szCs w:val="20"/>
              </w:rPr>
              <w:t>1 − [</w:t>
            </w:r>
            <w:proofErr w:type="gramStart"/>
            <w:r>
              <w:rPr>
                <w:color w:val="222222"/>
                <w:sz w:val="20"/>
                <w:szCs w:val="20"/>
              </w:rPr>
              <w:t>Σ(</w:t>
            </w:r>
            <w:proofErr w:type="gramEnd"/>
            <w:r>
              <w:rPr>
                <w:color w:val="222222"/>
                <w:sz w:val="20"/>
                <w:szCs w:val="20"/>
              </w:rPr>
              <w:t xml:space="preserve">yᵢ − </w:t>
            </w:r>
            <w:proofErr w:type="gramStart"/>
            <w:r>
              <w:rPr>
                <w:color w:val="222222"/>
                <w:sz w:val="20"/>
                <w:szCs w:val="20"/>
              </w:rPr>
              <w:t>ŷᵢ)²</w:t>
            </w:r>
            <w:proofErr w:type="gramEnd"/>
            <w:r>
              <w:rPr>
                <w:color w:val="222222"/>
                <w:sz w:val="20"/>
                <w:szCs w:val="20"/>
              </w:rPr>
              <w:t xml:space="preserve"> / </w:t>
            </w:r>
            <w:proofErr w:type="gramStart"/>
            <w:r>
              <w:rPr>
                <w:color w:val="222222"/>
                <w:sz w:val="20"/>
                <w:szCs w:val="20"/>
              </w:rPr>
              <w:t>Σ(</w:t>
            </w:r>
            <w:proofErr w:type="gramEnd"/>
            <w:r>
              <w:rPr>
                <w:color w:val="222222"/>
                <w:sz w:val="20"/>
                <w:szCs w:val="20"/>
              </w:rPr>
              <w:t xml:space="preserve">yᵢ − </w:t>
            </w:r>
            <w:proofErr w:type="gramStart"/>
            <w:r>
              <w:rPr>
                <w:color w:val="222222"/>
                <w:sz w:val="20"/>
                <w:szCs w:val="20"/>
              </w:rPr>
              <w:t>ẗ)²</w:t>
            </w:r>
            <w:proofErr w:type="gramEnd"/>
            <w:r>
              <w:rPr>
                <w:color w:val="222222"/>
                <w:sz w:val="20"/>
                <w:szCs w:val="20"/>
              </w:rPr>
              <w:t>]</w:t>
            </w:r>
          </w:p>
        </w:tc>
        <w:tc>
          <w:tcPr>
            <w:tcW w:w="3400" w:type="dxa"/>
            <w:shd w:val="clear" w:color="auto" w:fill="EAF0F6"/>
            <w:tcMar>
              <w:top w:w="80" w:type="dxa"/>
              <w:left w:w="100" w:type="dxa"/>
              <w:bottom w:w="80" w:type="dxa"/>
              <w:right w:w="100" w:type="dxa"/>
            </w:tcMar>
            <w:vAlign w:val="center"/>
          </w:tcPr>
          <w:p w14:paraId="0971E205" w14:textId="77777777" w:rsidR="00411597" w:rsidRDefault="00000000">
            <w:pPr>
              <w:jc w:val="center"/>
            </w:pPr>
            <w:r>
              <w:rPr>
                <w:color w:val="222222"/>
                <w:sz w:val="20"/>
                <w:szCs w:val="20"/>
              </w:rPr>
              <w:t>Proportion of variance in the target explained by the model, relative to a mean-only baseline.</w:t>
            </w:r>
          </w:p>
        </w:tc>
      </w:tr>
    </w:tbl>
    <w:p w14:paraId="0ADB41B7" w14:textId="77777777" w:rsidR="00411597" w:rsidRDefault="00000000">
      <w:pPr>
        <w:spacing w:before="80" w:after="200"/>
        <w:jc w:val="center"/>
      </w:pPr>
      <w:r>
        <w:rPr>
          <w:b/>
          <w:bCs/>
          <w:i/>
          <w:iCs/>
          <w:color w:val="444444"/>
          <w:sz w:val="20"/>
          <w:szCs w:val="20"/>
        </w:rPr>
        <w:t>Table 2.1: Regression Evaluation Metrics Used in This Study</w:t>
      </w:r>
    </w:p>
    <w:p w14:paraId="1874B6AA" w14:textId="77777777" w:rsidR="00411597" w:rsidRDefault="00000000">
      <w:pPr>
        <w:spacing w:after="160" w:line="300" w:lineRule="auto"/>
        <w:jc w:val="both"/>
      </w:pPr>
      <w:r>
        <w:rPr>
          <w:color w:val="222222"/>
        </w:rPr>
        <w:t>Classification metrics — Accuracy, Precision, Recall, and F1 Score — are, strictly speaking, not applicable to this project, since CLV prediction is a regression rather than a classification task and there is no discrete class label being predicted. These metrics are nonetheless defined below for completeness, as they would become directly relevant if the project were extended to a binary formulation (e.g., “will this customer generate future revenue above a threshold, yes/no”), a reframing suggested as future work in Section 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400"/>
      </w:tblGrid>
      <w:tr w:rsidR="00411597" w14:paraId="74027AB8" w14:textId="77777777">
        <w:trPr>
          <w:tblHeader/>
        </w:trPr>
        <w:tc>
          <w:tcPr>
            <w:tcW w:w="2200" w:type="dxa"/>
            <w:shd w:val="clear" w:color="auto" w:fill="1F3A5F"/>
            <w:tcMar>
              <w:top w:w="80" w:type="dxa"/>
              <w:left w:w="100" w:type="dxa"/>
              <w:bottom w:w="80" w:type="dxa"/>
              <w:right w:w="100" w:type="dxa"/>
            </w:tcMar>
            <w:vAlign w:val="center"/>
          </w:tcPr>
          <w:p w14:paraId="50905F8A" w14:textId="77777777" w:rsidR="00411597" w:rsidRDefault="00000000">
            <w:pPr>
              <w:jc w:val="center"/>
            </w:pPr>
            <w:r>
              <w:rPr>
                <w:b/>
                <w:bCs/>
                <w:color w:val="FFFFFF"/>
                <w:sz w:val="20"/>
                <w:szCs w:val="20"/>
              </w:rPr>
              <w:t>Metric</w:t>
            </w:r>
          </w:p>
        </w:tc>
        <w:tc>
          <w:tcPr>
            <w:tcW w:w="3600" w:type="dxa"/>
            <w:shd w:val="clear" w:color="auto" w:fill="1F3A5F"/>
            <w:tcMar>
              <w:top w:w="80" w:type="dxa"/>
              <w:left w:w="100" w:type="dxa"/>
              <w:bottom w:w="80" w:type="dxa"/>
              <w:right w:w="100" w:type="dxa"/>
            </w:tcMar>
            <w:vAlign w:val="center"/>
          </w:tcPr>
          <w:p w14:paraId="4DAE0B6C" w14:textId="77777777" w:rsidR="00411597" w:rsidRDefault="00000000">
            <w:pPr>
              <w:jc w:val="center"/>
            </w:pPr>
            <w:r>
              <w:rPr>
                <w:b/>
                <w:bCs/>
                <w:color w:val="FFFFFF"/>
                <w:sz w:val="20"/>
                <w:szCs w:val="20"/>
              </w:rPr>
              <w:t>Formula</w:t>
            </w:r>
          </w:p>
        </w:tc>
        <w:tc>
          <w:tcPr>
            <w:tcW w:w="3400" w:type="dxa"/>
            <w:shd w:val="clear" w:color="auto" w:fill="1F3A5F"/>
            <w:tcMar>
              <w:top w:w="80" w:type="dxa"/>
              <w:left w:w="100" w:type="dxa"/>
              <w:bottom w:w="80" w:type="dxa"/>
              <w:right w:w="100" w:type="dxa"/>
            </w:tcMar>
            <w:vAlign w:val="center"/>
          </w:tcPr>
          <w:p w14:paraId="28F9035B" w14:textId="77777777" w:rsidR="00411597" w:rsidRDefault="00000000">
            <w:pPr>
              <w:jc w:val="center"/>
            </w:pPr>
            <w:r>
              <w:rPr>
                <w:b/>
                <w:bCs/>
                <w:color w:val="FFFFFF"/>
                <w:sz w:val="20"/>
                <w:szCs w:val="20"/>
              </w:rPr>
              <w:t>Would Apply To</w:t>
            </w:r>
          </w:p>
        </w:tc>
      </w:tr>
      <w:tr w:rsidR="00411597" w14:paraId="0922BF6C" w14:textId="77777777">
        <w:tc>
          <w:tcPr>
            <w:tcW w:w="2200" w:type="dxa"/>
            <w:tcMar>
              <w:top w:w="80" w:type="dxa"/>
              <w:left w:w="100" w:type="dxa"/>
              <w:bottom w:w="80" w:type="dxa"/>
              <w:right w:w="100" w:type="dxa"/>
            </w:tcMar>
            <w:vAlign w:val="center"/>
          </w:tcPr>
          <w:p w14:paraId="1E2ADBAF" w14:textId="77777777" w:rsidR="00411597" w:rsidRDefault="00000000">
            <w:r>
              <w:rPr>
                <w:color w:val="222222"/>
                <w:sz w:val="20"/>
                <w:szCs w:val="20"/>
              </w:rPr>
              <w:t>Accuracy</w:t>
            </w:r>
          </w:p>
        </w:tc>
        <w:tc>
          <w:tcPr>
            <w:tcW w:w="3600" w:type="dxa"/>
            <w:tcMar>
              <w:top w:w="80" w:type="dxa"/>
              <w:left w:w="100" w:type="dxa"/>
              <w:bottom w:w="80" w:type="dxa"/>
              <w:right w:w="100" w:type="dxa"/>
            </w:tcMar>
            <w:vAlign w:val="center"/>
          </w:tcPr>
          <w:p w14:paraId="6D3A7F58" w14:textId="77777777" w:rsidR="00411597" w:rsidRDefault="00000000">
            <w:pPr>
              <w:jc w:val="center"/>
            </w:pPr>
            <w:r>
              <w:rPr>
                <w:color w:val="222222"/>
                <w:sz w:val="20"/>
                <w:szCs w:val="20"/>
              </w:rPr>
              <w:t>(TP + TN) / (TP + TN + FP + FN)</w:t>
            </w:r>
          </w:p>
        </w:tc>
        <w:tc>
          <w:tcPr>
            <w:tcW w:w="3400" w:type="dxa"/>
            <w:tcMar>
              <w:top w:w="80" w:type="dxa"/>
              <w:left w:w="100" w:type="dxa"/>
              <w:bottom w:w="80" w:type="dxa"/>
              <w:right w:w="100" w:type="dxa"/>
            </w:tcMar>
            <w:vAlign w:val="center"/>
          </w:tcPr>
          <w:p w14:paraId="78344AB3" w14:textId="77777777" w:rsidR="00411597" w:rsidRDefault="00000000">
            <w:pPr>
              <w:jc w:val="center"/>
            </w:pPr>
            <w:r>
              <w:rPr>
                <w:color w:val="222222"/>
                <w:sz w:val="20"/>
                <w:szCs w:val="20"/>
              </w:rPr>
              <w:t xml:space="preserve">A </w:t>
            </w:r>
            <w:proofErr w:type="spellStart"/>
            <w:r>
              <w:rPr>
                <w:color w:val="222222"/>
                <w:sz w:val="20"/>
                <w:szCs w:val="20"/>
              </w:rPr>
              <w:t>binarised</w:t>
            </w:r>
            <w:proofErr w:type="spellEnd"/>
            <w:r>
              <w:rPr>
                <w:color w:val="222222"/>
                <w:sz w:val="20"/>
                <w:szCs w:val="20"/>
              </w:rPr>
              <w:t xml:space="preserve"> CLV task, e.g. “high value vs. low value” classification</w:t>
            </w:r>
          </w:p>
        </w:tc>
      </w:tr>
      <w:tr w:rsidR="00411597" w14:paraId="6233BB40" w14:textId="77777777">
        <w:tc>
          <w:tcPr>
            <w:tcW w:w="2200" w:type="dxa"/>
            <w:shd w:val="clear" w:color="auto" w:fill="EAF0F6"/>
            <w:tcMar>
              <w:top w:w="80" w:type="dxa"/>
              <w:left w:w="100" w:type="dxa"/>
              <w:bottom w:w="80" w:type="dxa"/>
              <w:right w:w="100" w:type="dxa"/>
            </w:tcMar>
            <w:vAlign w:val="center"/>
          </w:tcPr>
          <w:p w14:paraId="15165898" w14:textId="77777777" w:rsidR="00411597" w:rsidRDefault="00000000">
            <w:r>
              <w:rPr>
                <w:color w:val="222222"/>
                <w:sz w:val="20"/>
                <w:szCs w:val="20"/>
              </w:rPr>
              <w:t>Precision</w:t>
            </w:r>
          </w:p>
        </w:tc>
        <w:tc>
          <w:tcPr>
            <w:tcW w:w="3600" w:type="dxa"/>
            <w:shd w:val="clear" w:color="auto" w:fill="EAF0F6"/>
            <w:tcMar>
              <w:top w:w="80" w:type="dxa"/>
              <w:left w:w="100" w:type="dxa"/>
              <w:bottom w:w="80" w:type="dxa"/>
              <w:right w:w="100" w:type="dxa"/>
            </w:tcMar>
            <w:vAlign w:val="center"/>
          </w:tcPr>
          <w:p w14:paraId="15518834" w14:textId="77777777" w:rsidR="00411597" w:rsidRDefault="00000000">
            <w:pPr>
              <w:jc w:val="center"/>
            </w:pPr>
            <w:r>
              <w:rPr>
                <w:color w:val="222222"/>
                <w:sz w:val="20"/>
                <w:szCs w:val="20"/>
              </w:rPr>
              <w:t>TP / (TP + FP)</w:t>
            </w:r>
          </w:p>
        </w:tc>
        <w:tc>
          <w:tcPr>
            <w:tcW w:w="3400" w:type="dxa"/>
            <w:shd w:val="clear" w:color="auto" w:fill="EAF0F6"/>
            <w:tcMar>
              <w:top w:w="80" w:type="dxa"/>
              <w:left w:w="100" w:type="dxa"/>
              <w:bottom w:w="80" w:type="dxa"/>
              <w:right w:w="100" w:type="dxa"/>
            </w:tcMar>
            <w:vAlign w:val="center"/>
          </w:tcPr>
          <w:p w14:paraId="73E2E337" w14:textId="77777777" w:rsidR="00411597" w:rsidRDefault="00000000">
            <w:pPr>
              <w:jc w:val="center"/>
            </w:pPr>
            <w:r>
              <w:rPr>
                <w:color w:val="222222"/>
                <w:sz w:val="20"/>
                <w:szCs w:val="20"/>
              </w:rPr>
              <w:t>Evaluating false-positive cost when targeting customers as “high value”</w:t>
            </w:r>
          </w:p>
        </w:tc>
      </w:tr>
      <w:tr w:rsidR="00411597" w14:paraId="58BB07B3" w14:textId="77777777">
        <w:tc>
          <w:tcPr>
            <w:tcW w:w="2200" w:type="dxa"/>
            <w:tcMar>
              <w:top w:w="80" w:type="dxa"/>
              <w:left w:w="100" w:type="dxa"/>
              <w:bottom w:w="80" w:type="dxa"/>
              <w:right w:w="100" w:type="dxa"/>
            </w:tcMar>
            <w:vAlign w:val="center"/>
          </w:tcPr>
          <w:p w14:paraId="75A37345" w14:textId="77777777" w:rsidR="00411597" w:rsidRDefault="00000000">
            <w:r>
              <w:rPr>
                <w:color w:val="222222"/>
                <w:sz w:val="20"/>
                <w:szCs w:val="20"/>
              </w:rPr>
              <w:t>Recall</w:t>
            </w:r>
          </w:p>
        </w:tc>
        <w:tc>
          <w:tcPr>
            <w:tcW w:w="3600" w:type="dxa"/>
            <w:tcMar>
              <w:top w:w="80" w:type="dxa"/>
              <w:left w:w="100" w:type="dxa"/>
              <w:bottom w:w="80" w:type="dxa"/>
              <w:right w:w="100" w:type="dxa"/>
            </w:tcMar>
            <w:vAlign w:val="center"/>
          </w:tcPr>
          <w:p w14:paraId="1A8A02EC" w14:textId="77777777" w:rsidR="00411597" w:rsidRDefault="00000000">
            <w:pPr>
              <w:jc w:val="center"/>
            </w:pPr>
            <w:r>
              <w:rPr>
                <w:color w:val="222222"/>
                <w:sz w:val="20"/>
                <w:szCs w:val="20"/>
              </w:rPr>
              <w:t>TP / (TP + FN)</w:t>
            </w:r>
          </w:p>
        </w:tc>
        <w:tc>
          <w:tcPr>
            <w:tcW w:w="3400" w:type="dxa"/>
            <w:tcMar>
              <w:top w:w="80" w:type="dxa"/>
              <w:left w:w="100" w:type="dxa"/>
              <w:bottom w:w="80" w:type="dxa"/>
              <w:right w:w="100" w:type="dxa"/>
            </w:tcMar>
            <w:vAlign w:val="center"/>
          </w:tcPr>
          <w:p w14:paraId="3B9EDE18" w14:textId="77777777" w:rsidR="00411597" w:rsidRDefault="00000000">
            <w:pPr>
              <w:jc w:val="center"/>
            </w:pPr>
            <w:r>
              <w:rPr>
                <w:color w:val="222222"/>
                <w:sz w:val="20"/>
                <w:szCs w:val="20"/>
              </w:rPr>
              <w:t>Evaluating the model's ability to avoid missing genuinely high-value customers</w:t>
            </w:r>
          </w:p>
        </w:tc>
      </w:tr>
      <w:tr w:rsidR="00411597" w14:paraId="45F79A6B" w14:textId="77777777">
        <w:tc>
          <w:tcPr>
            <w:tcW w:w="2200" w:type="dxa"/>
            <w:shd w:val="clear" w:color="auto" w:fill="EAF0F6"/>
            <w:tcMar>
              <w:top w:w="80" w:type="dxa"/>
              <w:left w:w="100" w:type="dxa"/>
              <w:bottom w:w="80" w:type="dxa"/>
              <w:right w:w="100" w:type="dxa"/>
            </w:tcMar>
            <w:vAlign w:val="center"/>
          </w:tcPr>
          <w:p w14:paraId="1A2334B9" w14:textId="77777777" w:rsidR="00411597" w:rsidRDefault="00000000">
            <w:r>
              <w:rPr>
                <w:color w:val="222222"/>
                <w:sz w:val="20"/>
                <w:szCs w:val="20"/>
              </w:rPr>
              <w:t>F1 Score</w:t>
            </w:r>
          </w:p>
        </w:tc>
        <w:tc>
          <w:tcPr>
            <w:tcW w:w="3600" w:type="dxa"/>
            <w:shd w:val="clear" w:color="auto" w:fill="EAF0F6"/>
            <w:tcMar>
              <w:top w:w="80" w:type="dxa"/>
              <w:left w:w="100" w:type="dxa"/>
              <w:bottom w:w="80" w:type="dxa"/>
              <w:right w:w="100" w:type="dxa"/>
            </w:tcMar>
            <w:vAlign w:val="center"/>
          </w:tcPr>
          <w:p w14:paraId="53AA56C0" w14:textId="77777777" w:rsidR="00411597" w:rsidRDefault="00000000">
            <w:pPr>
              <w:jc w:val="center"/>
            </w:pPr>
            <w:r>
              <w:rPr>
                <w:color w:val="222222"/>
                <w:sz w:val="20"/>
                <w:szCs w:val="20"/>
              </w:rPr>
              <w:t>2 × (Precision × Recall) / (Precision + Recall)</w:t>
            </w:r>
          </w:p>
        </w:tc>
        <w:tc>
          <w:tcPr>
            <w:tcW w:w="3400" w:type="dxa"/>
            <w:shd w:val="clear" w:color="auto" w:fill="EAF0F6"/>
            <w:tcMar>
              <w:top w:w="80" w:type="dxa"/>
              <w:left w:w="100" w:type="dxa"/>
              <w:bottom w:w="80" w:type="dxa"/>
              <w:right w:w="100" w:type="dxa"/>
            </w:tcMar>
            <w:vAlign w:val="center"/>
          </w:tcPr>
          <w:p w14:paraId="48CEF0C5" w14:textId="77777777" w:rsidR="00411597" w:rsidRDefault="00000000">
            <w:pPr>
              <w:jc w:val="center"/>
            </w:pPr>
            <w:r>
              <w:rPr>
                <w:color w:val="222222"/>
                <w:sz w:val="20"/>
                <w:szCs w:val="20"/>
              </w:rPr>
              <w:t xml:space="preserve">Balancing precision and recall in a </w:t>
            </w:r>
            <w:proofErr w:type="spellStart"/>
            <w:r>
              <w:rPr>
                <w:color w:val="222222"/>
                <w:sz w:val="20"/>
                <w:szCs w:val="20"/>
              </w:rPr>
              <w:t>binarised</w:t>
            </w:r>
            <w:proofErr w:type="spellEnd"/>
            <w:r>
              <w:rPr>
                <w:color w:val="222222"/>
                <w:sz w:val="20"/>
                <w:szCs w:val="20"/>
              </w:rPr>
              <w:t xml:space="preserve"> high-value detection task</w:t>
            </w:r>
          </w:p>
        </w:tc>
      </w:tr>
    </w:tbl>
    <w:p w14:paraId="46EBE771" w14:textId="77777777" w:rsidR="00411597" w:rsidRDefault="00000000">
      <w:pPr>
        <w:spacing w:before="80" w:after="200"/>
        <w:jc w:val="center"/>
      </w:pPr>
      <w:r>
        <w:rPr>
          <w:b/>
          <w:bCs/>
          <w:i/>
          <w:iCs/>
          <w:color w:val="444444"/>
          <w:sz w:val="20"/>
          <w:szCs w:val="20"/>
        </w:rPr>
        <w:lastRenderedPageBreak/>
        <w:t>Table 2.2: Classification Metric Definitions (Reference Only — Not Applicable to the Regression Formulation Used in This Study)</w:t>
      </w:r>
    </w:p>
    <w:p w14:paraId="631ABB75" w14:textId="77777777" w:rsidR="00411597" w:rsidRDefault="00000000">
      <w:pPr>
        <w:pStyle w:val="Heading2"/>
      </w:pPr>
      <w:bookmarkStart w:id="11" w:name="_Toc234425830"/>
      <w:r>
        <w:t>2.2 Independent Reproducibility Verification</w:t>
      </w:r>
      <w:bookmarkEnd w:id="11"/>
    </w:p>
    <w:p w14:paraId="13965671" w14:textId="77777777" w:rsidR="00411597" w:rsidRDefault="00000000">
      <w:pPr>
        <w:spacing w:after="160" w:line="300" w:lineRule="auto"/>
        <w:jc w:val="both"/>
      </w:pPr>
      <w:r>
        <w:rPr>
          <w:color w:val="222222"/>
        </w:rPr>
        <w:t xml:space="preserve">An important methodological caveat must be stated plainly: the delivered prediction file, CLV_Predictions.xlsx, contains the model's predicted future income values, not the corresponding observed (ground-truth) future spending for the same customers, and the console output of </w:t>
      </w:r>
      <w:proofErr w:type="spellStart"/>
      <w:r>
        <w:rPr>
          <w:color w:val="222222"/>
        </w:rPr>
        <w:t>Model_Training.R</w:t>
      </w:r>
      <w:proofErr w:type="spellEnd"/>
      <w:r>
        <w:rPr>
          <w:color w:val="222222"/>
        </w:rPr>
        <w:t xml:space="preserve"> (which prints the original train/test RMSE, MAE and R² computed against true held-out targets, at lines 246–257 and 376–380 of the script) was not captured or delivered alongside the code and prediction files. Consequently, this report cannot restate the original held-out evaluation figures as observed facts without risking fabrication.</w:t>
      </w:r>
    </w:p>
    <w:p w14:paraId="097EE5DA" w14:textId="77777777" w:rsidR="00411597" w:rsidRDefault="00000000">
      <w:pPr>
        <w:spacing w:after="160" w:line="300" w:lineRule="auto"/>
        <w:jc w:val="both"/>
      </w:pPr>
      <w:r>
        <w:rPr>
          <w:color w:val="222222"/>
        </w:rPr>
        <w:t xml:space="preserve">In place of restating unavailable figures, an independent reproducibility verification was performed for this documentation: the exact log-transform, </w:t>
      </w:r>
      <w:proofErr w:type="spellStart"/>
      <w:r>
        <w:rPr>
          <w:color w:val="222222"/>
        </w:rPr>
        <w:t>standardisation</w:t>
      </w:r>
      <w:proofErr w:type="spellEnd"/>
      <w:r>
        <w:rPr>
          <w:color w:val="222222"/>
        </w:rPr>
        <w:t xml:space="preserve">, 80/20 split (seed = 123), and OLS specification described in Section 1 were re-applied directly to the Recency, Frequency, Monetary and Future_Income_for_3_months columns of the delivered CLV_Predictions.xlsx file. The purpose of this check is to confirm that the delivered predictions are internally consistent with the documented linear, log-space model form — not to re-establish </w:t>
      </w:r>
      <w:proofErr w:type="spellStart"/>
      <w:r>
        <w:rPr>
          <w:color w:val="222222"/>
        </w:rPr>
        <w:t>generalisation</w:t>
      </w:r>
      <w:proofErr w:type="spellEnd"/>
      <w:r>
        <w:rPr>
          <w:color w:val="222222"/>
        </w:rPr>
        <w:t xml:space="preserve"> performance against unseen ground truth, which would require the original raw transaction file.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2800"/>
      </w:tblGrid>
      <w:tr w:rsidR="00411597" w14:paraId="728054A1" w14:textId="77777777">
        <w:trPr>
          <w:tblHeader/>
        </w:trPr>
        <w:tc>
          <w:tcPr>
            <w:tcW w:w="5600" w:type="dxa"/>
            <w:shd w:val="clear" w:color="auto" w:fill="1F3A5F"/>
            <w:tcMar>
              <w:top w:w="80" w:type="dxa"/>
              <w:left w:w="100" w:type="dxa"/>
              <w:bottom w:w="80" w:type="dxa"/>
              <w:right w:w="100" w:type="dxa"/>
            </w:tcMar>
            <w:vAlign w:val="center"/>
          </w:tcPr>
          <w:p w14:paraId="64448388" w14:textId="77777777" w:rsidR="00411597" w:rsidRDefault="00000000">
            <w:pPr>
              <w:jc w:val="center"/>
            </w:pPr>
            <w:r>
              <w:rPr>
                <w:b/>
                <w:bCs/>
                <w:color w:val="FFFFFF"/>
                <w:sz w:val="20"/>
                <w:szCs w:val="20"/>
              </w:rPr>
              <w:t>Quantity</w:t>
            </w:r>
          </w:p>
        </w:tc>
        <w:tc>
          <w:tcPr>
            <w:tcW w:w="2800" w:type="dxa"/>
            <w:shd w:val="clear" w:color="auto" w:fill="1F3A5F"/>
            <w:tcMar>
              <w:top w:w="80" w:type="dxa"/>
              <w:left w:w="100" w:type="dxa"/>
              <w:bottom w:w="80" w:type="dxa"/>
              <w:right w:w="100" w:type="dxa"/>
            </w:tcMar>
            <w:vAlign w:val="center"/>
          </w:tcPr>
          <w:p w14:paraId="3376E01C" w14:textId="77777777" w:rsidR="00411597" w:rsidRDefault="00000000">
            <w:pPr>
              <w:jc w:val="center"/>
            </w:pPr>
            <w:r>
              <w:rPr>
                <w:b/>
                <w:bCs/>
                <w:color w:val="FFFFFF"/>
                <w:sz w:val="20"/>
                <w:szCs w:val="20"/>
              </w:rPr>
              <w:t>Value</w:t>
            </w:r>
          </w:p>
        </w:tc>
      </w:tr>
      <w:tr w:rsidR="00411597" w14:paraId="0C8EB024" w14:textId="77777777">
        <w:tc>
          <w:tcPr>
            <w:tcW w:w="5600" w:type="dxa"/>
            <w:tcMar>
              <w:top w:w="80" w:type="dxa"/>
              <w:left w:w="100" w:type="dxa"/>
              <w:bottom w:w="80" w:type="dxa"/>
              <w:right w:w="100" w:type="dxa"/>
            </w:tcMar>
            <w:vAlign w:val="center"/>
          </w:tcPr>
          <w:p w14:paraId="403BA91D" w14:textId="77777777" w:rsidR="00411597" w:rsidRDefault="00000000">
            <w:r>
              <w:rPr>
                <w:color w:val="222222"/>
                <w:sz w:val="20"/>
                <w:szCs w:val="20"/>
              </w:rPr>
              <w:t xml:space="preserve">Re-estimated </w:t>
            </w:r>
            <w:proofErr w:type="spellStart"/>
            <w:r>
              <w:rPr>
                <w:color w:val="222222"/>
                <w:sz w:val="20"/>
                <w:szCs w:val="20"/>
              </w:rPr>
              <w:t>standardised</w:t>
            </w:r>
            <w:proofErr w:type="spellEnd"/>
            <w:r>
              <w:rPr>
                <w:color w:val="222222"/>
                <w:sz w:val="20"/>
                <w:szCs w:val="20"/>
              </w:rPr>
              <w:t xml:space="preserve"> coefficient — Recency</w:t>
            </w:r>
          </w:p>
        </w:tc>
        <w:tc>
          <w:tcPr>
            <w:tcW w:w="2800" w:type="dxa"/>
            <w:tcMar>
              <w:top w:w="80" w:type="dxa"/>
              <w:left w:w="100" w:type="dxa"/>
              <w:bottom w:w="80" w:type="dxa"/>
              <w:right w:w="100" w:type="dxa"/>
            </w:tcMar>
            <w:vAlign w:val="center"/>
          </w:tcPr>
          <w:p w14:paraId="4BD3847E" w14:textId="77777777" w:rsidR="00411597" w:rsidRDefault="00000000">
            <w:pPr>
              <w:jc w:val="center"/>
            </w:pPr>
            <w:r>
              <w:rPr>
                <w:color w:val="222222"/>
                <w:sz w:val="20"/>
                <w:szCs w:val="20"/>
              </w:rPr>
              <w:t>−0.435</w:t>
            </w:r>
          </w:p>
        </w:tc>
      </w:tr>
      <w:tr w:rsidR="00411597" w14:paraId="3FA68316" w14:textId="77777777">
        <w:tc>
          <w:tcPr>
            <w:tcW w:w="5600" w:type="dxa"/>
            <w:shd w:val="clear" w:color="auto" w:fill="EAF0F6"/>
            <w:tcMar>
              <w:top w:w="80" w:type="dxa"/>
              <w:left w:w="100" w:type="dxa"/>
              <w:bottom w:w="80" w:type="dxa"/>
              <w:right w:w="100" w:type="dxa"/>
            </w:tcMar>
            <w:vAlign w:val="center"/>
          </w:tcPr>
          <w:p w14:paraId="59080ACD" w14:textId="77777777" w:rsidR="00411597" w:rsidRDefault="00000000">
            <w:r>
              <w:rPr>
                <w:color w:val="222222"/>
                <w:sz w:val="20"/>
                <w:szCs w:val="20"/>
              </w:rPr>
              <w:t xml:space="preserve">Re-estimated </w:t>
            </w:r>
            <w:proofErr w:type="spellStart"/>
            <w:r>
              <w:rPr>
                <w:color w:val="222222"/>
                <w:sz w:val="20"/>
                <w:szCs w:val="20"/>
              </w:rPr>
              <w:t>standardised</w:t>
            </w:r>
            <w:proofErr w:type="spellEnd"/>
            <w:r>
              <w:rPr>
                <w:color w:val="222222"/>
                <w:sz w:val="20"/>
                <w:szCs w:val="20"/>
              </w:rPr>
              <w:t xml:space="preserve"> coefficient — Frequency</w:t>
            </w:r>
          </w:p>
        </w:tc>
        <w:tc>
          <w:tcPr>
            <w:tcW w:w="2800" w:type="dxa"/>
            <w:shd w:val="clear" w:color="auto" w:fill="EAF0F6"/>
            <w:tcMar>
              <w:top w:w="80" w:type="dxa"/>
              <w:left w:w="100" w:type="dxa"/>
              <w:bottom w:w="80" w:type="dxa"/>
              <w:right w:w="100" w:type="dxa"/>
            </w:tcMar>
            <w:vAlign w:val="center"/>
          </w:tcPr>
          <w:p w14:paraId="24933D61" w14:textId="77777777" w:rsidR="00411597" w:rsidRDefault="00000000">
            <w:pPr>
              <w:jc w:val="center"/>
            </w:pPr>
            <w:r>
              <w:rPr>
                <w:color w:val="222222"/>
                <w:sz w:val="20"/>
                <w:szCs w:val="20"/>
              </w:rPr>
              <w:t>+0.420</w:t>
            </w:r>
          </w:p>
        </w:tc>
      </w:tr>
      <w:tr w:rsidR="00411597" w14:paraId="0A93FFBD" w14:textId="77777777">
        <w:tc>
          <w:tcPr>
            <w:tcW w:w="5600" w:type="dxa"/>
            <w:tcMar>
              <w:top w:w="80" w:type="dxa"/>
              <w:left w:w="100" w:type="dxa"/>
              <w:bottom w:w="80" w:type="dxa"/>
              <w:right w:w="100" w:type="dxa"/>
            </w:tcMar>
            <w:vAlign w:val="center"/>
          </w:tcPr>
          <w:p w14:paraId="71FFBC74" w14:textId="77777777" w:rsidR="00411597" w:rsidRDefault="00000000">
            <w:r>
              <w:rPr>
                <w:color w:val="222222"/>
                <w:sz w:val="20"/>
                <w:szCs w:val="20"/>
              </w:rPr>
              <w:t xml:space="preserve">Re-estimated </w:t>
            </w:r>
            <w:proofErr w:type="spellStart"/>
            <w:r>
              <w:rPr>
                <w:color w:val="222222"/>
                <w:sz w:val="20"/>
                <w:szCs w:val="20"/>
              </w:rPr>
              <w:t>standardised</w:t>
            </w:r>
            <w:proofErr w:type="spellEnd"/>
            <w:r>
              <w:rPr>
                <w:color w:val="222222"/>
                <w:sz w:val="20"/>
                <w:szCs w:val="20"/>
              </w:rPr>
              <w:t xml:space="preserve"> coefficient — Monetary (log)</w:t>
            </w:r>
          </w:p>
        </w:tc>
        <w:tc>
          <w:tcPr>
            <w:tcW w:w="2800" w:type="dxa"/>
            <w:tcMar>
              <w:top w:w="80" w:type="dxa"/>
              <w:left w:w="100" w:type="dxa"/>
              <w:bottom w:w="80" w:type="dxa"/>
              <w:right w:w="100" w:type="dxa"/>
            </w:tcMar>
            <w:vAlign w:val="center"/>
          </w:tcPr>
          <w:p w14:paraId="7AEDA9B2" w14:textId="77777777" w:rsidR="00411597" w:rsidRDefault="00000000">
            <w:pPr>
              <w:jc w:val="center"/>
            </w:pPr>
            <w:r>
              <w:rPr>
                <w:color w:val="222222"/>
                <w:sz w:val="20"/>
                <w:szCs w:val="20"/>
              </w:rPr>
              <w:t>+0.992</w:t>
            </w:r>
          </w:p>
        </w:tc>
      </w:tr>
      <w:tr w:rsidR="00411597" w14:paraId="2B239DC2" w14:textId="77777777">
        <w:tc>
          <w:tcPr>
            <w:tcW w:w="5600" w:type="dxa"/>
            <w:shd w:val="clear" w:color="auto" w:fill="EAF0F6"/>
            <w:tcMar>
              <w:top w:w="80" w:type="dxa"/>
              <w:left w:w="100" w:type="dxa"/>
              <w:bottom w:w="80" w:type="dxa"/>
              <w:right w:w="100" w:type="dxa"/>
            </w:tcMar>
            <w:vAlign w:val="center"/>
          </w:tcPr>
          <w:p w14:paraId="6AC6A2B1" w14:textId="77777777" w:rsidR="00411597" w:rsidRDefault="00000000">
            <w:r>
              <w:rPr>
                <w:color w:val="222222"/>
                <w:sz w:val="20"/>
                <w:szCs w:val="20"/>
              </w:rPr>
              <w:t>Re-estimated intercept (log space)</w:t>
            </w:r>
          </w:p>
        </w:tc>
        <w:tc>
          <w:tcPr>
            <w:tcW w:w="2800" w:type="dxa"/>
            <w:shd w:val="clear" w:color="auto" w:fill="EAF0F6"/>
            <w:tcMar>
              <w:top w:w="80" w:type="dxa"/>
              <w:left w:w="100" w:type="dxa"/>
              <w:bottom w:w="80" w:type="dxa"/>
              <w:right w:w="100" w:type="dxa"/>
            </w:tcMar>
            <w:vAlign w:val="center"/>
          </w:tcPr>
          <w:p w14:paraId="615C4082" w14:textId="77777777" w:rsidR="00411597" w:rsidRDefault="00000000">
            <w:pPr>
              <w:jc w:val="center"/>
            </w:pPr>
            <w:r>
              <w:rPr>
                <w:color w:val="222222"/>
                <w:sz w:val="20"/>
                <w:szCs w:val="20"/>
              </w:rPr>
              <w:t>3.591</w:t>
            </w:r>
          </w:p>
        </w:tc>
      </w:tr>
      <w:tr w:rsidR="00411597" w14:paraId="21EBC475" w14:textId="77777777">
        <w:tc>
          <w:tcPr>
            <w:tcW w:w="5600" w:type="dxa"/>
            <w:tcMar>
              <w:top w:w="80" w:type="dxa"/>
              <w:left w:w="100" w:type="dxa"/>
              <w:bottom w:w="80" w:type="dxa"/>
              <w:right w:w="100" w:type="dxa"/>
            </w:tcMar>
            <w:vAlign w:val="center"/>
          </w:tcPr>
          <w:p w14:paraId="1067EFD9" w14:textId="77777777" w:rsidR="00411597" w:rsidRDefault="00000000">
            <w:r>
              <w:rPr>
                <w:color w:val="222222"/>
                <w:sz w:val="20"/>
                <w:szCs w:val="20"/>
              </w:rPr>
              <w:t>Goodness-of-fit, log space, training partition (R²)</w:t>
            </w:r>
          </w:p>
        </w:tc>
        <w:tc>
          <w:tcPr>
            <w:tcW w:w="2800" w:type="dxa"/>
            <w:tcMar>
              <w:top w:w="80" w:type="dxa"/>
              <w:left w:w="100" w:type="dxa"/>
              <w:bottom w:w="80" w:type="dxa"/>
              <w:right w:w="100" w:type="dxa"/>
            </w:tcMar>
            <w:vAlign w:val="center"/>
          </w:tcPr>
          <w:p w14:paraId="7E691F89" w14:textId="77777777" w:rsidR="00411597" w:rsidRDefault="00000000">
            <w:pPr>
              <w:jc w:val="center"/>
            </w:pPr>
            <w:r>
              <w:rPr>
                <w:color w:val="222222"/>
                <w:sz w:val="20"/>
                <w:szCs w:val="20"/>
              </w:rPr>
              <w:t>0.9995</w:t>
            </w:r>
          </w:p>
        </w:tc>
      </w:tr>
      <w:tr w:rsidR="00411597" w14:paraId="0EA678FA" w14:textId="77777777">
        <w:tc>
          <w:tcPr>
            <w:tcW w:w="5600" w:type="dxa"/>
            <w:shd w:val="clear" w:color="auto" w:fill="EAF0F6"/>
            <w:tcMar>
              <w:top w:w="80" w:type="dxa"/>
              <w:left w:w="100" w:type="dxa"/>
              <w:bottom w:w="80" w:type="dxa"/>
              <w:right w:w="100" w:type="dxa"/>
            </w:tcMar>
            <w:vAlign w:val="center"/>
          </w:tcPr>
          <w:p w14:paraId="6CDC6F61" w14:textId="77777777" w:rsidR="00411597" w:rsidRDefault="00000000">
            <w:r>
              <w:rPr>
                <w:color w:val="222222"/>
                <w:sz w:val="20"/>
                <w:szCs w:val="20"/>
              </w:rPr>
              <w:t>Goodness-of-fit, log space, held-out partition (R²)</w:t>
            </w:r>
          </w:p>
        </w:tc>
        <w:tc>
          <w:tcPr>
            <w:tcW w:w="2800" w:type="dxa"/>
            <w:shd w:val="clear" w:color="auto" w:fill="EAF0F6"/>
            <w:tcMar>
              <w:top w:w="80" w:type="dxa"/>
              <w:left w:w="100" w:type="dxa"/>
              <w:bottom w:w="80" w:type="dxa"/>
              <w:right w:w="100" w:type="dxa"/>
            </w:tcMar>
            <w:vAlign w:val="center"/>
          </w:tcPr>
          <w:p w14:paraId="5FA9C2E3" w14:textId="77777777" w:rsidR="00411597" w:rsidRDefault="00000000">
            <w:pPr>
              <w:jc w:val="center"/>
            </w:pPr>
            <w:r>
              <w:rPr>
                <w:color w:val="222222"/>
                <w:sz w:val="20"/>
                <w:szCs w:val="20"/>
              </w:rPr>
              <w:t>0.9999</w:t>
            </w:r>
          </w:p>
        </w:tc>
      </w:tr>
      <w:tr w:rsidR="00411597" w14:paraId="22AC7D88" w14:textId="77777777">
        <w:tc>
          <w:tcPr>
            <w:tcW w:w="5600" w:type="dxa"/>
            <w:tcMar>
              <w:top w:w="80" w:type="dxa"/>
              <w:left w:w="100" w:type="dxa"/>
              <w:bottom w:w="80" w:type="dxa"/>
              <w:right w:w="100" w:type="dxa"/>
            </w:tcMar>
            <w:vAlign w:val="center"/>
          </w:tcPr>
          <w:p w14:paraId="237BC1A0" w14:textId="77777777" w:rsidR="00411597" w:rsidRDefault="00000000">
            <w:r>
              <w:rPr>
                <w:color w:val="222222"/>
                <w:sz w:val="20"/>
                <w:szCs w:val="20"/>
              </w:rPr>
              <w:t>RMSE, back-transformed to £ (held-out partition)</w:t>
            </w:r>
          </w:p>
        </w:tc>
        <w:tc>
          <w:tcPr>
            <w:tcW w:w="2800" w:type="dxa"/>
            <w:tcMar>
              <w:top w:w="80" w:type="dxa"/>
              <w:left w:w="100" w:type="dxa"/>
              <w:bottom w:w="80" w:type="dxa"/>
              <w:right w:w="100" w:type="dxa"/>
            </w:tcMar>
            <w:vAlign w:val="center"/>
          </w:tcPr>
          <w:p w14:paraId="5DBFD072" w14:textId="77777777" w:rsidR="00411597" w:rsidRDefault="00000000">
            <w:pPr>
              <w:jc w:val="center"/>
            </w:pPr>
            <w:r>
              <w:rPr>
                <w:color w:val="222222"/>
                <w:sz w:val="20"/>
                <w:szCs w:val="20"/>
              </w:rPr>
              <w:t>£1.96 (log-space units back-transformed)</w:t>
            </w:r>
          </w:p>
        </w:tc>
      </w:tr>
      <w:tr w:rsidR="00411597" w14:paraId="69AE4B34" w14:textId="77777777">
        <w:tc>
          <w:tcPr>
            <w:tcW w:w="5600" w:type="dxa"/>
            <w:shd w:val="clear" w:color="auto" w:fill="EAF0F6"/>
            <w:tcMar>
              <w:top w:w="80" w:type="dxa"/>
              <w:left w:w="100" w:type="dxa"/>
              <w:bottom w:w="80" w:type="dxa"/>
              <w:right w:w="100" w:type="dxa"/>
            </w:tcMar>
            <w:vAlign w:val="center"/>
          </w:tcPr>
          <w:p w14:paraId="4E589542" w14:textId="77777777" w:rsidR="00411597" w:rsidRDefault="00000000">
            <w:r>
              <w:rPr>
                <w:color w:val="222222"/>
                <w:sz w:val="20"/>
                <w:szCs w:val="20"/>
              </w:rPr>
              <w:t>MAE, back-transformed to £ (held-out partition)</w:t>
            </w:r>
          </w:p>
        </w:tc>
        <w:tc>
          <w:tcPr>
            <w:tcW w:w="2800" w:type="dxa"/>
            <w:shd w:val="clear" w:color="auto" w:fill="EAF0F6"/>
            <w:tcMar>
              <w:top w:w="80" w:type="dxa"/>
              <w:left w:w="100" w:type="dxa"/>
              <w:bottom w:w="80" w:type="dxa"/>
              <w:right w:w="100" w:type="dxa"/>
            </w:tcMar>
            <w:vAlign w:val="center"/>
          </w:tcPr>
          <w:p w14:paraId="3762F06D" w14:textId="77777777" w:rsidR="00411597" w:rsidRDefault="00000000">
            <w:pPr>
              <w:jc w:val="center"/>
            </w:pPr>
            <w:r>
              <w:rPr>
                <w:color w:val="222222"/>
                <w:sz w:val="20"/>
                <w:szCs w:val="20"/>
              </w:rPr>
              <w:t>£0.56 (log-space units back-transformed)</w:t>
            </w:r>
          </w:p>
        </w:tc>
      </w:tr>
    </w:tbl>
    <w:p w14:paraId="5E880047" w14:textId="77777777" w:rsidR="00411597" w:rsidRDefault="00000000">
      <w:pPr>
        <w:spacing w:before="80" w:after="200"/>
        <w:jc w:val="center"/>
      </w:pPr>
      <w:r>
        <w:rPr>
          <w:b/>
          <w:bCs/>
          <w:i/>
          <w:iCs/>
          <w:color w:val="444444"/>
          <w:sz w:val="20"/>
          <w:szCs w:val="20"/>
        </w:rPr>
        <w:t>Table 2.3: Reproducibility Verification Results (Computed on Delivered Data, Not the Original Held-Out Evaluation)</w:t>
      </w:r>
    </w:p>
    <w:p w14:paraId="227F7D56" w14:textId="77777777" w:rsidR="00411597" w:rsidRDefault="00000000">
      <w:pPr>
        <w:spacing w:after="160" w:line="300" w:lineRule="auto"/>
        <w:jc w:val="both"/>
      </w:pPr>
      <w:r>
        <w:rPr>
          <w:color w:val="222222"/>
        </w:rPr>
        <w:t xml:space="preserve">Two findings emerge from this verification. First, the near-perfect log-space R² (0.9995–0.9999) confirms that the delivered predictions are, as expected, a deterministic, internally consistent function of Recency, Frequency, and log-transformed Monetary — i.e., the exported file is exactly what the documented linear pipeline would produce, with no inconsistency or corruption between the training script and the delivered artefact. Second, the </w:t>
      </w:r>
      <w:proofErr w:type="spellStart"/>
      <w:r>
        <w:rPr>
          <w:color w:val="222222"/>
        </w:rPr>
        <w:t>standardised</w:t>
      </w:r>
      <w:proofErr w:type="spellEnd"/>
      <w:r>
        <w:rPr>
          <w:color w:val="222222"/>
        </w:rPr>
        <w:t xml:space="preserve"> coefficients reveal that log-transformed Monetary (β = 0.992) is, by a </w:t>
      </w:r>
      <w:r>
        <w:rPr>
          <w:color w:val="222222"/>
        </w:rPr>
        <w:lastRenderedPageBreak/>
        <w:t xml:space="preserve">wide margin, the strongest linear predictor of future income in log space, followed by Frequency (β = 0.420), while Recency contributes a smaller negative effect (β = −0.435 per standard deviation, in the expected direction). This is a genuinely useful finding for interpreting the model's </w:t>
      </w:r>
      <w:proofErr w:type="spellStart"/>
      <w:r>
        <w:rPr>
          <w:color w:val="222222"/>
        </w:rPr>
        <w:t>behaviour</w:t>
      </w:r>
      <w:proofErr w:type="spellEnd"/>
      <w:r>
        <w:rPr>
          <w:color w:val="222222"/>
        </w:rPr>
        <w:t xml:space="preserve">, even though it does not substitute for the original held-out </w:t>
      </w:r>
      <w:proofErr w:type="spellStart"/>
      <w:r>
        <w:rPr>
          <w:color w:val="222222"/>
        </w:rPr>
        <w:t>generalisation</w:t>
      </w:r>
      <w:proofErr w:type="spellEnd"/>
      <w:r>
        <w:rPr>
          <w:color w:val="222222"/>
        </w:rPr>
        <w:t xml:space="preserve"> metrics.</w:t>
      </w:r>
    </w:p>
    <w:p w14:paraId="0FF8020B" w14:textId="77777777" w:rsidR="00411597" w:rsidRDefault="00000000">
      <w:pPr>
        <w:spacing w:after="160" w:line="300" w:lineRule="auto"/>
        <w:jc w:val="both"/>
      </w:pPr>
      <w:r>
        <w:rPr>
          <w:color w:val="222222"/>
        </w:rPr>
        <w:t xml:space="preserve">Recommendation for the project owner: to complete this evaluation section with full academic </w:t>
      </w:r>
      <w:proofErr w:type="spellStart"/>
      <w:r>
        <w:rPr>
          <w:color w:val="222222"/>
        </w:rPr>
        <w:t>rigour</w:t>
      </w:r>
      <w:proofErr w:type="spellEnd"/>
      <w:r>
        <w:rPr>
          <w:color w:val="222222"/>
        </w:rPr>
        <w:t xml:space="preserve">, the console output of lines 246–257 and 376–380 of </w:t>
      </w:r>
      <w:proofErr w:type="spellStart"/>
      <w:r>
        <w:rPr>
          <w:color w:val="222222"/>
        </w:rPr>
        <w:t>Model_Training.R</w:t>
      </w:r>
      <w:proofErr w:type="spellEnd"/>
      <w:r>
        <w:rPr>
          <w:color w:val="222222"/>
        </w:rPr>
        <w:t xml:space="preserve"> (the original RMSE, MAE and R² computed against genuine held-out future spending) should be captured — for example by wrapping the relevant print statements in </w:t>
      </w:r>
      <w:proofErr w:type="gramStart"/>
      <w:r>
        <w:rPr>
          <w:color w:val="222222"/>
        </w:rPr>
        <w:t>sink(</w:t>
      </w:r>
      <w:proofErr w:type="gramEnd"/>
      <w:r>
        <w:rPr>
          <w:color w:val="222222"/>
        </w:rPr>
        <w:t xml:space="preserve">) or </w:t>
      </w:r>
      <w:proofErr w:type="spellStart"/>
      <w:proofErr w:type="gramStart"/>
      <w:r>
        <w:rPr>
          <w:color w:val="222222"/>
        </w:rPr>
        <w:t>writeLines</w:t>
      </w:r>
      <w:proofErr w:type="spellEnd"/>
      <w:r>
        <w:rPr>
          <w:color w:val="222222"/>
        </w:rPr>
        <w:t>(</w:t>
      </w:r>
      <w:proofErr w:type="gramEnd"/>
      <w:r>
        <w:rPr>
          <w:color w:val="222222"/>
        </w:rPr>
        <w:t>) to a log file — and inserted into Table 2.3 as an additional row, clearly distinguished from the reproducibility figures reported above.</w:t>
      </w:r>
    </w:p>
    <w:p w14:paraId="38732382" w14:textId="77777777" w:rsidR="00411597" w:rsidRDefault="00000000">
      <w:pPr>
        <w:pStyle w:val="Heading2"/>
      </w:pPr>
      <w:bookmarkStart w:id="12" w:name="_Toc234425831"/>
      <w:r>
        <w:t>2.3 Residual and Error Analysis</w:t>
      </w:r>
      <w:bookmarkEnd w:id="12"/>
    </w:p>
    <w:p w14:paraId="3425FEF4" w14:textId="77777777" w:rsidR="00411597" w:rsidRDefault="00000000">
      <w:pPr>
        <w:spacing w:after="160" w:line="300" w:lineRule="auto"/>
        <w:jc w:val="both"/>
      </w:pPr>
      <w:r>
        <w:rPr>
          <w:color w:val="222222"/>
        </w:rPr>
        <w:t>The training script itself performs an informal but important residual diagnostic: after fitting the baseline model, the ten largest absolute errors are inspected directly, and R² is recomputed after removing the single largest-error observation. This is good statistical practice — it directly tests whether reported model fit is being driven by one or two extreme customers rather than reflecting genuine predictive skill across the population. Based on the descriptive statistics in Table 5.1 and the extreme value identified in the reproducibility check (a single customer with predicted future income of £1,392,241, more than 55 times the next-highest value), it is highly likely that this diagnostic step would show a material change in R² upon removal of that customer — a hypothesis the project owner can confirm directly from the retained R console output, and which is discussed as a named limitation in Section 4.2.</w:t>
      </w:r>
    </w:p>
    <w:p w14:paraId="30B2B07B" w14:textId="77777777" w:rsidR="00411597" w:rsidRDefault="00000000">
      <w:pPr>
        <w:spacing w:after="160" w:line="300" w:lineRule="auto"/>
        <w:jc w:val="both"/>
      </w:pPr>
      <w:r>
        <w:rPr>
          <w:color w:val="222222"/>
        </w:rPr>
        <w:t>Additionally, 10 customers (0.30% of the scored population) received negative predicted future income values, an implausible outcome for a monetary quantity that is bounded below by zero. This arises because expm1() applied to a sufficiently negative log-scale prediction can, in principle, still be negative once floating-point and model-error terms are combined near zero; in practice this affects a very small, low-value subset of customers (predominantly those with low historical Monetary and single-digit Recency-Frequency combinations) and is addressed as a recommended production fix in Section 4.2 and Section 6.</w:t>
      </w:r>
    </w:p>
    <w:p w14:paraId="5229305B" w14:textId="77777777" w:rsidR="00411597" w:rsidRDefault="00000000">
      <w:r>
        <w:br w:type="page"/>
      </w:r>
    </w:p>
    <w:p w14:paraId="1130EC74" w14:textId="77777777" w:rsidR="00411597" w:rsidRDefault="00000000">
      <w:pPr>
        <w:pStyle w:val="Heading1"/>
        <w:pBdr>
          <w:bottom w:val="single" w:sz="6" w:space="4" w:color="1F3A5F"/>
        </w:pBdr>
      </w:pPr>
      <w:bookmarkStart w:id="13" w:name="_Toc234425832"/>
      <w:r>
        <w:lastRenderedPageBreak/>
        <w:t>3.0 Results and Interpretation</w:t>
      </w:r>
      <w:bookmarkEnd w:id="13"/>
    </w:p>
    <w:p w14:paraId="1CEBC601" w14:textId="77777777" w:rsidR="00411597" w:rsidRDefault="00000000">
      <w:pPr>
        <w:pStyle w:val="Heading2"/>
      </w:pPr>
      <w:bookmarkStart w:id="14" w:name="_Toc234425833"/>
      <w:r>
        <w:t>3.1 Revenue Concentration Analysis</w:t>
      </w:r>
      <w:bookmarkEnd w:id="14"/>
    </w:p>
    <w:p w14:paraId="1C17E01E" w14:textId="77777777" w:rsidR="00411597" w:rsidRDefault="00000000">
      <w:pPr>
        <w:spacing w:after="160" w:line="300" w:lineRule="auto"/>
        <w:jc w:val="both"/>
      </w:pPr>
      <w:r>
        <w:rPr>
          <w:color w:val="222222"/>
        </w:rPr>
        <w:t xml:space="preserve">A direct examination of the predicted future income distribution across all 3,287 scored customers reveals an extreme concentration of projected value, </w:t>
      </w:r>
      <w:proofErr w:type="spellStart"/>
      <w:r>
        <w:rPr>
          <w:color w:val="222222"/>
        </w:rPr>
        <w:t>summarised</w:t>
      </w:r>
      <w:proofErr w:type="spellEnd"/>
      <w:r>
        <w:rPr>
          <w:color w:val="222222"/>
        </w:rPr>
        <w:t xml:space="preserve"> in Table 3.1.</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900"/>
        <w:gridCol w:w="3300"/>
      </w:tblGrid>
      <w:tr w:rsidR="00411597" w14:paraId="131689C8" w14:textId="77777777">
        <w:trPr>
          <w:tblHeader/>
        </w:trPr>
        <w:tc>
          <w:tcPr>
            <w:tcW w:w="3800" w:type="dxa"/>
            <w:shd w:val="clear" w:color="auto" w:fill="1F3A5F"/>
            <w:tcMar>
              <w:top w:w="80" w:type="dxa"/>
              <w:left w:w="100" w:type="dxa"/>
              <w:bottom w:w="80" w:type="dxa"/>
              <w:right w:w="100" w:type="dxa"/>
            </w:tcMar>
            <w:vAlign w:val="center"/>
          </w:tcPr>
          <w:p w14:paraId="5AFDAAE0" w14:textId="77777777" w:rsidR="00411597" w:rsidRDefault="00000000">
            <w:pPr>
              <w:jc w:val="center"/>
            </w:pPr>
            <w:r>
              <w:rPr>
                <w:b/>
                <w:bCs/>
                <w:color w:val="FFFFFF"/>
                <w:sz w:val="20"/>
                <w:szCs w:val="20"/>
              </w:rPr>
              <w:t>Customer Tier</w:t>
            </w:r>
          </w:p>
        </w:tc>
        <w:tc>
          <w:tcPr>
            <w:tcW w:w="2900" w:type="dxa"/>
            <w:shd w:val="clear" w:color="auto" w:fill="1F3A5F"/>
            <w:tcMar>
              <w:top w:w="80" w:type="dxa"/>
              <w:left w:w="100" w:type="dxa"/>
              <w:bottom w:w="80" w:type="dxa"/>
              <w:right w:w="100" w:type="dxa"/>
            </w:tcMar>
            <w:vAlign w:val="center"/>
          </w:tcPr>
          <w:p w14:paraId="50913442" w14:textId="77777777" w:rsidR="00411597" w:rsidRDefault="00000000">
            <w:pPr>
              <w:jc w:val="center"/>
            </w:pPr>
            <w:r>
              <w:rPr>
                <w:b/>
                <w:bCs/>
                <w:color w:val="FFFFFF"/>
                <w:sz w:val="20"/>
                <w:szCs w:val="20"/>
              </w:rPr>
              <w:t>Share of Customer Base</w:t>
            </w:r>
          </w:p>
        </w:tc>
        <w:tc>
          <w:tcPr>
            <w:tcW w:w="3300" w:type="dxa"/>
            <w:shd w:val="clear" w:color="auto" w:fill="1F3A5F"/>
            <w:tcMar>
              <w:top w:w="80" w:type="dxa"/>
              <w:left w:w="100" w:type="dxa"/>
              <w:bottom w:w="80" w:type="dxa"/>
              <w:right w:w="100" w:type="dxa"/>
            </w:tcMar>
            <w:vAlign w:val="center"/>
          </w:tcPr>
          <w:p w14:paraId="6D8E9C7E" w14:textId="77777777" w:rsidR="00411597" w:rsidRDefault="00000000">
            <w:pPr>
              <w:jc w:val="center"/>
            </w:pPr>
            <w:r>
              <w:rPr>
                <w:b/>
                <w:bCs/>
                <w:color w:val="FFFFFF"/>
                <w:sz w:val="20"/>
                <w:szCs w:val="20"/>
              </w:rPr>
              <w:t>Share of Total Predicted 3-Month Income</w:t>
            </w:r>
          </w:p>
        </w:tc>
      </w:tr>
      <w:tr w:rsidR="00411597" w14:paraId="053B0158" w14:textId="77777777">
        <w:tc>
          <w:tcPr>
            <w:tcW w:w="3800" w:type="dxa"/>
            <w:tcMar>
              <w:top w:w="80" w:type="dxa"/>
              <w:left w:w="100" w:type="dxa"/>
              <w:bottom w:w="80" w:type="dxa"/>
              <w:right w:w="100" w:type="dxa"/>
            </w:tcMar>
            <w:vAlign w:val="center"/>
          </w:tcPr>
          <w:p w14:paraId="62B088CF" w14:textId="77777777" w:rsidR="00411597" w:rsidRDefault="00000000">
            <w:r>
              <w:rPr>
                <w:color w:val="222222"/>
                <w:sz w:val="20"/>
                <w:szCs w:val="20"/>
              </w:rPr>
              <w:t>Top 10% (329 customers)</w:t>
            </w:r>
          </w:p>
        </w:tc>
        <w:tc>
          <w:tcPr>
            <w:tcW w:w="2900" w:type="dxa"/>
            <w:tcMar>
              <w:top w:w="80" w:type="dxa"/>
              <w:left w:w="100" w:type="dxa"/>
              <w:bottom w:w="80" w:type="dxa"/>
              <w:right w:w="100" w:type="dxa"/>
            </w:tcMar>
            <w:vAlign w:val="center"/>
          </w:tcPr>
          <w:p w14:paraId="297D4E28" w14:textId="77777777" w:rsidR="00411597" w:rsidRDefault="00000000">
            <w:pPr>
              <w:jc w:val="center"/>
            </w:pPr>
            <w:r>
              <w:rPr>
                <w:color w:val="222222"/>
                <w:sz w:val="20"/>
                <w:szCs w:val="20"/>
              </w:rPr>
              <w:t>10%</w:t>
            </w:r>
          </w:p>
        </w:tc>
        <w:tc>
          <w:tcPr>
            <w:tcW w:w="3300" w:type="dxa"/>
            <w:tcMar>
              <w:top w:w="80" w:type="dxa"/>
              <w:left w:w="100" w:type="dxa"/>
              <w:bottom w:w="80" w:type="dxa"/>
              <w:right w:w="100" w:type="dxa"/>
            </w:tcMar>
            <w:vAlign w:val="center"/>
          </w:tcPr>
          <w:p w14:paraId="472C3005" w14:textId="77777777" w:rsidR="00411597" w:rsidRDefault="00000000">
            <w:pPr>
              <w:jc w:val="center"/>
            </w:pPr>
            <w:r>
              <w:rPr>
                <w:color w:val="222222"/>
                <w:sz w:val="20"/>
                <w:szCs w:val="20"/>
              </w:rPr>
              <w:t>92.8%</w:t>
            </w:r>
          </w:p>
        </w:tc>
      </w:tr>
      <w:tr w:rsidR="00411597" w14:paraId="0FAC66E6" w14:textId="77777777">
        <w:tc>
          <w:tcPr>
            <w:tcW w:w="3800" w:type="dxa"/>
            <w:shd w:val="clear" w:color="auto" w:fill="EAF0F6"/>
            <w:tcMar>
              <w:top w:w="80" w:type="dxa"/>
              <w:left w:w="100" w:type="dxa"/>
              <w:bottom w:w="80" w:type="dxa"/>
              <w:right w:w="100" w:type="dxa"/>
            </w:tcMar>
            <w:vAlign w:val="center"/>
          </w:tcPr>
          <w:p w14:paraId="43AF320F" w14:textId="77777777" w:rsidR="00411597" w:rsidRDefault="00000000">
            <w:r>
              <w:rPr>
                <w:color w:val="222222"/>
                <w:sz w:val="20"/>
                <w:szCs w:val="20"/>
              </w:rPr>
              <w:t>Top 50% (1,644 customers)</w:t>
            </w:r>
          </w:p>
        </w:tc>
        <w:tc>
          <w:tcPr>
            <w:tcW w:w="2900" w:type="dxa"/>
            <w:shd w:val="clear" w:color="auto" w:fill="EAF0F6"/>
            <w:tcMar>
              <w:top w:w="80" w:type="dxa"/>
              <w:left w:w="100" w:type="dxa"/>
              <w:bottom w:w="80" w:type="dxa"/>
              <w:right w:w="100" w:type="dxa"/>
            </w:tcMar>
            <w:vAlign w:val="center"/>
          </w:tcPr>
          <w:p w14:paraId="33203FEB" w14:textId="77777777" w:rsidR="00411597" w:rsidRDefault="00000000">
            <w:pPr>
              <w:jc w:val="center"/>
            </w:pPr>
            <w:r>
              <w:rPr>
                <w:color w:val="222222"/>
                <w:sz w:val="20"/>
                <w:szCs w:val="20"/>
              </w:rPr>
              <w:t>50%</w:t>
            </w:r>
          </w:p>
        </w:tc>
        <w:tc>
          <w:tcPr>
            <w:tcW w:w="3300" w:type="dxa"/>
            <w:shd w:val="clear" w:color="auto" w:fill="EAF0F6"/>
            <w:tcMar>
              <w:top w:w="80" w:type="dxa"/>
              <w:left w:w="100" w:type="dxa"/>
              <w:bottom w:w="80" w:type="dxa"/>
              <w:right w:w="100" w:type="dxa"/>
            </w:tcMar>
            <w:vAlign w:val="center"/>
          </w:tcPr>
          <w:p w14:paraId="7740E55F" w14:textId="77777777" w:rsidR="00411597" w:rsidRDefault="00000000">
            <w:pPr>
              <w:jc w:val="center"/>
            </w:pPr>
            <w:r>
              <w:rPr>
                <w:color w:val="222222"/>
                <w:sz w:val="20"/>
                <w:szCs w:val="20"/>
              </w:rPr>
              <w:t>99.0%</w:t>
            </w:r>
          </w:p>
        </w:tc>
      </w:tr>
      <w:tr w:rsidR="00411597" w14:paraId="2B71F386" w14:textId="77777777">
        <w:tc>
          <w:tcPr>
            <w:tcW w:w="3800" w:type="dxa"/>
            <w:tcMar>
              <w:top w:w="80" w:type="dxa"/>
              <w:left w:w="100" w:type="dxa"/>
              <w:bottom w:w="80" w:type="dxa"/>
              <w:right w:w="100" w:type="dxa"/>
            </w:tcMar>
            <w:vAlign w:val="center"/>
          </w:tcPr>
          <w:p w14:paraId="63F442EB" w14:textId="77777777" w:rsidR="00411597" w:rsidRDefault="00000000">
            <w:r>
              <w:rPr>
                <w:color w:val="222222"/>
                <w:sz w:val="20"/>
                <w:szCs w:val="20"/>
              </w:rPr>
              <w:t>Bottom 50% (1,643 customers)</w:t>
            </w:r>
          </w:p>
        </w:tc>
        <w:tc>
          <w:tcPr>
            <w:tcW w:w="2900" w:type="dxa"/>
            <w:tcMar>
              <w:top w:w="80" w:type="dxa"/>
              <w:left w:w="100" w:type="dxa"/>
              <w:bottom w:w="80" w:type="dxa"/>
              <w:right w:w="100" w:type="dxa"/>
            </w:tcMar>
            <w:vAlign w:val="center"/>
          </w:tcPr>
          <w:p w14:paraId="2CB82882" w14:textId="77777777" w:rsidR="00411597" w:rsidRDefault="00000000">
            <w:pPr>
              <w:jc w:val="center"/>
            </w:pPr>
            <w:r>
              <w:rPr>
                <w:color w:val="222222"/>
                <w:sz w:val="20"/>
                <w:szCs w:val="20"/>
              </w:rPr>
              <w:t>50%</w:t>
            </w:r>
          </w:p>
        </w:tc>
        <w:tc>
          <w:tcPr>
            <w:tcW w:w="3300" w:type="dxa"/>
            <w:tcMar>
              <w:top w:w="80" w:type="dxa"/>
              <w:left w:w="100" w:type="dxa"/>
              <w:bottom w:w="80" w:type="dxa"/>
              <w:right w:w="100" w:type="dxa"/>
            </w:tcMar>
            <w:vAlign w:val="center"/>
          </w:tcPr>
          <w:p w14:paraId="2FF6D5B9" w14:textId="77777777" w:rsidR="00411597" w:rsidRDefault="00000000">
            <w:pPr>
              <w:jc w:val="center"/>
            </w:pPr>
            <w:r>
              <w:rPr>
                <w:color w:val="222222"/>
                <w:sz w:val="20"/>
                <w:szCs w:val="20"/>
              </w:rPr>
              <w:t>1.0%</w:t>
            </w:r>
          </w:p>
        </w:tc>
      </w:tr>
    </w:tbl>
    <w:p w14:paraId="4D9822F0" w14:textId="77777777" w:rsidR="00411597" w:rsidRDefault="00000000">
      <w:pPr>
        <w:spacing w:before="80" w:after="200"/>
        <w:jc w:val="center"/>
      </w:pPr>
      <w:r>
        <w:rPr>
          <w:b/>
          <w:bCs/>
          <w:i/>
          <w:iCs/>
          <w:color w:val="444444"/>
          <w:sz w:val="20"/>
          <w:szCs w:val="20"/>
        </w:rPr>
        <w:t>Table 3.1: Predicted Future Income Concentration Across Customer Tiers</w:t>
      </w:r>
    </w:p>
    <w:p w14:paraId="6081210F" w14:textId="77777777" w:rsidR="00411597" w:rsidRDefault="00000000">
      <w:pPr>
        <w:spacing w:after="160" w:line="300" w:lineRule="auto"/>
        <w:jc w:val="both"/>
      </w:pPr>
      <w:r>
        <w:rPr>
          <w:color w:val="222222"/>
        </w:rPr>
        <w:t>This concentration is even more extreme than the classical 80/20 rule of thumb often cited in retail analytics, with the top decile of customers accounting for 92.8% of the £2.03 million in total predicted three-month income across the scored population. When the single highest-value customer (predicted at £1,392,241) is excluded from the top decile, the remaining 328 top-decile customers still account for approximately 47.0% of the residual predicted income — confirming that while one customer is an extreme outlier (Section 4.2), the broader concentration pattern is not an artefact of that single record alone. This finding has a direct and important business implication: marketing and retention investment should be allocated in strong proportion to predicted value tier, since the bottom half of the customer base, however numerous, is predicted to contribute barely more than 1% of near-term revenue.</w:t>
      </w:r>
    </w:p>
    <w:p w14:paraId="54DE2E6A" w14:textId="77777777" w:rsidR="00411597" w:rsidRDefault="00000000">
      <w:pPr>
        <w:pStyle w:val="Heading2"/>
      </w:pPr>
      <w:bookmarkStart w:id="15" w:name="_Toc234425834"/>
      <w:r>
        <w:t>3.2 Coefficient Interpretation</w:t>
      </w:r>
      <w:bookmarkEnd w:id="15"/>
    </w:p>
    <w:p w14:paraId="6AA77CE9" w14:textId="77777777" w:rsidR="00411597" w:rsidRDefault="00000000">
      <w:pPr>
        <w:spacing w:after="160" w:line="300" w:lineRule="auto"/>
        <w:jc w:val="both"/>
      </w:pPr>
      <w:r>
        <w:rPr>
          <w:color w:val="222222"/>
        </w:rPr>
        <w:t xml:space="preserve">The reproducibility verification in Section 2.2 provides </w:t>
      </w:r>
      <w:proofErr w:type="spellStart"/>
      <w:r>
        <w:rPr>
          <w:color w:val="222222"/>
        </w:rPr>
        <w:t>standardised</w:t>
      </w:r>
      <w:proofErr w:type="spellEnd"/>
      <w:r>
        <w:rPr>
          <w:color w:val="222222"/>
        </w:rPr>
        <w:t xml:space="preserve"> coefficients that can be interpreted directly in business terms, holding other features constant:</w:t>
      </w:r>
    </w:p>
    <w:p w14:paraId="366FDFC5" w14:textId="77777777" w:rsidR="00411597" w:rsidRDefault="00000000">
      <w:pPr>
        <w:pStyle w:val="ListParagraph"/>
        <w:numPr>
          <w:ilvl w:val="0"/>
          <w:numId w:val="2"/>
        </w:numPr>
        <w:spacing w:after="80"/>
      </w:pPr>
      <w:r>
        <w:t>Monetary (β = +0.992 in log space): a one-standard-deviation increase in a customer's log-transformed historical spend is associated with the largest positive shift in predicted future income of the three features — unsurprising, but importantly not overwhelming, since Frequency also contributes meaningfully (see Section 5.5's finding that Frequency, not Monetary, correlates most strongly with future income in raw terms).</w:t>
      </w:r>
    </w:p>
    <w:p w14:paraId="7CE85C55" w14:textId="77777777" w:rsidR="00411597" w:rsidRDefault="00000000">
      <w:pPr>
        <w:pStyle w:val="ListParagraph"/>
        <w:numPr>
          <w:ilvl w:val="0"/>
          <w:numId w:val="2"/>
        </w:numPr>
        <w:spacing w:after="80"/>
      </w:pPr>
      <w:r>
        <w:t xml:space="preserve">Frequency (β = +0.420): a one-standard-deviation increase in the number of distinct past invoices is associated with a substantial positive shift in predicted future income, reinforcing the EDA finding (Section 5.5) that purchase frequency is a strong </w:t>
      </w:r>
      <w:proofErr w:type="spellStart"/>
      <w:r>
        <w:t>behavioural</w:t>
      </w:r>
      <w:proofErr w:type="spellEnd"/>
      <w:r>
        <w:t xml:space="preserve"> signal.</w:t>
      </w:r>
    </w:p>
    <w:p w14:paraId="792B2BED" w14:textId="77777777" w:rsidR="00411597" w:rsidRDefault="00000000">
      <w:pPr>
        <w:pStyle w:val="ListParagraph"/>
        <w:numPr>
          <w:ilvl w:val="0"/>
          <w:numId w:val="2"/>
        </w:numPr>
        <w:spacing w:after="80"/>
      </w:pPr>
      <w:r>
        <w:t>Recency (β = −0.435): a one-standard-deviation increase in days since last purchase (i.e., a more dormant customer) is associated with a comparable-magnitude negative shift in predicted future income, confirming that recency decay is not a negligible effect in this model.</w:t>
      </w:r>
    </w:p>
    <w:p w14:paraId="08411777" w14:textId="77777777" w:rsidR="00411597" w:rsidRDefault="00000000">
      <w:pPr>
        <w:spacing w:after="160" w:line="300" w:lineRule="auto"/>
        <w:jc w:val="both"/>
      </w:pPr>
      <w:r>
        <w:rPr>
          <w:color w:val="222222"/>
        </w:rPr>
        <w:t xml:space="preserve">Taken together, the roughly comparable magnitudes of the Frequency and Recency coefficients, alongside the expectedly larger Monetary coefficient, suggest that a customer's engagement pattern (how often </w:t>
      </w:r>
      <w:r>
        <w:rPr>
          <w:color w:val="222222"/>
        </w:rPr>
        <w:lastRenderedPageBreak/>
        <w:t>and how recently they buy) carries nearly as much predictive weight as how much they have historically spent — a genuinely useful and somewhat non-obvious finding for a marketing audience that might otherwise focus disproportionately on high historical spenders.</w:t>
      </w:r>
    </w:p>
    <w:p w14:paraId="442DE727" w14:textId="77777777" w:rsidR="00411597" w:rsidRDefault="00000000">
      <w:pPr>
        <w:pStyle w:val="Heading2"/>
      </w:pPr>
      <w:bookmarkStart w:id="16" w:name="_Toc234425835"/>
      <w:r>
        <w:t>3.3 Deployment Simulation on Unseen Customers</w:t>
      </w:r>
      <w:bookmarkEnd w:id="16"/>
    </w:p>
    <w:p w14:paraId="3009A27A" w14:textId="77777777" w:rsidR="00411597" w:rsidRDefault="00000000">
      <w:pPr>
        <w:spacing w:after="160" w:line="300" w:lineRule="auto"/>
        <w:jc w:val="both"/>
      </w:pPr>
      <w:r>
        <w:rPr>
          <w:color w:val="222222"/>
        </w:rPr>
        <w:t xml:space="preserve">Following the same procedure implemented in the training script's deployment simulation step (Section 1.5, Step 5), five synthetic customer profiles spanning a deliberately diverse combination of Recency, Frequency and Monetary values were scored using the reproduced model to verify sensible, monotonic </w:t>
      </w:r>
      <w:proofErr w:type="spellStart"/>
      <w:r>
        <w:rPr>
          <w:color w:val="222222"/>
        </w:rPr>
        <w:t>behaviour</w:t>
      </w:r>
      <w:proofErr w:type="spellEnd"/>
      <w:r>
        <w:rPr>
          <w:color w:val="222222"/>
        </w:rPr>
        <w:t xml:space="preserve"> on unseen inputs prior to full-population deployment. Results are shown in Table 3.2.</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400"/>
        <w:gridCol w:w="1500"/>
        <w:gridCol w:w="3000"/>
      </w:tblGrid>
      <w:tr w:rsidR="00411597" w14:paraId="75E26932" w14:textId="77777777">
        <w:trPr>
          <w:tblHeader/>
        </w:trPr>
        <w:tc>
          <w:tcPr>
            <w:tcW w:w="2200" w:type="dxa"/>
            <w:shd w:val="clear" w:color="auto" w:fill="1F3A5F"/>
            <w:tcMar>
              <w:top w:w="80" w:type="dxa"/>
              <w:left w:w="100" w:type="dxa"/>
              <w:bottom w:w="80" w:type="dxa"/>
              <w:right w:w="100" w:type="dxa"/>
            </w:tcMar>
            <w:vAlign w:val="center"/>
          </w:tcPr>
          <w:p w14:paraId="7CAAFDF4" w14:textId="77777777" w:rsidR="00411597" w:rsidRDefault="00000000">
            <w:pPr>
              <w:jc w:val="center"/>
            </w:pPr>
            <w:r>
              <w:rPr>
                <w:b/>
                <w:bCs/>
                <w:color w:val="FFFFFF"/>
                <w:sz w:val="20"/>
                <w:szCs w:val="20"/>
              </w:rPr>
              <w:t>Sample Customer</w:t>
            </w:r>
          </w:p>
        </w:tc>
        <w:tc>
          <w:tcPr>
            <w:tcW w:w="1700" w:type="dxa"/>
            <w:shd w:val="clear" w:color="auto" w:fill="1F3A5F"/>
            <w:tcMar>
              <w:top w:w="80" w:type="dxa"/>
              <w:left w:w="100" w:type="dxa"/>
              <w:bottom w:w="80" w:type="dxa"/>
              <w:right w:w="100" w:type="dxa"/>
            </w:tcMar>
            <w:vAlign w:val="center"/>
          </w:tcPr>
          <w:p w14:paraId="46DD7F76" w14:textId="77777777" w:rsidR="00411597" w:rsidRDefault="00000000">
            <w:pPr>
              <w:jc w:val="center"/>
            </w:pPr>
            <w:r>
              <w:rPr>
                <w:b/>
                <w:bCs/>
                <w:color w:val="FFFFFF"/>
                <w:sz w:val="20"/>
                <w:szCs w:val="20"/>
              </w:rPr>
              <w:t>Recency (days)</w:t>
            </w:r>
          </w:p>
        </w:tc>
        <w:tc>
          <w:tcPr>
            <w:tcW w:w="1400" w:type="dxa"/>
            <w:shd w:val="clear" w:color="auto" w:fill="1F3A5F"/>
            <w:tcMar>
              <w:top w:w="80" w:type="dxa"/>
              <w:left w:w="100" w:type="dxa"/>
              <w:bottom w:w="80" w:type="dxa"/>
              <w:right w:w="100" w:type="dxa"/>
            </w:tcMar>
            <w:vAlign w:val="center"/>
          </w:tcPr>
          <w:p w14:paraId="3A6FBB97" w14:textId="77777777" w:rsidR="00411597" w:rsidRDefault="00000000">
            <w:pPr>
              <w:jc w:val="center"/>
            </w:pPr>
            <w:r>
              <w:rPr>
                <w:b/>
                <w:bCs/>
                <w:color w:val="FFFFFF"/>
                <w:sz w:val="20"/>
                <w:szCs w:val="20"/>
              </w:rPr>
              <w:t>Frequency</w:t>
            </w:r>
          </w:p>
        </w:tc>
        <w:tc>
          <w:tcPr>
            <w:tcW w:w="1500" w:type="dxa"/>
            <w:shd w:val="clear" w:color="auto" w:fill="1F3A5F"/>
            <w:tcMar>
              <w:top w:w="80" w:type="dxa"/>
              <w:left w:w="100" w:type="dxa"/>
              <w:bottom w:w="80" w:type="dxa"/>
              <w:right w:w="100" w:type="dxa"/>
            </w:tcMar>
            <w:vAlign w:val="center"/>
          </w:tcPr>
          <w:p w14:paraId="6B7C7502" w14:textId="77777777" w:rsidR="00411597" w:rsidRDefault="00000000">
            <w:pPr>
              <w:jc w:val="center"/>
            </w:pPr>
            <w:r>
              <w:rPr>
                <w:b/>
                <w:bCs/>
                <w:color w:val="FFFFFF"/>
                <w:sz w:val="20"/>
                <w:szCs w:val="20"/>
              </w:rPr>
              <w:t>Monetary (£)</w:t>
            </w:r>
          </w:p>
        </w:tc>
        <w:tc>
          <w:tcPr>
            <w:tcW w:w="3000" w:type="dxa"/>
            <w:shd w:val="clear" w:color="auto" w:fill="1F3A5F"/>
            <w:tcMar>
              <w:top w:w="80" w:type="dxa"/>
              <w:left w:w="100" w:type="dxa"/>
              <w:bottom w:w="80" w:type="dxa"/>
              <w:right w:w="100" w:type="dxa"/>
            </w:tcMar>
            <w:vAlign w:val="center"/>
          </w:tcPr>
          <w:p w14:paraId="20A1AFCF" w14:textId="77777777" w:rsidR="00411597" w:rsidRDefault="00000000">
            <w:pPr>
              <w:jc w:val="center"/>
            </w:pPr>
            <w:r>
              <w:rPr>
                <w:b/>
                <w:bCs/>
                <w:color w:val="FFFFFF"/>
                <w:sz w:val="20"/>
                <w:szCs w:val="20"/>
              </w:rPr>
              <w:t>Predicted 3-Month Future Income (£)</w:t>
            </w:r>
          </w:p>
        </w:tc>
      </w:tr>
      <w:tr w:rsidR="00411597" w14:paraId="273C98DE" w14:textId="77777777">
        <w:tc>
          <w:tcPr>
            <w:tcW w:w="2200" w:type="dxa"/>
            <w:tcMar>
              <w:top w:w="80" w:type="dxa"/>
              <w:left w:w="100" w:type="dxa"/>
              <w:bottom w:w="80" w:type="dxa"/>
              <w:right w:w="100" w:type="dxa"/>
            </w:tcMar>
            <w:vAlign w:val="center"/>
          </w:tcPr>
          <w:p w14:paraId="09EA8A92" w14:textId="77777777" w:rsidR="00411597" w:rsidRDefault="00000000">
            <w:r>
              <w:rPr>
                <w:color w:val="222222"/>
                <w:sz w:val="20"/>
                <w:szCs w:val="20"/>
              </w:rPr>
              <w:t>SAMPLE_1</w:t>
            </w:r>
          </w:p>
        </w:tc>
        <w:tc>
          <w:tcPr>
            <w:tcW w:w="1700" w:type="dxa"/>
            <w:tcMar>
              <w:top w:w="80" w:type="dxa"/>
              <w:left w:w="100" w:type="dxa"/>
              <w:bottom w:w="80" w:type="dxa"/>
              <w:right w:w="100" w:type="dxa"/>
            </w:tcMar>
            <w:vAlign w:val="center"/>
          </w:tcPr>
          <w:p w14:paraId="05D2A9A2" w14:textId="77777777" w:rsidR="00411597" w:rsidRDefault="00000000">
            <w:pPr>
              <w:jc w:val="center"/>
            </w:pPr>
            <w:r>
              <w:rPr>
                <w:color w:val="222222"/>
                <w:sz w:val="20"/>
                <w:szCs w:val="20"/>
              </w:rPr>
              <w:t>5</w:t>
            </w:r>
          </w:p>
        </w:tc>
        <w:tc>
          <w:tcPr>
            <w:tcW w:w="1400" w:type="dxa"/>
            <w:tcMar>
              <w:top w:w="80" w:type="dxa"/>
              <w:left w:w="100" w:type="dxa"/>
              <w:bottom w:w="80" w:type="dxa"/>
              <w:right w:w="100" w:type="dxa"/>
            </w:tcMar>
            <w:vAlign w:val="center"/>
          </w:tcPr>
          <w:p w14:paraId="7DC24DDE" w14:textId="77777777" w:rsidR="00411597" w:rsidRDefault="00000000">
            <w:pPr>
              <w:jc w:val="center"/>
            </w:pPr>
            <w:r>
              <w:rPr>
                <w:color w:val="222222"/>
                <w:sz w:val="20"/>
                <w:szCs w:val="20"/>
              </w:rPr>
              <w:t>15</w:t>
            </w:r>
          </w:p>
        </w:tc>
        <w:tc>
          <w:tcPr>
            <w:tcW w:w="1500" w:type="dxa"/>
            <w:tcMar>
              <w:top w:w="80" w:type="dxa"/>
              <w:left w:w="100" w:type="dxa"/>
              <w:bottom w:w="80" w:type="dxa"/>
              <w:right w:w="100" w:type="dxa"/>
            </w:tcMar>
            <w:vAlign w:val="center"/>
          </w:tcPr>
          <w:p w14:paraId="22322953" w14:textId="77777777" w:rsidR="00411597" w:rsidRDefault="00000000">
            <w:pPr>
              <w:jc w:val="center"/>
            </w:pPr>
            <w:r>
              <w:rPr>
                <w:color w:val="222222"/>
                <w:sz w:val="20"/>
                <w:szCs w:val="20"/>
              </w:rPr>
              <w:t>5,000</w:t>
            </w:r>
          </w:p>
        </w:tc>
        <w:tc>
          <w:tcPr>
            <w:tcW w:w="3000" w:type="dxa"/>
            <w:tcMar>
              <w:top w:w="80" w:type="dxa"/>
              <w:left w:w="100" w:type="dxa"/>
              <w:bottom w:w="80" w:type="dxa"/>
              <w:right w:w="100" w:type="dxa"/>
            </w:tcMar>
            <w:vAlign w:val="center"/>
          </w:tcPr>
          <w:p w14:paraId="79680960" w14:textId="77777777" w:rsidR="00411597" w:rsidRDefault="00000000">
            <w:pPr>
              <w:jc w:val="center"/>
            </w:pPr>
            <w:r>
              <w:rPr>
                <w:color w:val="222222"/>
                <w:sz w:val="20"/>
                <w:szCs w:val="20"/>
              </w:rPr>
              <w:t>1,002.62</w:t>
            </w:r>
          </w:p>
        </w:tc>
      </w:tr>
      <w:tr w:rsidR="00411597" w14:paraId="723F52D7" w14:textId="77777777">
        <w:tc>
          <w:tcPr>
            <w:tcW w:w="2200" w:type="dxa"/>
            <w:shd w:val="clear" w:color="auto" w:fill="EAF0F6"/>
            <w:tcMar>
              <w:top w:w="80" w:type="dxa"/>
              <w:left w:w="100" w:type="dxa"/>
              <w:bottom w:w="80" w:type="dxa"/>
              <w:right w:w="100" w:type="dxa"/>
            </w:tcMar>
            <w:vAlign w:val="center"/>
          </w:tcPr>
          <w:p w14:paraId="5AC15330" w14:textId="77777777" w:rsidR="00411597" w:rsidRDefault="00000000">
            <w:r>
              <w:rPr>
                <w:color w:val="222222"/>
                <w:sz w:val="20"/>
                <w:szCs w:val="20"/>
              </w:rPr>
              <w:t>SAMPLE_2</w:t>
            </w:r>
          </w:p>
        </w:tc>
        <w:tc>
          <w:tcPr>
            <w:tcW w:w="1700" w:type="dxa"/>
            <w:shd w:val="clear" w:color="auto" w:fill="EAF0F6"/>
            <w:tcMar>
              <w:top w:w="80" w:type="dxa"/>
              <w:left w:w="100" w:type="dxa"/>
              <w:bottom w:w="80" w:type="dxa"/>
              <w:right w:w="100" w:type="dxa"/>
            </w:tcMar>
            <w:vAlign w:val="center"/>
          </w:tcPr>
          <w:p w14:paraId="45A150C6" w14:textId="77777777" w:rsidR="00411597" w:rsidRDefault="00000000">
            <w:pPr>
              <w:jc w:val="center"/>
            </w:pPr>
            <w:r>
              <w:rPr>
                <w:color w:val="222222"/>
                <w:sz w:val="20"/>
                <w:szCs w:val="20"/>
              </w:rPr>
              <w:t>120</w:t>
            </w:r>
          </w:p>
        </w:tc>
        <w:tc>
          <w:tcPr>
            <w:tcW w:w="1400" w:type="dxa"/>
            <w:shd w:val="clear" w:color="auto" w:fill="EAF0F6"/>
            <w:tcMar>
              <w:top w:w="80" w:type="dxa"/>
              <w:left w:w="100" w:type="dxa"/>
              <w:bottom w:w="80" w:type="dxa"/>
              <w:right w:w="100" w:type="dxa"/>
            </w:tcMar>
            <w:vAlign w:val="center"/>
          </w:tcPr>
          <w:p w14:paraId="58A48AD4" w14:textId="77777777" w:rsidR="00411597" w:rsidRDefault="00000000">
            <w:pPr>
              <w:jc w:val="center"/>
            </w:pPr>
            <w:r>
              <w:rPr>
                <w:color w:val="222222"/>
                <w:sz w:val="20"/>
                <w:szCs w:val="20"/>
              </w:rPr>
              <w:t>3</w:t>
            </w:r>
          </w:p>
        </w:tc>
        <w:tc>
          <w:tcPr>
            <w:tcW w:w="1500" w:type="dxa"/>
            <w:shd w:val="clear" w:color="auto" w:fill="EAF0F6"/>
            <w:tcMar>
              <w:top w:w="80" w:type="dxa"/>
              <w:left w:w="100" w:type="dxa"/>
              <w:bottom w:w="80" w:type="dxa"/>
              <w:right w:w="100" w:type="dxa"/>
            </w:tcMar>
            <w:vAlign w:val="center"/>
          </w:tcPr>
          <w:p w14:paraId="3B6ECB1F" w14:textId="77777777" w:rsidR="00411597" w:rsidRDefault="00000000">
            <w:pPr>
              <w:jc w:val="center"/>
            </w:pPr>
            <w:r>
              <w:rPr>
                <w:color w:val="222222"/>
                <w:sz w:val="20"/>
                <w:szCs w:val="20"/>
              </w:rPr>
              <w:t>800</w:t>
            </w:r>
          </w:p>
        </w:tc>
        <w:tc>
          <w:tcPr>
            <w:tcW w:w="3000" w:type="dxa"/>
            <w:shd w:val="clear" w:color="auto" w:fill="EAF0F6"/>
            <w:tcMar>
              <w:top w:w="80" w:type="dxa"/>
              <w:left w:w="100" w:type="dxa"/>
              <w:bottom w:w="80" w:type="dxa"/>
              <w:right w:w="100" w:type="dxa"/>
            </w:tcMar>
            <w:vAlign w:val="center"/>
          </w:tcPr>
          <w:p w14:paraId="24733184" w14:textId="77777777" w:rsidR="00411597" w:rsidRDefault="00000000">
            <w:pPr>
              <w:jc w:val="center"/>
            </w:pPr>
            <w:r>
              <w:rPr>
                <w:color w:val="222222"/>
                <w:sz w:val="20"/>
                <w:szCs w:val="20"/>
              </w:rPr>
              <w:t>38.61</w:t>
            </w:r>
          </w:p>
        </w:tc>
      </w:tr>
      <w:tr w:rsidR="00411597" w14:paraId="2156A456" w14:textId="77777777">
        <w:tc>
          <w:tcPr>
            <w:tcW w:w="2200" w:type="dxa"/>
            <w:tcMar>
              <w:top w:w="80" w:type="dxa"/>
              <w:left w:w="100" w:type="dxa"/>
              <w:bottom w:w="80" w:type="dxa"/>
              <w:right w:w="100" w:type="dxa"/>
            </w:tcMar>
            <w:vAlign w:val="center"/>
          </w:tcPr>
          <w:p w14:paraId="025A03A9" w14:textId="77777777" w:rsidR="00411597" w:rsidRDefault="00000000">
            <w:r>
              <w:rPr>
                <w:color w:val="222222"/>
                <w:sz w:val="20"/>
                <w:szCs w:val="20"/>
              </w:rPr>
              <w:t>SAMPLE_3</w:t>
            </w:r>
          </w:p>
        </w:tc>
        <w:tc>
          <w:tcPr>
            <w:tcW w:w="1700" w:type="dxa"/>
            <w:tcMar>
              <w:top w:w="80" w:type="dxa"/>
              <w:left w:w="100" w:type="dxa"/>
              <w:bottom w:w="80" w:type="dxa"/>
              <w:right w:w="100" w:type="dxa"/>
            </w:tcMar>
            <w:vAlign w:val="center"/>
          </w:tcPr>
          <w:p w14:paraId="524B201E" w14:textId="77777777" w:rsidR="00411597" w:rsidRDefault="00000000">
            <w:pPr>
              <w:jc w:val="center"/>
            </w:pPr>
            <w:r>
              <w:rPr>
                <w:color w:val="222222"/>
                <w:sz w:val="20"/>
                <w:szCs w:val="20"/>
              </w:rPr>
              <w:t>250</w:t>
            </w:r>
          </w:p>
        </w:tc>
        <w:tc>
          <w:tcPr>
            <w:tcW w:w="1400" w:type="dxa"/>
            <w:tcMar>
              <w:top w:w="80" w:type="dxa"/>
              <w:left w:w="100" w:type="dxa"/>
              <w:bottom w:w="80" w:type="dxa"/>
              <w:right w:w="100" w:type="dxa"/>
            </w:tcMar>
            <w:vAlign w:val="center"/>
          </w:tcPr>
          <w:p w14:paraId="271C01CF" w14:textId="77777777" w:rsidR="00411597" w:rsidRDefault="00000000">
            <w:pPr>
              <w:jc w:val="center"/>
            </w:pPr>
            <w:r>
              <w:rPr>
                <w:color w:val="222222"/>
                <w:sz w:val="20"/>
                <w:szCs w:val="20"/>
              </w:rPr>
              <w:t>1</w:t>
            </w:r>
          </w:p>
        </w:tc>
        <w:tc>
          <w:tcPr>
            <w:tcW w:w="1500" w:type="dxa"/>
            <w:tcMar>
              <w:top w:w="80" w:type="dxa"/>
              <w:left w:w="100" w:type="dxa"/>
              <w:bottom w:w="80" w:type="dxa"/>
              <w:right w:w="100" w:type="dxa"/>
            </w:tcMar>
            <w:vAlign w:val="center"/>
          </w:tcPr>
          <w:p w14:paraId="787E23AF" w14:textId="77777777" w:rsidR="00411597" w:rsidRDefault="00000000">
            <w:pPr>
              <w:jc w:val="center"/>
            </w:pPr>
            <w:r>
              <w:rPr>
                <w:color w:val="222222"/>
                <w:sz w:val="20"/>
                <w:szCs w:val="20"/>
              </w:rPr>
              <w:t>150</w:t>
            </w:r>
          </w:p>
        </w:tc>
        <w:tc>
          <w:tcPr>
            <w:tcW w:w="3000" w:type="dxa"/>
            <w:tcMar>
              <w:top w:w="80" w:type="dxa"/>
              <w:left w:w="100" w:type="dxa"/>
              <w:bottom w:w="80" w:type="dxa"/>
              <w:right w:w="100" w:type="dxa"/>
            </w:tcMar>
            <w:vAlign w:val="center"/>
          </w:tcPr>
          <w:p w14:paraId="1A2BE757" w14:textId="77777777" w:rsidR="00411597" w:rsidRDefault="00000000">
            <w:pPr>
              <w:jc w:val="center"/>
            </w:pPr>
            <w:r>
              <w:rPr>
                <w:color w:val="222222"/>
                <w:sz w:val="20"/>
                <w:szCs w:val="20"/>
              </w:rPr>
              <w:t>2.86</w:t>
            </w:r>
          </w:p>
        </w:tc>
      </w:tr>
      <w:tr w:rsidR="00411597" w14:paraId="5AB5FA92" w14:textId="77777777">
        <w:tc>
          <w:tcPr>
            <w:tcW w:w="2200" w:type="dxa"/>
            <w:shd w:val="clear" w:color="auto" w:fill="EAF0F6"/>
            <w:tcMar>
              <w:top w:w="80" w:type="dxa"/>
              <w:left w:w="100" w:type="dxa"/>
              <w:bottom w:w="80" w:type="dxa"/>
              <w:right w:w="100" w:type="dxa"/>
            </w:tcMar>
            <w:vAlign w:val="center"/>
          </w:tcPr>
          <w:p w14:paraId="13EB45C5" w14:textId="77777777" w:rsidR="00411597" w:rsidRDefault="00000000">
            <w:r>
              <w:rPr>
                <w:color w:val="222222"/>
                <w:sz w:val="20"/>
                <w:szCs w:val="20"/>
              </w:rPr>
              <w:t>SAMPLE_4</w:t>
            </w:r>
          </w:p>
        </w:tc>
        <w:tc>
          <w:tcPr>
            <w:tcW w:w="1700" w:type="dxa"/>
            <w:shd w:val="clear" w:color="auto" w:fill="EAF0F6"/>
            <w:tcMar>
              <w:top w:w="80" w:type="dxa"/>
              <w:left w:w="100" w:type="dxa"/>
              <w:bottom w:w="80" w:type="dxa"/>
              <w:right w:w="100" w:type="dxa"/>
            </w:tcMar>
            <w:vAlign w:val="center"/>
          </w:tcPr>
          <w:p w14:paraId="43E057D4" w14:textId="77777777" w:rsidR="00411597" w:rsidRDefault="00000000">
            <w:pPr>
              <w:jc w:val="center"/>
            </w:pPr>
            <w:r>
              <w:rPr>
                <w:color w:val="222222"/>
                <w:sz w:val="20"/>
                <w:szCs w:val="20"/>
              </w:rPr>
              <w:t>30</w:t>
            </w:r>
          </w:p>
        </w:tc>
        <w:tc>
          <w:tcPr>
            <w:tcW w:w="1400" w:type="dxa"/>
            <w:shd w:val="clear" w:color="auto" w:fill="EAF0F6"/>
            <w:tcMar>
              <w:top w:w="80" w:type="dxa"/>
              <w:left w:w="100" w:type="dxa"/>
              <w:bottom w:w="80" w:type="dxa"/>
              <w:right w:w="100" w:type="dxa"/>
            </w:tcMar>
            <w:vAlign w:val="center"/>
          </w:tcPr>
          <w:p w14:paraId="109641E0" w14:textId="77777777" w:rsidR="00411597" w:rsidRDefault="00000000">
            <w:pPr>
              <w:jc w:val="center"/>
            </w:pPr>
            <w:r>
              <w:rPr>
                <w:color w:val="222222"/>
                <w:sz w:val="20"/>
                <w:szCs w:val="20"/>
              </w:rPr>
              <w:t>8</w:t>
            </w:r>
          </w:p>
        </w:tc>
        <w:tc>
          <w:tcPr>
            <w:tcW w:w="1500" w:type="dxa"/>
            <w:shd w:val="clear" w:color="auto" w:fill="EAF0F6"/>
            <w:tcMar>
              <w:top w:w="80" w:type="dxa"/>
              <w:left w:w="100" w:type="dxa"/>
              <w:bottom w:w="80" w:type="dxa"/>
              <w:right w:w="100" w:type="dxa"/>
            </w:tcMar>
            <w:vAlign w:val="center"/>
          </w:tcPr>
          <w:p w14:paraId="6F69EA64" w14:textId="77777777" w:rsidR="00411597" w:rsidRDefault="00000000">
            <w:pPr>
              <w:jc w:val="center"/>
            </w:pPr>
            <w:r>
              <w:rPr>
                <w:color w:val="222222"/>
                <w:sz w:val="20"/>
                <w:szCs w:val="20"/>
              </w:rPr>
              <w:t>2,500</w:t>
            </w:r>
          </w:p>
        </w:tc>
        <w:tc>
          <w:tcPr>
            <w:tcW w:w="3000" w:type="dxa"/>
            <w:shd w:val="clear" w:color="auto" w:fill="EAF0F6"/>
            <w:tcMar>
              <w:top w:w="80" w:type="dxa"/>
              <w:left w:w="100" w:type="dxa"/>
              <w:bottom w:w="80" w:type="dxa"/>
              <w:right w:w="100" w:type="dxa"/>
            </w:tcMar>
            <w:vAlign w:val="center"/>
          </w:tcPr>
          <w:p w14:paraId="4D51EB20" w14:textId="77777777" w:rsidR="00411597" w:rsidRDefault="00000000">
            <w:pPr>
              <w:jc w:val="center"/>
            </w:pPr>
            <w:r>
              <w:rPr>
                <w:color w:val="222222"/>
                <w:sz w:val="20"/>
                <w:szCs w:val="20"/>
              </w:rPr>
              <w:t>264.89</w:t>
            </w:r>
          </w:p>
        </w:tc>
      </w:tr>
      <w:tr w:rsidR="00411597" w14:paraId="1A5A13A1" w14:textId="77777777">
        <w:tc>
          <w:tcPr>
            <w:tcW w:w="2200" w:type="dxa"/>
            <w:tcMar>
              <w:top w:w="80" w:type="dxa"/>
              <w:left w:w="100" w:type="dxa"/>
              <w:bottom w:w="80" w:type="dxa"/>
              <w:right w:w="100" w:type="dxa"/>
            </w:tcMar>
            <w:vAlign w:val="center"/>
          </w:tcPr>
          <w:p w14:paraId="125AABFA" w14:textId="77777777" w:rsidR="00411597" w:rsidRDefault="00000000">
            <w:r>
              <w:rPr>
                <w:color w:val="222222"/>
                <w:sz w:val="20"/>
                <w:szCs w:val="20"/>
              </w:rPr>
              <w:t>SAMPLE_5</w:t>
            </w:r>
          </w:p>
        </w:tc>
        <w:tc>
          <w:tcPr>
            <w:tcW w:w="1700" w:type="dxa"/>
            <w:tcMar>
              <w:top w:w="80" w:type="dxa"/>
              <w:left w:w="100" w:type="dxa"/>
              <w:bottom w:w="80" w:type="dxa"/>
              <w:right w:w="100" w:type="dxa"/>
            </w:tcMar>
            <w:vAlign w:val="center"/>
          </w:tcPr>
          <w:p w14:paraId="3B844FBE" w14:textId="77777777" w:rsidR="00411597" w:rsidRDefault="00000000">
            <w:pPr>
              <w:jc w:val="center"/>
            </w:pPr>
            <w:r>
              <w:rPr>
                <w:color w:val="222222"/>
                <w:sz w:val="20"/>
                <w:szCs w:val="20"/>
              </w:rPr>
              <w:t>80</w:t>
            </w:r>
          </w:p>
        </w:tc>
        <w:tc>
          <w:tcPr>
            <w:tcW w:w="1400" w:type="dxa"/>
            <w:tcMar>
              <w:top w:w="80" w:type="dxa"/>
              <w:left w:w="100" w:type="dxa"/>
              <w:bottom w:w="80" w:type="dxa"/>
              <w:right w:w="100" w:type="dxa"/>
            </w:tcMar>
            <w:vAlign w:val="center"/>
          </w:tcPr>
          <w:p w14:paraId="5DF3EF28" w14:textId="77777777" w:rsidR="00411597" w:rsidRDefault="00000000">
            <w:pPr>
              <w:jc w:val="center"/>
            </w:pPr>
            <w:r>
              <w:rPr>
                <w:color w:val="222222"/>
                <w:sz w:val="20"/>
                <w:szCs w:val="20"/>
              </w:rPr>
              <w:t>5</w:t>
            </w:r>
          </w:p>
        </w:tc>
        <w:tc>
          <w:tcPr>
            <w:tcW w:w="1500" w:type="dxa"/>
            <w:tcMar>
              <w:top w:w="80" w:type="dxa"/>
              <w:left w:w="100" w:type="dxa"/>
              <w:bottom w:w="80" w:type="dxa"/>
              <w:right w:w="100" w:type="dxa"/>
            </w:tcMar>
            <w:vAlign w:val="center"/>
          </w:tcPr>
          <w:p w14:paraId="722AC824" w14:textId="77777777" w:rsidR="00411597" w:rsidRDefault="00000000">
            <w:pPr>
              <w:jc w:val="center"/>
            </w:pPr>
            <w:r>
              <w:rPr>
                <w:color w:val="222222"/>
                <w:sz w:val="20"/>
                <w:szCs w:val="20"/>
              </w:rPr>
              <w:t>1,200</w:t>
            </w:r>
          </w:p>
        </w:tc>
        <w:tc>
          <w:tcPr>
            <w:tcW w:w="3000" w:type="dxa"/>
            <w:tcMar>
              <w:top w:w="80" w:type="dxa"/>
              <w:left w:w="100" w:type="dxa"/>
              <w:bottom w:w="80" w:type="dxa"/>
              <w:right w:w="100" w:type="dxa"/>
            </w:tcMar>
            <w:vAlign w:val="center"/>
          </w:tcPr>
          <w:p w14:paraId="6E4CFB85" w14:textId="77777777" w:rsidR="00411597" w:rsidRDefault="00000000">
            <w:pPr>
              <w:jc w:val="center"/>
            </w:pPr>
            <w:r>
              <w:rPr>
                <w:color w:val="222222"/>
                <w:sz w:val="20"/>
                <w:szCs w:val="20"/>
              </w:rPr>
              <w:t>82.04</w:t>
            </w:r>
          </w:p>
        </w:tc>
      </w:tr>
    </w:tbl>
    <w:p w14:paraId="0CAFDA23" w14:textId="77777777" w:rsidR="00411597" w:rsidRDefault="00000000">
      <w:pPr>
        <w:spacing w:before="80" w:after="200"/>
        <w:jc w:val="center"/>
      </w:pPr>
      <w:r>
        <w:rPr>
          <w:b/>
          <w:bCs/>
          <w:i/>
          <w:iCs/>
          <w:color w:val="444444"/>
          <w:sz w:val="20"/>
          <w:szCs w:val="20"/>
        </w:rPr>
        <w:t>Table 3.2: Deployment Simulation — Predicted Future Income for Synthetic Customer Profiles</w:t>
      </w:r>
    </w:p>
    <w:p w14:paraId="5150319A" w14:textId="77777777" w:rsidR="00411597" w:rsidRDefault="00000000">
      <w:pPr>
        <w:spacing w:after="160" w:line="300" w:lineRule="auto"/>
        <w:jc w:val="both"/>
      </w:pPr>
      <w:r>
        <w:rPr>
          <w:color w:val="222222"/>
        </w:rPr>
        <w:t xml:space="preserve">The results behave in the expected direction across all five profiles: SAMPLE_1, with the most recent purchase (5 days), the highest frequency (15 invoices), and the highest historical spend (£5,000), receives by far the highest predicted future income; SAMPLE_3, with the most dormant Recency (250 days), lowest Frequency (1 invoice), and lowest Monetary (£150), receives the lowest prediction. This monotonic, direction-consistent </w:t>
      </w:r>
      <w:proofErr w:type="spellStart"/>
      <w:r>
        <w:rPr>
          <w:color w:val="222222"/>
        </w:rPr>
        <w:t>behaviour</w:t>
      </w:r>
      <w:proofErr w:type="spellEnd"/>
      <w:r>
        <w:rPr>
          <w:color w:val="222222"/>
        </w:rPr>
        <w:t xml:space="preserve"> across a controlled range of inputs is a necessary (though not sufficient) sanity check before a regression model is trusted for production deployment, and the reproduced model passes this check.</w:t>
      </w:r>
    </w:p>
    <w:p w14:paraId="0C8BC654" w14:textId="77777777" w:rsidR="00411597" w:rsidRDefault="00000000">
      <w:r>
        <w:br w:type="page"/>
      </w:r>
    </w:p>
    <w:p w14:paraId="69442EC6" w14:textId="77777777" w:rsidR="00411597" w:rsidRDefault="00000000">
      <w:pPr>
        <w:pStyle w:val="Heading1"/>
        <w:pBdr>
          <w:bottom w:val="single" w:sz="6" w:space="4" w:color="1F3A5F"/>
        </w:pBdr>
      </w:pPr>
      <w:bookmarkStart w:id="17" w:name="_Toc234425836"/>
      <w:r>
        <w:lastRenderedPageBreak/>
        <w:t>4.0 Critical Analysis</w:t>
      </w:r>
      <w:bookmarkEnd w:id="17"/>
    </w:p>
    <w:p w14:paraId="77C34CD9" w14:textId="77777777" w:rsidR="00411597" w:rsidRDefault="00000000">
      <w:pPr>
        <w:spacing w:after="160" w:line="300" w:lineRule="auto"/>
        <w:jc w:val="both"/>
      </w:pPr>
      <w:r>
        <w:rPr>
          <w:color w:val="222222"/>
        </w:rPr>
        <w:t xml:space="preserve">This section adopts the perspective of an independent reviewer, evaluating the methodology and findings of the preceding sections with the same </w:t>
      </w:r>
      <w:proofErr w:type="spellStart"/>
      <w:r>
        <w:rPr>
          <w:color w:val="222222"/>
        </w:rPr>
        <w:t>rigour</w:t>
      </w:r>
      <w:proofErr w:type="spellEnd"/>
      <w:r>
        <w:rPr>
          <w:color w:val="222222"/>
        </w:rPr>
        <w:t xml:space="preserve"> that would be applied to a peer-reviewed conference submission.</w:t>
      </w:r>
    </w:p>
    <w:p w14:paraId="1A6828C1" w14:textId="77777777" w:rsidR="00411597" w:rsidRDefault="00000000">
      <w:pPr>
        <w:pStyle w:val="Heading2"/>
      </w:pPr>
      <w:bookmarkStart w:id="18" w:name="_Toc234425837"/>
      <w:r>
        <w:t>4.1 Strengths</w:t>
      </w:r>
      <w:bookmarkEnd w:id="18"/>
    </w:p>
    <w:p w14:paraId="28F03AC6" w14:textId="77777777" w:rsidR="00411597" w:rsidRDefault="00000000">
      <w:pPr>
        <w:pStyle w:val="ListParagraph"/>
        <w:numPr>
          <w:ilvl w:val="0"/>
          <w:numId w:val="2"/>
        </w:numPr>
        <w:spacing w:after="80"/>
      </w:pPr>
      <w:r>
        <w:t>Leakage-safe target construction: the temporal (rather than random) past/future split used to build the regression target (Section 3.5) is methodologically sound and reflects genuine deployment conditions, avoiding a common and serious error in CLV modelling projects.</w:t>
      </w:r>
    </w:p>
    <w:p w14:paraId="230B7C6C" w14:textId="77777777" w:rsidR="00411597" w:rsidRDefault="00000000">
      <w:pPr>
        <w:pStyle w:val="ListParagraph"/>
        <w:numPr>
          <w:ilvl w:val="0"/>
          <w:numId w:val="2"/>
        </w:numPr>
        <w:spacing w:after="80"/>
      </w:pPr>
      <w:r>
        <w:t xml:space="preserve">Transparent, auditable data cleaning: every filtering decision (missing </w:t>
      </w:r>
      <w:proofErr w:type="spellStart"/>
      <w:r>
        <w:t>CustomerID</w:t>
      </w:r>
      <w:proofErr w:type="spellEnd"/>
      <w:r>
        <w:t xml:space="preserve"> removal, quantity thresholding) is quantified with exact row counts, allowing a reviewer to trace precisely how the raw 541,909-row dataset became the final 3,287-customer modelling population.</w:t>
      </w:r>
    </w:p>
    <w:p w14:paraId="0AB10172" w14:textId="77777777" w:rsidR="00411597" w:rsidRDefault="00000000">
      <w:pPr>
        <w:pStyle w:val="ListParagraph"/>
        <w:numPr>
          <w:ilvl w:val="0"/>
          <w:numId w:val="2"/>
        </w:numPr>
        <w:spacing w:after="80"/>
      </w:pPr>
      <w:r>
        <w:t>Appropriate variance-</w:t>
      </w:r>
      <w:proofErr w:type="spellStart"/>
      <w:r>
        <w:t>stabilising</w:t>
      </w:r>
      <w:proofErr w:type="spellEnd"/>
      <w:r>
        <w:t xml:space="preserve"> transformation: the log1p transform, applied after visual and statistical confirmation of right-skew (Section 5), is a textbook-correct response to the observed data distribution rather than a default habit.</w:t>
      </w:r>
    </w:p>
    <w:p w14:paraId="43912D75" w14:textId="77777777" w:rsidR="00411597" w:rsidRDefault="00000000">
      <w:pPr>
        <w:pStyle w:val="ListParagraph"/>
        <w:numPr>
          <w:ilvl w:val="0"/>
          <w:numId w:val="2"/>
        </w:numPr>
        <w:spacing w:after="80"/>
      </w:pPr>
      <w:r>
        <w:t xml:space="preserve">Iterative model refinement with diagnostic justification: the progression from </w:t>
      </w:r>
      <w:proofErr w:type="spellStart"/>
      <w:r>
        <w:t>model_lr</w:t>
      </w:r>
      <w:proofErr w:type="spellEnd"/>
      <w:r>
        <w:t xml:space="preserve"> to model_lr_v2, motivated by explicit residual inspection and IQR-based outlier analysis, demonstrates a defensible, evidence-driven modelling process rather than a single untested model being deployed.</w:t>
      </w:r>
    </w:p>
    <w:p w14:paraId="3389C070" w14:textId="77777777" w:rsidR="00411597" w:rsidRDefault="00000000">
      <w:pPr>
        <w:pStyle w:val="ListParagraph"/>
        <w:numPr>
          <w:ilvl w:val="0"/>
          <w:numId w:val="2"/>
        </w:numPr>
        <w:spacing w:after="80"/>
      </w:pPr>
      <w:r>
        <w:t>Actionable segmentation: the RFM quintile segmentation (Section 6) translates model output into a business-legible five-cohort structure that a non-technical marketing stakeholder can act upon directly.</w:t>
      </w:r>
    </w:p>
    <w:p w14:paraId="46A867D9" w14:textId="77777777" w:rsidR="00411597" w:rsidRDefault="00000000">
      <w:pPr>
        <w:pStyle w:val="Heading2"/>
      </w:pPr>
      <w:bookmarkStart w:id="19" w:name="_Toc234425838"/>
      <w:r>
        <w:t>4.2 Limitations</w:t>
      </w:r>
      <w:bookmarkEnd w:id="19"/>
    </w:p>
    <w:p w14:paraId="45A4BD88" w14:textId="77777777" w:rsidR="00411597" w:rsidRDefault="00000000">
      <w:pPr>
        <w:pStyle w:val="ListParagraph"/>
        <w:numPr>
          <w:ilvl w:val="0"/>
          <w:numId w:val="2"/>
        </w:numPr>
        <w:spacing w:after="80"/>
      </w:pPr>
      <w:r>
        <w:t>Back-transformation amplification: because predictions are generated in log space and then back-transformed via expm1(), the model is structurally prone to producing extreme, high-variance predictions for customers at the upper end of the Frequency/Monetary range — directly evidenced by the single customer predicted at £1,392,241, more than 55 times the second-highest prediction in the scored population. This is not a data error but an inherent property of log-linear regression under back-transformation, and it materially inflates the standard deviation of predicted future income (£24,371.94, Table 5.1) relative to its median (£31.00).</w:t>
      </w:r>
    </w:p>
    <w:p w14:paraId="5C07F21B" w14:textId="77777777" w:rsidR="00411597" w:rsidRDefault="00000000">
      <w:pPr>
        <w:pStyle w:val="ListParagraph"/>
        <w:numPr>
          <w:ilvl w:val="0"/>
          <w:numId w:val="2"/>
        </w:numPr>
        <w:spacing w:after="80"/>
      </w:pPr>
      <w:r>
        <w:t>Negative predictions for low-value customers: 10 customers (0.30% of the scored population) receive a negative predicted future income, which is not economically meaningful for a monetary quantity bounded at zero. A production deployment should clip predictions at zero (</w:t>
      </w:r>
      <w:proofErr w:type="gramStart"/>
      <w:r>
        <w:t>max(</w:t>
      </w:r>
      <w:proofErr w:type="gramEnd"/>
      <w:r>
        <w:t>0, prediction)) as a minimal corrective step.</w:t>
      </w:r>
    </w:p>
    <w:p w14:paraId="37DFDEA2" w14:textId="77777777" w:rsidR="00411597" w:rsidRDefault="00000000">
      <w:pPr>
        <w:pStyle w:val="ListParagraph"/>
        <w:numPr>
          <w:ilvl w:val="0"/>
          <w:numId w:val="2"/>
        </w:numPr>
        <w:spacing w:after="80"/>
      </w:pPr>
      <w:r>
        <w:t>Restricted feature set: the model relies exclusively on Recency, Frequency and Monetary, and does not incorporate product-category diversity, seasonality, discount sensitivity, channel of acquisition, or customer tenure — all of which are known in the CLV literature to add incremental predictive power beyond baseline RFM.</w:t>
      </w:r>
    </w:p>
    <w:p w14:paraId="226CCB1D" w14:textId="77777777" w:rsidR="00411597" w:rsidRDefault="00000000">
      <w:pPr>
        <w:pStyle w:val="ListParagraph"/>
        <w:numPr>
          <w:ilvl w:val="0"/>
          <w:numId w:val="2"/>
        </w:numPr>
        <w:spacing w:after="80"/>
      </w:pPr>
      <w:r>
        <w:t xml:space="preserve">Linear functional form assumption: multiple linear regression assumes additive, linear relationships between </w:t>
      </w:r>
      <w:proofErr w:type="spellStart"/>
      <w:r>
        <w:t>standardised</w:t>
      </w:r>
      <w:proofErr w:type="spellEnd"/>
      <w:r>
        <w:t xml:space="preserve"> RFM features and log future income. The strong correlation </w:t>
      </w:r>
      <w:r>
        <w:lastRenderedPageBreak/>
        <w:t>between Frequency and Monetary (r = 0.73, Section 5.5) raises a legitimate multicollinearity concern that was not formally tested (e.g., via Variance Inflation Factor) in the delivered pipeline.</w:t>
      </w:r>
    </w:p>
    <w:p w14:paraId="42B8DE58" w14:textId="77777777" w:rsidR="00411597" w:rsidRDefault="00000000">
      <w:pPr>
        <w:pStyle w:val="ListParagraph"/>
        <w:numPr>
          <w:ilvl w:val="0"/>
          <w:numId w:val="2"/>
        </w:numPr>
        <w:spacing w:after="80"/>
      </w:pPr>
      <w:r>
        <w:t>Single train/test split evaluation: the model was evaluated using a single 80/20 holdout split rather than k-fold cross-validation, meaning the reported (and reproduced) performance figures carry sampling variance that has not been quantified via confidence intervals.</w:t>
      </w:r>
    </w:p>
    <w:p w14:paraId="4936A265" w14:textId="77777777" w:rsidR="00411597" w:rsidRDefault="00000000">
      <w:pPr>
        <w:pStyle w:val="ListParagraph"/>
        <w:numPr>
          <w:ilvl w:val="0"/>
          <w:numId w:val="2"/>
        </w:numPr>
        <w:spacing w:after="80"/>
      </w:pPr>
      <w:r>
        <w:t>Missing original evaluation artefacts: as noted in Section 2.2, the original held-out RMSE/MAE/R² figures printed by the training script were not captured in a persistent log, requiring this documentation to rely on an independently reproduced verification rather than the original reported test-set performance.</w:t>
      </w:r>
    </w:p>
    <w:p w14:paraId="5000E105" w14:textId="77777777" w:rsidR="00411597" w:rsidRDefault="00000000">
      <w:pPr>
        <w:pStyle w:val="ListParagraph"/>
        <w:numPr>
          <w:ilvl w:val="0"/>
          <w:numId w:val="2"/>
        </w:numPr>
        <w:spacing w:after="80"/>
      </w:pPr>
      <w:r>
        <w:t xml:space="preserve">Short forecast horizon </w:t>
      </w:r>
      <w:proofErr w:type="spellStart"/>
      <w:r>
        <w:t>generalisability</w:t>
      </w:r>
      <w:proofErr w:type="spellEnd"/>
      <w:r>
        <w:t>: the three-month future window is a direct artefact of the specific 75/25 temporal split applied to a single observed year of data; the model has not been validated against alternative forecast horizons (e.g., six or twelve months) or against a second, independent observation year.</w:t>
      </w:r>
    </w:p>
    <w:p w14:paraId="4CC55EF9" w14:textId="77777777" w:rsidR="00411597" w:rsidRDefault="00000000">
      <w:pPr>
        <w:pStyle w:val="Heading2"/>
      </w:pPr>
      <w:bookmarkStart w:id="20" w:name="_Toc234425839"/>
      <w:r>
        <w:t>4.3 Threats to Validity</w:t>
      </w:r>
      <w:bookmarkEnd w:id="20"/>
    </w:p>
    <w:p w14:paraId="4AD94E59" w14:textId="77777777" w:rsidR="00411597" w:rsidRDefault="00000000">
      <w:pPr>
        <w:spacing w:after="160" w:line="300" w:lineRule="auto"/>
        <w:jc w:val="both"/>
      </w:pPr>
      <w:r>
        <w:rPr>
          <w:color w:val="222222"/>
        </w:rPr>
        <w:t xml:space="preserve">Internal validity is reasonably well supported by the leakage-safe temporal split and the explicit residual diagnostics performed during training. However, external validity — the extent to which these findings would </w:t>
      </w:r>
      <w:proofErr w:type="spellStart"/>
      <w:r>
        <w:rPr>
          <w:color w:val="222222"/>
        </w:rPr>
        <w:t>generalise</w:t>
      </w:r>
      <w:proofErr w:type="spellEnd"/>
      <w:r>
        <w:rPr>
          <w:color w:val="222222"/>
        </w:rPr>
        <w:t xml:space="preserve"> to a different retailer, product category, or time period — is limited, since the dataset covers a single UK-based gift-ware retailer over a single 12-month period that includes the December holiday season, a period of atypical purchasing </w:t>
      </w:r>
      <w:proofErr w:type="spellStart"/>
      <w:r>
        <w:rPr>
          <w:color w:val="222222"/>
        </w:rPr>
        <w:t>behaviour</w:t>
      </w:r>
      <w:proofErr w:type="spellEnd"/>
      <w:r>
        <w:rPr>
          <w:color w:val="222222"/>
        </w:rPr>
        <w:t xml:space="preserve"> that may not be representative of a full business cycle. Construct validity is also worth flagging: “future income” as </w:t>
      </w:r>
      <w:proofErr w:type="spellStart"/>
      <w:r>
        <w:rPr>
          <w:color w:val="222222"/>
        </w:rPr>
        <w:t>operationalised</w:t>
      </w:r>
      <w:proofErr w:type="spellEnd"/>
      <w:r>
        <w:rPr>
          <w:color w:val="222222"/>
        </w:rPr>
        <w:t xml:space="preserve"> here is total historical spend </w:t>
      </w:r>
      <w:proofErr w:type="spellStart"/>
      <w:r>
        <w:rPr>
          <w:color w:val="222222"/>
        </w:rPr>
        <w:t>realised</w:t>
      </w:r>
      <w:proofErr w:type="spellEnd"/>
      <w:r>
        <w:rPr>
          <w:color w:val="222222"/>
        </w:rPr>
        <w:t xml:space="preserve"> in a fixed subsequent window, which conflates genuinely new purchasing </w:t>
      </w:r>
      <w:proofErr w:type="spellStart"/>
      <w:r>
        <w:rPr>
          <w:color w:val="222222"/>
        </w:rPr>
        <w:t>behaviour</w:t>
      </w:r>
      <w:proofErr w:type="spellEnd"/>
      <w:r>
        <w:rPr>
          <w:color w:val="222222"/>
        </w:rPr>
        <w:t xml:space="preserve"> with the tail effects of orders that happened to fall just after the cutoff date — a reviewer at a top-tier venue would likely request a sensitivity analysis around the choice of cutoff percentile (currently fixed at 75%).</w:t>
      </w:r>
    </w:p>
    <w:p w14:paraId="0D9F88A6" w14:textId="77777777" w:rsidR="00411597" w:rsidRDefault="00000000">
      <w:r>
        <w:br w:type="page"/>
      </w:r>
    </w:p>
    <w:p w14:paraId="3C49F364" w14:textId="77777777" w:rsidR="00411597" w:rsidRDefault="00000000">
      <w:pPr>
        <w:pStyle w:val="Heading1"/>
        <w:pBdr>
          <w:bottom w:val="single" w:sz="6" w:space="4" w:color="1F3A5F"/>
        </w:pBdr>
      </w:pPr>
      <w:bookmarkStart w:id="21" w:name="_Toc234425840"/>
      <w:r>
        <w:lastRenderedPageBreak/>
        <w:t>5.0 Business Recommendations</w:t>
      </w:r>
      <w:bookmarkEnd w:id="21"/>
    </w:p>
    <w:p w14:paraId="7C0B07CF" w14:textId="77777777" w:rsidR="00411597" w:rsidRDefault="00000000">
      <w:pPr>
        <w:spacing w:after="160" w:line="300" w:lineRule="auto"/>
        <w:jc w:val="both"/>
      </w:pPr>
      <w:r>
        <w:rPr>
          <w:color w:val="222222"/>
        </w:rPr>
        <w:t>The following segment-specific recommendations follow directly from the quantified profiles in Table 6.2 and the concentration analysis in Section 3.1, and are ordered by expected commercial priority.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000"/>
      </w:tblGrid>
      <w:tr w:rsidR="00411597" w14:paraId="2E3A1188" w14:textId="77777777">
        <w:trPr>
          <w:tblHeader/>
        </w:trPr>
        <w:tc>
          <w:tcPr>
            <w:tcW w:w="2600" w:type="dxa"/>
            <w:shd w:val="clear" w:color="auto" w:fill="1F3A5F"/>
            <w:tcMar>
              <w:top w:w="80" w:type="dxa"/>
              <w:left w:w="100" w:type="dxa"/>
              <w:bottom w:w="80" w:type="dxa"/>
              <w:right w:w="100" w:type="dxa"/>
            </w:tcMar>
            <w:vAlign w:val="center"/>
          </w:tcPr>
          <w:p w14:paraId="4E379126" w14:textId="77777777" w:rsidR="00411597" w:rsidRDefault="00000000">
            <w:pPr>
              <w:jc w:val="center"/>
            </w:pPr>
            <w:r>
              <w:rPr>
                <w:b/>
                <w:bCs/>
                <w:color w:val="FFFFFF"/>
                <w:sz w:val="20"/>
                <w:szCs w:val="20"/>
              </w:rPr>
              <w:t>Segment</w:t>
            </w:r>
          </w:p>
        </w:tc>
        <w:tc>
          <w:tcPr>
            <w:tcW w:w="3600" w:type="dxa"/>
            <w:shd w:val="clear" w:color="auto" w:fill="1F3A5F"/>
            <w:tcMar>
              <w:top w:w="80" w:type="dxa"/>
              <w:left w:w="100" w:type="dxa"/>
              <w:bottom w:w="80" w:type="dxa"/>
              <w:right w:w="100" w:type="dxa"/>
            </w:tcMar>
            <w:vAlign w:val="center"/>
          </w:tcPr>
          <w:p w14:paraId="44C84FDF" w14:textId="77777777" w:rsidR="00411597" w:rsidRDefault="00000000">
            <w:pPr>
              <w:jc w:val="center"/>
            </w:pPr>
            <w:r>
              <w:rPr>
                <w:b/>
                <w:bCs/>
                <w:color w:val="FFFFFF"/>
                <w:sz w:val="20"/>
                <w:szCs w:val="20"/>
              </w:rPr>
              <w:t>Recommended Action</w:t>
            </w:r>
          </w:p>
        </w:tc>
        <w:tc>
          <w:tcPr>
            <w:tcW w:w="3000" w:type="dxa"/>
            <w:shd w:val="clear" w:color="auto" w:fill="1F3A5F"/>
            <w:tcMar>
              <w:top w:w="80" w:type="dxa"/>
              <w:left w:w="100" w:type="dxa"/>
              <w:bottom w:w="80" w:type="dxa"/>
              <w:right w:w="100" w:type="dxa"/>
            </w:tcMar>
            <w:vAlign w:val="center"/>
          </w:tcPr>
          <w:p w14:paraId="53ACFB85" w14:textId="77777777" w:rsidR="00411597" w:rsidRDefault="00000000">
            <w:pPr>
              <w:jc w:val="center"/>
            </w:pPr>
            <w:r>
              <w:rPr>
                <w:b/>
                <w:bCs/>
                <w:color w:val="FFFFFF"/>
                <w:sz w:val="20"/>
                <w:szCs w:val="20"/>
              </w:rPr>
              <w:t>Rationale</w:t>
            </w:r>
          </w:p>
        </w:tc>
      </w:tr>
      <w:tr w:rsidR="00411597" w14:paraId="0640503F" w14:textId="77777777">
        <w:tc>
          <w:tcPr>
            <w:tcW w:w="2600" w:type="dxa"/>
            <w:tcMar>
              <w:top w:w="80" w:type="dxa"/>
              <w:left w:w="100" w:type="dxa"/>
              <w:bottom w:w="80" w:type="dxa"/>
              <w:right w:w="100" w:type="dxa"/>
            </w:tcMar>
            <w:vAlign w:val="center"/>
          </w:tcPr>
          <w:p w14:paraId="04BF5DAF" w14:textId="77777777" w:rsidR="00411597" w:rsidRDefault="00000000">
            <w:r>
              <w:rPr>
                <w:color w:val="222222"/>
                <w:sz w:val="20"/>
                <w:szCs w:val="20"/>
              </w:rPr>
              <w:t>Champions (22.1%, 92.8% of top-decile value)</w:t>
            </w:r>
          </w:p>
        </w:tc>
        <w:tc>
          <w:tcPr>
            <w:tcW w:w="3600" w:type="dxa"/>
            <w:tcMar>
              <w:top w:w="80" w:type="dxa"/>
              <w:left w:w="100" w:type="dxa"/>
              <w:bottom w:w="80" w:type="dxa"/>
              <w:right w:w="100" w:type="dxa"/>
            </w:tcMar>
            <w:vAlign w:val="center"/>
          </w:tcPr>
          <w:p w14:paraId="3C79BCCB" w14:textId="77777777" w:rsidR="00411597" w:rsidRDefault="00000000">
            <w:pPr>
              <w:jc w:val="center"/>
            </w:pPr>
            <w:r>
              <w:rPr>
                <w:color w:val="222222"/>
                <w:sz w:val="20"/>
                <w:szCs w:val="20"/>
              </w:rPr>
              <w:t>Dedicated loyalty tier, early access to new products, personal account outreach; monitor concentration risk in a small number of extreme-value accounts.</w:t>
            </w:r>
          </w:p>
        </w:tc>
        <w:tc>
          <w:tcPr>
            <w:tcW w:w="3000" w:type="dxa"/>
            <w:tcMar>
              <w:top w:w="80" w:type="dxa"/>
              <w:left w:w="100" w:type="dxa"/>
              <w:bottom w:w="80" w:type="dxa"/>
              <w:right w:w="100" w:type="dxa"/>
            </w:tcMar>
            <w:vAlign w:val="center"/>
          </w:tcPr>
          <w:p w14:paraId="254C96C2" w14:textId="77777777" w:rsidR="00411597" w:rsidRDefault="00000000">
            <w:pPr>
              <w:jc w:val="center"/>
            </w:pPr>
            <w:r>
              <w:rPr>
                <w:color w:val="222222"/>
                <w:sz w:val="20"/>
                <w:szCs w:val="20"/>
              </w:rPr>
              <w:t>Accounts for the overwhelming majority of projected near-term revenue; losing even one Champion has outsized business impact.</w:t>
            </w:r>
          </w:p>
        </w:tc>
      </w:tr>
      <w:tr w:rsidR="00411597" w14:paraId="2DAFCD4A" w14:textId="77777777">
        <w:tc>
          <w:tcPr>
            <w:tcW w:w="2600" w:type="dxa"/>
            <w:shd w:val="clear" w:color="auto" w:fill="EAF0F6"/>
            <w:tcMar>
              <w:top w:w="80" w:type="dxa"/>
              <w:left w:w="100" w:type="dxa"/>
              <w:bottom w:w="80" w:type="dxa"/>
              <w:right w:w="100" w:type="dxa"/>
            </w:tcMar>
            <w:vAlign w:val="center"/>
          </w:tcPr>
          <w:p w14:paraId="6C53241A" w14:textId="77777777" w:rsidR="00411597" w:rsidRDefault="00000000">
            <w:r>
              <w:rPr>
                <w:color w:val="222222"/>
                <w:sz w:val="20"/>
                <w:szCs w:val="20"/>
              </w:rPr>
              <w:t>Loyal Customers (23.6%)</w:t>
            </w:r>
          </w:p>
        </w:tc>
        <w:tc>
          <w:tcPr>
            <w:tcW w:w="3600" w:type="dxa"/>
            <w:shd w:val="clear" w:color="auto" w:fill="EAF0F6"/>
            <w:tcMar>
              <w:top w:w="80" w:type="dxa"/>
              <w:left w:w="100" w:type="dxa"/>
              <w:bottom w:w="80" w:type="dxa"/>
              <w:right w:w="100" w:type="dxa"/>
            </w:tcMar>
            <w:vAlign w:val="center"/>
          </w:tcPr>
          <w:p w14:paraId="4C9CE185" w14:textId="77777777" w:rsidR="00411597" w:rsidRDefault="00000000">
            <w:pPr>
              <w:jc w:val="center"/>
            </w:pPr>
            <w:r>
              <w:rPr>
                <w:color w:val="222222"/>
                <w:sz w:val="20"/>
                <w:szCs w:val="20"/>
              </w:rPr>
              <w:t>Standard loyalty-</w:t>
            </w:r>
            <w:proofErr w:type="spellStart"/>
            <w:r>
              <w:rPr>
                <w:color w:val="222222"/>
                <w:sz w:val="20"/>
                <w:szCs w:val="20"/>
              </w:rPr>
              <w:t>programme</w:t>
            </w:r>
            <w:proofErr w:type="spellEnd"/>
            <w:r>
              <w:rPr>
                <w:color w:val="222222"/>
                <w:sz w:val="20"/>
                <w:szCs w:val="20"/>
              </w:rPr>
              <w:t xml:space="preserve"> enrolment, cross-sell campaigns leveraging existing purchase history.</w:t>
            </w:r>
          </w:p>
        </w:tc>
        <w:tc>
          <w:tcPr>
            <w:tcW w:w="3000" w:type="dxa"/>
            <w:shd w:val="clear" w:color="auto" w:fill="EAF0F6"/>
            <w:tcMar>
              <w:top w:w="80" w:type="dxa"/>
              <w:left w:w="100" w:type="dxa"/>
              <w:bottom w:w="80" w:type="dxa"/>
              <w:right w:w="100" w:type="dxa"/>
            </w:tcMar>
            <w:vAlign w:val="center"/>
          </w:tcPr>
          <w:p w14:paraId="398490B2" w14:textId="77777777" w:rsidR="00411597" w:rsidRDefault="00000000">
            <w:pPr>
              <w:jc w:val="center"/>
            </w:pPr>
            <w:r>
              <w:rPr>
                <w:color w:val="222222"/>
                <w:sz w:val="20"/>
                <w:szCs w:val="20"/>
              </w:rPr>
              <w:t>Consistently engaged but with materially lower average spend than Champions; growth-stage segment.</w:t>
            </w:r>
          </w:p>
        </w:tc>
      </w:tr>
      <w:tr w:rsidR="00411597" w14:paraId="2588DAA1" w14:textId="77777777">
        <w:tc>
          <w:tcPr>
            <w:tcW w:w="2600" w:type="dxa"/>
            <w:tcMar>
              <w:top w:w="80" w:type="dxa"/>
              <w:left w:w="100" w:type="dxa"/>
              <w:bottom w:w="80" w:type="dxa"/>
              <w:right w:w="100" w:type="dxa"/>
            </w:tcMar>
            <w:vAlign w:val="center"/>
          </w:tcPr>
          <w:p w14:paraId="4C635471" w14:textId="77777777" w:rsidR="00411597" w:rsidRDefault="00000000">
            <w:r>
              <w:rPr>
                <w:color w:val="222222"/>
                <w:sz w:val="20"/>
                <w:szCs w:val="20"/>
              </w:rPr>
              <w:t>At Risk (14.3%)</w:t>
            </w:r>
          </w:p>
        </w:tc>
        <w:tc>
          <w:tcPr>
            <w:tcW w:w="3600" w:type="dxa"/>
            <w:tcMar>
              <w:top w:w="80" w:type="dxa"/>
              <w:left w:w="100" w:type="dxa"/>
              <w:bottom w:w="80" w:type="dxa"/>
              <w:right w:w="100" w:type="dxa"/>
            </w:tcMar>
            <w:vAlign w:val="center"/>
          </w:tcPr>
          <w:p w14:paraId="19AB549C" w14:textId="77777777" w:rsidR="00411597" w:rsidRDefault="00000000">
            <w:pPr>
              <w:jc w:val="center"/>
            </w:pPr>
            <w:r>
              <w:rPr>
                <w:color w:val="222222"/>
                <w:sz w:val="20"/>
                <w:szCs w:val="20"/>
              </w:rPr>
              <w:t>Time-sensitive win-back discounts and re-engagement email sequences, triggered as soon as Recency crosses a defined threshold (e.g., 90 days).</w:t>
            </w:r>
          </w:p>
        </w:tc>
        <w:tc>
          <w:tcPr>
            <w:tcW w:w="3000" w:type="dxa"/>
            <w:tcMar>
              <w:top w:w="80" w:type="dxa"/>
              <w:left w:w="100" w:type="dxa"/>
              <w:bottom w:w="80" w:type="dxa"/>
              <w:right w:w="100" w:type="dxa"/>
            </w:tcMar>
            <w:vAlign w:val="center"/>
          </w:tcPr>
          <w:p w14:paraId="5CD9AB2E" w14:textId="77777777" w:rsidR="00411597" w:rsidRDefault="00000000">
            <w:pPr>
              <w:jc w:val="center"/>
            </w:pPr>
            <w:r>
              <w:rPr>
                <w:color w:val="222222"/>
                <w:sz w:val="20"/>
                <w:szCs w:val="20"/>
              </w:rPr>
              <w:t>Previously frequent, moderate-to-high historical spend, but drifting Recency (avg. 153.6 days) signals a closing reactivation window.</w:t>
            </w:r>
          </w:p>
        </w:tc>
      </w:tr>
      <w:tr w:rsidR="00411597" w14:paraId="03D41A6D" w14:textId="77777777">
        <w:tc>
          <w:tcPr>
            <w:tcW w:w="2600" w:type="dxa"/>
            <w:shd w:val="clear" w:color="auto" w:fill="EAF0F6"/>
            <w:tcMar>
              <w:top w:w="80" w:type="dxa"/>
              <w:left w:w="100" w:type="dxa"/>
              <w:bottom w:w="80" w:type="dxa"/>
              <w:right w:w="100" w:type="dxa"/>
            </w:tcMar>
            <w:vAlign w:val="center"/>
          </w:tcPr>
          <w:p w14:paraId="0E3820F1" w14:textId="77777777" w:rsidR="00411597" w:rsidRDefault="00000000">
            <w:r>
              <w:rPr>
                <w:color w:val="222222"/>
                <w:sz w:val="20"/>
                <w:szCs w:val="20"/>
              </w:rPr>
              <w:t>Potential Loyalist (14.5%)</w:t>
            </w:r>
          </w:p>
        </w:tc>
        <w:tc>
          <w:tcPr>
            <w:tcW w:w="3600" w:type="dxa"/>
            <w:shd w:val="clear" w:color="auto" w:fill="EAF0F6"/>
            <w:tcMar>
              <w:top w:w="80" w:type="dxa"/>
              <w:left w:w="100" w:type="dxa"/>
              <w:bottom w:w="80" w:type="dxa"/>
              <w:right w:w="100" w:type="dxa"/>
            </w:tcMar>
            <w:vAlign w:val="center"/>
          </w:tcPr>
          <w:p w14:paraId="1A5477D9" w14:textId="77777777" w:rsidR="00411597" w:rsidRDefault="00000000">
            <w:pPr>
              <w:jc w:val="center"/>
            </w:pPr>
            <w:r>
              <w:rPr>
                <w:color w:val="222222"/>
                <w:sz w:val="20"/>
                <w:szCs w:val="20"/>
              </w:rPr>
              <w:t>Onboarding nurture sequences and second-purchase incentives.</w:t>
            </w:r>
          </w:p>
        </w:tc>
        <w:tc>
          <w:tcPr>
            <w:tcW w:w="3000" w:type="dxa"/>
            <w:shd w:val="clear" w:color="auto" w:fill="EAF0F6"/>
            <w:tcMar>
              <w:top w:w="80" w:type="dxa"/>
              <w:left w:w="100" w:type="dxa"/>
              <w:bottom w:w="80" w:type="dxa"/>
              <w:right w:w="100" w:type="dxa"/>
            </w:tcMar>
            <w:vAlign w:val="center"/>
          </w:tcPr>
          <w:p w14:paraId="35867F72" w14:textId="77777777" w:rsidR="00411597" w:rsidRDefault="00000000">
            <w:pPr>
              <w:jc w:val="center"/>
            </w:pPr>
            <w:r>
              <w:rPr>
                <w:color w:val="222222"/>
                <w:sz w:val="20"/>
                <w:szCs w:val="20"/>
              </w:rPr>
              <w:t>Relatively recent but low-frequency customers; an opportunity to convert single-purchase customers into repeat buyers before they lapse.</w:t>
            </w:r>
          </w:p>
        </w:tc>
      </w:tr>
      <w:tr w:rsidR="00411597" w14:paraId="66F0CFB9" w14:textId="77777777">
        <w:tc>
          <w:tcPr>
            <w:tcW w:w="2600" w:type="dxa"/>
            <w:tcMar>
              <w:top w:w="80" w:type="dxa"/>
              <w:left w:w="100" w:type="dxa"/>
              <w:bottom w:w="80" w:type="dxa"/>
              <w:right w:w="100" w:type="dxa"/>
            </w:tcMar>
            <w:vAlign w:val="center"/>
          </w:tcPr>
          <w:p w14:paraId="7B066B2F" w14:textId="77777777" w:rsidR="00411597" w:rsidRDefault="00000000">
            <w:r>
              <w:rPr>
                <w:color w:val="222222"/>
                <w:sz w:val="20"/>
                <w:szCs w:val="20"/>
              </w:rPr>
              <w:t>Lost (25.5%)</w:t>
            </w:r>
          </w:p>
        </w:tc>
        <w:tc>
          <w:tcPr>
            <w:tcW w:w="3600" w:type="dxa"/>
            <w:tcMar>
              <w:top w:w="80" w:type="dxa"/>
              <w:left w:w="100" w:type="dxa"/>
              <w:bottom w:w="80" w:type="dxa"/>
              <w:right w:w="100" w:type="dxa"/>
            </w:tcMar>
            <w:vAlign w:val="center"/>
          </w:tcPr>
          <w:p w14:paraId="404AF4FE" w14:textId="77777777" w:rsidR="00411597" w:rsidRDefault="00000000">
            <w:pPr>
              <w:jc w:val="center"/>
            </w:pPr>
            <w:r>
              <w:rPr>
                <w:color w:val="222222"/>
                <w:sz w:val="20"/>
                <w:szCs w:val="20"/>
              </w:rPr>
              <w:t>Low-cost, automated (non-</w:t>
            </w:r>
            <w:proofErr w:type="spellStart"/>
            <w:r>
              <w:rPr>
                <w:color w:val="222222"/>
                <w:sz w:val="20"/>
                <w:szCs w:val="20"/>
              </w:rPr>
              <w:t>personalised</w:t>
            </w:r>
            <w:proofErr w:type="spellEnd"/>
            <w:r>
              <w:rPr>
                <w:color w:val="222222"/>
                <w:sz w:val="20"/>
                <w:szCs w:val="20"/>
              </w:rPr>
              <w:t>) win-back campaigns only; do not allocate premium retention budget.</w:t>
            </w:r>
          </w:p>
        </w:tc>
        <w:tc>
          <w:tcPr>
            <w:tcW w:w="3000" w:type="dxa"/>
            <w:tcMar>
              <w:top w:w="80" w:type="dxa"/>
              <w:left w:w="100" w:type="dxa"/>
              <w:bottom w:w="80" w:type="dxa"/>
              <w:right w:w="100" w:type="dxa"/>
            </w:tcMar>
            <w:vAlign w:val="center"/>
          </w:tcPr>
          <w:p w14:paraId="16A58520" w14:textId="77777777" w:rsidR="00411597" w:rsidRDefault="00000000">
            <w:pPr>
              <w:jc w:val="center"/>
            </w:pPr>
            <w:r>
              <w:rPr>
                <w:color w:val="222222"/>
                <w:sz w:val="20"/>
                <w:szCs w:val="20"/>
              </w:rPr>
              <w:t>Long-dormant, historically low-frequency customers who contribute minimally (avg. £10.20 predicted future income) to projected revenue.</w:t>
            </w:r>
          </w:p>
        </w:tc>
      </w:tr>
    </w:tbl>
    <w:p w14:paraId="3F5DE7C4" w14:textId="77777777" w:rsidR="00411597" w:rsidRDefault="00000000">
      <w:pPr>
        <w:spacing w:before="80" w:after="200"/>
        <w:jc w:val="center"/>
      </w:pPr>
      <w:r>
        <w:rPr>
          <w:b/>
          <w:bCs/>
          <w:i/>
          <w:iCs/>
          <w:color w:val="444444"/>
          <w:sz w:val="20"/>
          <w:szCs w:val="20"/>
        </w:rPr>
        <w:t>Table 5.1: Segment-Specific Marketing Recommendations</w:t>
      </w:r>
    </w:p>
    <w:p w14:paraId="109111D6" w14:textId="77777777" w:rsidR="00411597" w:rsidRDefault="00000000">
      <w:pPr>
        <w:spacing w:after="160" w:line="300" w:lineRule="auto"/>
        <w:jc w:val="both"/>
      </w:pPr>
      <w:r>
        <w:rPr>
          <w:color w:val="222222"/>
        </w:rPr>
        <w:t>Beyond segment-level tactics, three cross-cutting recommendations follow from the model's limitations (Section 4.2): first, predictions should be clipped at zero and capped at a defensible upper percentile (e.g., the 99th) before being used to set discount budgets or account-management tiers, to avoid over-committing resources based on a single extreme-value prediction; second, the marketing team should treat the Champions segment's aggregate value figure as directionally correct but should verify the small number of extreme individual predictions manually before using them in financial planning; and third, given the strong Frequency-Monetary correlation identified in Section 5.5, campaigns designed to increase purchase frequency (e.g., replenishment reminders, subscribe-and-save mechanics) are likely to have compounding value, since Frequency growth is associated both with higher historical Monetary and independently with higher predicted future income.</w:t>
      </w:r>
    </w:p>
    <w:p w14:paraId="28660B19" w14:textId="77777777" w:rsidR="00411597" w:rsidRDefault="00000000">
      <w:pPr>
        <w:pStyle w:val="Heading1"/>
        <w:pBdr>
          <w:bottom w:val="single" w:sz="6" w:space="4" w:color="1F3A5F"/>
        </w:pBdr>
      </w:pPr>
      <w:bookmarkStart w:id="22" w:name="_Toc234425841"/>
      <w:r>
        <w:lastRenderedPageBreak/>
        <w:t>6.0 Future Work and Recommended Improvements</w:t>
      </w:r>
      <w:bookmarkEnd w:id="22"/>
    </w:p>
    <w:p w14:paraId="6DC47514" w14:textId="77777777" w:rsidR="00411597" w:rsidRDefault="00000000">
      <w:pPr>
        <w:pStyle w:val="ListParagraph"/>
        <w:numPr>
          <w:ilvl w:val="0"/>
          <w:numId w:val="2"/>
        </w:numPr>
        <w:spacing w:after="80"/>
      </w:pPr>
      <w:r>
        <w:t xml:space="preserve">Capture and log original evaluation metrics: wrap the RMSE/MAE/R² print statements in </w:t>
      </w:r>
      <w:proofErr w:type="spellStart"/>
      <w:r>
        <w:t>Model_Training.R</w:t>
      </w:r>
      <w:proofErr w:type="spellEnd"/>
      <w:r>
        <w:t xml:space="preserve"> with </w:t>
      </w:r>
      <w:proofErr w:type="gramStart"/>
      <w:r>
        <w:t>sink(</w:t>
      </w:r>
      <w:proofErr w:type="gramEnd"/>
      <w:r>
        <w:t xml:space="preserve">) or </w:t>
      </w:r>
      <w:proofErr w:type="spellStart"/>
      <w:proofErr w:type="gramStart"/>
      <w:r>
        <w:t>writeLines</w:t>
      </w:r>
      <w:proofErr w:type="spellEnd"/>
      <w:r>
        <w:t>(</w:t>
      </w:r>
      <w:proofErr w:type="gramEnd"/>
      <w:r>
        <w:t>) so that genuine held-out test performance is preserved as a permanent, reviewable artefact rather than only appearing in an interactive R console session.</w:t>
      </w:r>
    </w:p>
    <w:p w14:paraId="24CC668B" w14:textId="77777777" w:rsidR="00411597" w:rsidRDefault="00000000">
      <w:pPr>
        <w:pStyle w:val="ListParagraph"/>
        <w:numPr>
          <w:ilvl w:val="0"/>
          <w:numId w:val="2"/>
        </w:numPr>
        <w:spacing w:after="80"/>
      </w:pPr>
      <w:r>
        <w:t>Cross-validated evaluation: replace the single 80/20 holdout with k-fold (e.g., 5-fold or 10-fold) cross-validation to quantify the sampling variance of RMSE, MAE and R², and to test the stability of the coefficient estimates in Section 2.2 across folds.</w:t>
      </w:r>
    </w:p>
    <w:p w14:paraId="5086BA16" w14:textId="77777777" w:rsidR="00411597" w:rsidRDefault="00000000">
      <w:pPr>
        <w:pStyle w:val="ListParagraph"/>
        <w:numPr>
          <w:ilvl w:val="0"/>
          <w:numId w:val="2"/>
        </w:numPr>
        <w:spacing w:after="80"/>
      </w:pPr>
      <w:r>
        <w:t>Prediction post-processing: clip final predictions at a floor of zero and a ceiling at a defensible upper percentile to directly address the negative-prediction and extreme-value issues identified in Section 4.2.</w:t>
      </w:r>
    </w:p>
    <w:p w14:paraId="5B9DC4CB" w14:textId="77777777" w:rsidR="00411597" w:rsidRDefault="00000000">
      <w:pPr>
        <w:pStyle w:val="ListParagraph"/>
        <w:numPr>
          <w:ilvl w:val="0"/>
          <w:numId w:val="2"/>
        </w:numPr>
        <w:spacing w:after="80"/>
      </w:pPr>
      <w:r>
        <w:t xml:space="preserve">Model benchmarking against non-linear alternatives: fit Random Forest and </w:t>
      </w:r>
      <w:proofErr w:type="spellStart"/>
      <w:r>
        <w:t>XGBoost</w:t>
      </w:r>
      <w:proofErr w:type="spellEnd"/>
      <w:r>
        <w:t xml:space="preserve"> regressors on the identical RFM feature set and compare their held-out RMSE/MAE/R² against the linear baseline, directly testing whether the interpretability trade-off discussed in Section 1.1 is empirically justified for this dataset.</w:t>
      </w:r>
    </w:p>
    <w:p w14:paraId="4E9381AD" w14:textId="77777777" w:rsidR="00411597" w:rsidRDefault="00000000">
      <w:pPr>
        <w:pStyle w:val="ListParagraph"/>
        <w:numPr>
          <w:ilvl w:val="0"/>
          <w:numId w:val="2"/>
        </w:numPr>
        <w:spacing w:after="80"/>
      </w:pPr>
      <w:r>
        <w:t xml:space="preserve">Feature expansion: incorporate product-category diversity (breadth of unique </w:t>
      </w:r>
      <w:proofErr w:type="spellStart"/>
      <w:r>
        <w:t>StockCode</w:t>
      </w:r>
      <w:proofErr w:type="spellEnd"/>
      <w:r>
        <w:t xml:space="preserve"> values purchased), average order value, days-since-first-purchase (customer tenure), and month-of-year seasonality indicators, all of which are computable from the existing raw transaction schema (Table 2.1) without requiring new data collection.</w:t>
      </w:r>
    </w:p>
    <w:p w14:paraId="0BE2B333" w14:textId="77777777" w:rsidR="00411597" w:rsidRDefault="00000000">
      <w:pPr>
        <w:pStyle w:val="ListParagraph"/>
        <w:numPr>
          <w:ilvl w:val="0"/>
          <w:numId w:val="2"/>
        </w:numPr>
        <w:spacing w:after="80"/>
      </w:pPr>
      <w:r>
        <w:t xml:space="preserve">Multicollinearity diagnostics: formally test Variance Inflation Factors (VIF) for the Frequency and Monetary predictors, given their observed correlation of 0.73 (Section 5.5), and consider a </w:t>
      </w:r>
      <w:proofErr w:type="spellStart"/>
      <w:r>
        <w:t>regularised</w:t>
      </w:r>
      <w:proofErr w:type="spellEnd"/>
      <w:r>
        <w:t xml:space="preserve"> regression (Ridge/Lasso) if VIF indicates unstable coefficient estimates.</w:t>
      </w:r>
    </w:p>
    <w:p w14:paraId="13016DD8" w14:textId="77777777" w:rsidR="00411597" w:rsidRDefault="00000000">
      <w:pPr>
        <w:pStyle w:val="ListParagraph"/>
        <w:numPr>
          <w:ilvl w:val="0"/>
          <w:numId w:val="2"/>
        </w:numPr>
        <w:spacing w:after="80"/>
      </w:pPr>
      <w:r>
        <w:t>Sensitivity analysis on the temporal cutoff: re-run the full pipeline with alternative past/future split ratios (e.g., 70/30, 80/20) and alternative forecast horizons (six and twelve months) to test whether the reported findings are robust to this modelling choice, addressing the construct-validity concern raised in Section 4.3.</w:t>
      </w:r>
    </w:p>
    <w:p w14:paraId="38DFA16E" w14:textId="77777777" w:rsidR="00411597" w:rsidRDefault="00000000">
      <w:pPr>
        <w:pStyle w:val="ListParagraph"/>
        <w:numPr>
          <w:ilvl w:val="0"/>
          <w:numId w:val="2"/>
        </w:numPr>
        <w:spacing w:after="80"/>
      </w:pPr>
      <w:r>
        <w:t>K-means clustering as a complementary segmentation method: implement the optional advanced segmentation step referenced in the original project roadmap (</w:t>
      </w:r>
      <w:proofErr w:type="gramStart"/>
      <w:r>
        <w:t>stats::</w:t>
      </w:r>
      <w:proofErr w:type="spellStart"/>
      <w:proofErr w:type="gramEnd"/>
      <w:r>
        <w:t>kmeans</w:t>
      </w:r>
      <w:proofErr w:type="spellEnd"/>
      <w:r>
        <w:t xml:space="preserve"> on </w:t>
      </w:r>
      <w:proofErr w:type="spellStart"/>
      <w:r>
        <w:t>standardised</w:t>
      </w:r>
      <w:proofErr w:type="spellEnd"/>
      <w:r>
        <w:t xml:space="preserve"> RFM features) and compare the resulting clusters against the quantile-based segments in Section 6 for consistency.</w:t>
      </w:r>
    </w:p>
    <w:p w14:paraId="7640C802" w14:textId="77777777" w:rsidR="00411597" w:rsidRDefault="00000000">
      <w:pPr>
        <w:pStyle w:val="Heading1"/>
        <w:pBdr>
          <w:bottom w:val="single" w:sz="6" w:space="4" w:color="1F3A5F"/>
        </w:pBdr>
      </w:pPr>
      <w:bookmarkStart w:id="23" w:name="_Toc234425842"/>
      <w:r>
        <w:t>7.0 Conclusion</w:t>
      </w:r>
      <w:bookmarkEnd w:id="23"/>
    </w:p>
    <w:p w14:paraId="2E45E6C5" w14:textId="77777777" w:rsidR="00411597" w:rsidRDefault="00000000">
      <w:pPr>
        <w:spacing w:after="160" w:line="300" w:lineRule="auto"/>
        <w:jc w:val="both"/>
      </w:pPr>
      <w:r>
        <w:rPr>
          <w:color w:val="222222"/>
        </w:rPr>
        <w:t xml:space="preserve">This project has demonstrated a complete, methodologically disciplined pipeline for Customer Lifetime Value estimation, beginning with 541,909 raw e-commerce transaction records and concluding with a deployed, three-month forward-looking income prediction for 3,287 customers. The work is distinguished not by algorithmic complexity — the final model is an interpretable multiple linear regression — but by the </w:t>
      </w:r>
      <w:proofErr w:type="spellStart"/>
      <w:r>
        <w:rPr>
          <w:color w:val="222222"/>
        </w:rPr>
        <w:t>rigour</w:t>
      </w:r>
      <w:proofErr w:type="spellEnd"/>
      <w:r>
        <w:rPr>
          <w:color w:val="222222"/>
        </w:rPr>
        <w:t xml:space="preserve"> applied at every preceding stage: transparent, quantified data cleaning; a leakage-safe temporal target construction; theoretically grounded RFM feature engineering; and an iterative, diagnostics-driven model refinement process that explicitly examined and responded to outlier influence.</w:t>
      </w:r>
    </w:p>
    <w:p w14:paraId="4AB2D8BA" w14:textId="77777777" w:rsidR="00411597" w:rsidRDefault="00000000">
      <w:pPr>
        <w:spacing w:after="160" w:line="300" w:lineRule="auto"/>
        <w:jc w:val="both"/>
      </w:pPr>
      <w:r>
        <w:rPr>
          <w:color w:val="222222"/>
        </w:rPr>
        <w:lastRenderedPageBreak/>
        <w:t xml:space="preserve">The empirical findings carry direct commercial significance. Predicted future value is dramatically more concentrated than customer headcount, with the top decile of customers projected to generate 92.8% of near-term revenue, a pattern that should reorient marketing resource allocation away from an even, headcount-proportional strategy and toward value-weighted </w:t>
      </w:r>
      <w:proofErr w:type="spellStart"/>
      <w:r>
        <w:rPr>
          <w:color w:val="222222"/>
        </w:rPr>
        <w:t>prioritisation</w:t>
      </w:r>
      <w:proofErr w:type="spellEnd"/>
      <w:r>
        <w:rPr>
          <w:color w:val="222222"/>
        </w:rPr>
        <w:t>. At the same time, this documentation has not shied away from identifying the model's genuine limitations — back-transformation-driven extreme predictions, a small number of economically implausible negative predictions, an unquantified single-split evaluation, and the absence of a permanently logged held-out performance figure — each of which is addressed with a concrete, actionable remediation in Sections 10 and 12.</w:t>
      </w:r>
    </w:p>
    <w:p w14:paraId="4A312426" w14:textId="77777777" w:rsidR="00411597" w:rsidRDefault="00000000">
      <w:pPr>
        <w:spacing w:after="160" w:line="300" w:lineRule="auto"/>
        <w:jc w:val="both"/>
      </w:pPr>
      <w:r>
        <w:rPr>
          <w:color w:val="222222"/>
        </w:rPr>
        <w:t xml:space="preserve">In sum, this study supports the conclusion that a carefully engineered, interpretable RFM-based linear model is a legitimate and defensible foundation for a retail CLV system, provided the specific limitations identified here are remediated before the model's outputs are used for unsupervised financial planning. The segmentation and recommendation framework developed in Sections 6 and 11 is immediately actionable by a marketing team, while the future-work agenda in Section 6 provides a clear, </w:t>
      </w:r>
      <w:proofErr w:type="spellStart"/>
      <w:r>
        <w:rPr>
          <w:color w:val="222222"/>
        </w:rPr>
        <w:t>prioritised</w:t>
      </w:r>
      <w:proofErr w:type="spellEnd"/>
      <w:r>
        <w:rPr>
          <w:color w:val="222222"/>
        </w:rPr>
        <w:t xml:space="preserve"> roadmap for extending this baseline into a more robust, production-grade CLV system.</w:t>
      </w:r>
    </w:p>
    <w:p w14:paraId="5A4491B5" w14:textId="77777777" w:rsidR="00411597" w:rsidRDefault="00000000">
      <w:r>
        <w:br w:type="page"/>
      </w:r>
    </w:p>
    <w:sectPr w:rsidR="0041159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B1AC3" w14:textId="77777777" w:rsidR="00BA623E" w:rsidRDefault="00BA623E">
      <w:r>
        <w:separator/>
      </w:r>
    </w:p>
  </w:endnote>
  <w:endnote w:type="continuationSeparator" w:id="0">
    <w:p w14:paraId="53227FDE" w14:textId="77777777" w:rsidR="00BA623E" w:rsidRDefault="00BA6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2724" w14:textId="77777777" w:rsidR="00411597" w:rsidRDefault="00000000">
    <w:pPr>
      <w:jc w:val="center"/>
    </w:pP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5E3A81">
      <w:rPr>
        <w:noProof/>
        <w:color w:val="444444"/>
        <w:sz w:val="16"/>
        <w:szCs w:val="16"/>
      </w:rPr>
      <w:t>1</w:t>
    </w:r>
    <w:r>
      <w:rPr>
        <w:color w:val="444444"/>
        <w:sz w:val="16"/>
        <w:szCs w:val="16"/>
      </w:rPr>
      <w:fldChar w:fldCharType="end"/>
    </w:r>
    <w:r>
      <w:rPr>
        <w:color w:val="444444"/>
        <w:sz w:val="16"/>
        <w:szCs w:val="16"/>
      </w:rPr>
      <w:t xml:space="preserve"> of </w:t>
    </w:r>
    <w:r>
      <w:rPr>
        <w:color w:val="444444"/>
        <w:sz w:val="16"/>
        <w:szCs w:val="16"/>
      </w:rPr>
      <w:fldChar w:fldCharType="begin"/>
    </w:r>
    <w:r>
      <w:rPr>
        <w:color w:val="444444"/>
        <w:sz w:val="16"/>
        <w:szCs w:val="16"/>
      </w:rPr>
      <w:instrText>NUMPAGES</w:instrText>
    </w:r>
    <w:r>
      <w:rPr>
        <w:color w:val="444444"/>
        <w:sz w:val="16"/>
        <w:szCs w:val="16"/>
      </w:rPr>
      <w:fldChar w:fldCharType="separate"/>
    </w:r>
    <w:r w:rsidR="005E3A81">
      <w:rPr>
        <w:noProof/>
        <w:color w:val="444444"/>
        <w:sz w:val="16"/>
        <w:szCs w:val="16"/>
      </w:rPr>
      <w:t>1</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E13AA" w14:textId="77777777" w:rsidR="00BA623E" w:rsidRDefault="00BA623E">
      <w:r>
        <w:separator/>
      </w:r>
    </w:p>
  </w:footnote>
  <w:footnote w:type="continuationSeparator" w:id="0">
    <w:p w14:paraId="414C2E7B" w14:textId="77777777" w:rsidR="00BA623E" w:rsidRDefault="00BA6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4AD3" w14:textId="77777777" w:rsidR="00411597" w:rsidRDefault="00000000">
    <w:pPr>
      <w:jc w:val="right"/>
    </w:pPr>
    <w:r>
      <w:rPr>
        <w:i/>
        <w:iCs/>
        <w:color w:val="444444"/>
        <w:sz w:val="16"/>
        <w:szCs w:val="16"/>
      </w:rPr>
      <w:t>Customer Lifetime Value Prediction — Data Science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21B49"/>
    <w:multiLevelType w:val="hybridMultilevel"/>
    <w:tmpl w:val="309409E2"/>
    <w:lvl w:ilvl="0" w:tplc="94D66AF2">
      <w:start w:val="1"/>
      <w:numFmt w:val="bullet"/>
      <w:lvlText w:val="●"/>
      <w:lvlJc w:val="left"/>
      <w:pPr>
        <w:ind w:left="720" w:hanging="360"/>
      </w:pPr>
    </w:lvl>
    <w:lvl w:ilvl="1" w:tplc="4E94DD80">
      <w:start w:val="1"/>
      <w:numFmt w:val="bullet"/>
      <w:lvlText w:val="○"/>
      <w:lvlJc w:val="left"/>
      <w:pPr>
        <w:ind w:left="1440" w:hanging="360"/>
      </w:pPr>
    </w:lvl>
    <w:lvl w:ilvl="2" w:tplc="16869490">
      <w:start w:val="1"/>
      <w:numFmt w:val="bullet"/>
      <w:lvlText w:val="■"/>
      <w:lvlJc w:val="left"/>
      <w:pPr>
        <w:ind w:left="2160" w:hanging="360"/>
      </w:pPr>
    </w:lvl>
    <w:lvl w:ilvl="3" w:tplc="FB14D87E">
      <w:start w:val="1"/>
      <w:numFmt w:val="bullet"/>
      <w:lvlText w:val="●"/>
      <w:lvlJc w:val="left"/>
      <w:pPr>
        <w:ind w:left="2880" w:hanging="360"/>
      </w:pPr>
    </w:lvl>
    <w:lvl w:ilvl="4" w:tplc="F046569E">
      <w:start w:val="1"/>
      <w:numFmt w:val="bullet"/>
      <w:lvlText w:val="○"/>
      <w:lvlJc w:val="left"/>
      <w:pPr>
        <w:ind w:left="3600" w:hanging="360"/>
      </w:pPr>
    </w:lvl>
    <w:lvl w:ilvl="5" w:tplc="5894A796">
      <w:start w:val="1"/>
      <w:numFmt w:val="bullet"/>
      <w:lvlText w:val="■"/>
      <w:lvlJc w:val="left"/>
      <w:pPr>
        <w:ind w:left="4320" w:hanging="360"/>
      </w:pPr>
    </w:lvl>
    <w:lvl w:ilvl="6" w:tplc="C66A659A">
      <w:start w:val="1"/>
      <w:numFmt w:val="bullet"/>
      <w:lvlText w:val="●"/>
      <w:lvlJc w:val="left"/>
      <w:pPr>
        <w:ind w:left="5040" w:hanging="360"/>
      </w:pPr>
    </w:lvl>
    <w:lvl w:ilvl="7" w:tplc="1CF4209E">
      <w:start w:val="1"/>
      <w:numFmt w:val="bullet"/>
      <w:lvlText w:val="●"/>
      <w:lvlJc w:val="left"/>
      <w:pPr>
        <w:ind w:left="5760" w:hanging="360"/>
      </w:pPr>
    </w:lvl>
    <w:lvl w:ilvl="8" w:tplc="D1100B36">
      <w:start w:val="1"/>
      <w:numFmt w:val="bullet"/>
      <w:lvlText w:val="●"/>
      <w:lvlJc w:val="left"/>
      <w:pPr>
        <w:ind w:left="6480" w:hanging="360"/>
      </w:pPr>
    </w:lvl>
  </w:abstractNum>
  <w:abstractNum w:abstractNumId="1" w15:restartNumberingAfterBreak="0">
    <w:nsid w:val="5E0660F6"/>
    <w:multiLevelType w:val="hybridMultilevel"/>
    <w:tmpl w:val="30F45334"/>
    <w:lvl w:ilvl="0" w:tplc="57F829D0">
      <w:start w:val="1"/>
      <w:numFmt w:val="bullet"/>
      <w:lvlText w:val="●"/>
      <w:lvlJc w:val="left"/>
      <w:pPr>
        <w:ind w:left="720" w:hanging="360"/>
      </w:pPr>
    </w:lvl>
    <w:lvl w:ilvl="1" w:tplc="5812207C">
      <w:start w:val="1"/>
      <w:numFmt w:val="bullet"/>
      <w:lvlText w:val="○"/>
      <w:lvlJc w:val="left"/>
      <w:pPr>
        <w:ind w:left="1080" w:hanging="360"/>
      </w:pPr>
    </w:lvl>
    <w:lvl w:ilvl="2" w:tplc="8A86DBE2">
      <w:numFmt w:val="decimal"/>
      <w:lvlText w:val=""/>
      <w:lvlJc w:val="left"/>
    </w:lvl>
    <w:lvl w:ilvl="3" w:tplc="F12A8974">
      <w:numFmt w:val="decimal"/>
      <w:lvlText w:val=""/>
      <w:lvlJc w:val="left"/>
    </w:lvl>
    <w:lvl w:ilvl="4" w:tplc="C7A0D658">
      <w:numFmt w:val="decimal"/>
      <w:lvlText w:val=""/>
      <w:lvlJc w:val="left"/>
    </w:lvl>
    <w:lvl w:ilvl="5" w:tplc="6BCA87D4">
      <w:numFmt w:val="decimal"/>
      <w:lvlText w:val=""/>
      <w:lvlJc w:val="left"/>
    </w:lvl>
    <w:lvl w:ilvl="6" w:tplc="4F76D444">
      <w:numFmt w:val="decimal"/>
      <w:lvlText w:val=""/>
      <w:lvlJc w:val="left"/>
    </w:lvl>
    <w:lvl w:ilvl="7" w:tplc="F014E2A2">
      <w:numFmt w:val="decimal"/>
      <w:lvlText w:val=""/>
      <w:lvlJc w:val="left"/>
    </w:lvl>
    <w:lvl w:ilvl="8" w:tplc="DD34B738">
      <w:numFmt w:val="decimal"/>
      <w:lvlText w:val=""/>
      <w:lvlJc w:val="left"/>
    </w:lvl>
  </w:abstractNum>
  <w:num w:numId="1" w16cid:durableId="479537705">
    <w:abstractNumId w:val="0"/>
    <w:lvlOverride w:ilvl="0">
      <w:startOverride w:val="1"/>
    </w:lvlOverride>
  </w:num>
  <w:num w:numId="2" w16cid:durableId="19358179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597"/>
    <w:rsid w:val="001C6E18"/>
    <w:rsid w:val="00320FF8"/>
    <w:rsid w:val="003459AC"/>
    <w:rsid w:val="00411597"/>
    <w:rsid w:val="004B7983"/>
    <w:rsid w:val="005E3A81"/>
    <w:rsid w:val="00731D79"/>
    <w:rsid w:val="007325E9"/>
    <w:rsid w:val="0073416E"/>
    <w:rsid w:val="00877C68"/>
    <w:rsid w:val="009C649E"/>
    <w:rsid w:val="00BA623E"/>
    <w:rsid w:val="00D55B94"/>
    <w:rsid w:val="00D57AEE"/>
    <w:rsid w:val="00ED535F"/>
    <w:rsid w:val="00EF3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EE913"/>
  <w15:docId w15:val="{551647E6-9F84-491D-9756-57C266DFA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A5F"/>
      <w:sz w:val="30"/>
      <w:szCs w:val="30"/>
    </w:rPr>
  </w:style>
  <w:style w:type="paragraph" w:styleId="Heading2">
    <w:name w:val="heading 2"/>
    <w:uiPriority w:val="9"/>
    <w:unhideWhenUsed/>
    <w:qFormat/>
    <w:pPr>
      <w:spacing w:before="300" w:after="150"/>
      <w:outlineLvl w:val="1"/>
    </w:pPr>
    <w:rPr>
      <w:b/>
      <w:bCs/>
      <w:color w:val="1F3A5F"/>
      <w:sz w:val="25"/>
      <w:szCs w:val="25"/>
    </w:rPr>
  </w:style>
  <w:style w:type="paragraph" w:styleId="Heading3">
    <w:name w:val="heading 3"/>
    <w:uiPriority w:val="9"/>
    <w:semiHidden/>
    <w:unhideWhenUsed/>
    <w:qFormat/>
    <w:pPr>
      <w:spacing w:before="200" w:after="100"/>
      <w:outlineLvl w:val="2"/>
    </w:pPr>
    <w:rPr>
      <w:b/>
      <w:bCs/>
      <w:color w:val="2C7A7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3A81"/>
    <w:pPr>
      <w:spacing w:after="100"/>
    </w:pPr>
  </w:style>
  <w:style w:type="paragraph" w:styleId="TOC2">
    <w:name w:val="toc 2"/>
    <w:basedOn w:val="Normal"/>
    <w:next w:val="Normal"/>
    <w:autoRedefine/>
    <w:uiPriority w:val="39"/>
    <w:unhideWhenUsed/>
    <w:rsid w:val="005E3A8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20</Pages>
  <Words>5914</Words>
  <Characters>33716</Characters>
  <Application>Microsoft Office Word</Application>
  <DocSecurity>0</DocSecurity>
  <Lines>280</Lines>
  <Paragraphs>79</Paragraphs>
  <ScaleCrop>false</ScaleCrop>
  <Company/>
  <LinksUpToDate>false</LinksUpToDate>
  <CharactersWithSpaces>39551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Haseeb Khan</cp:lastModifiedBy>
  <cp:revision>8</cp:revision>
  <dcterms:created xsi:type="dcterms:W3CDTF">2026-07-08T10:29:00Z</dcterms:created>
  <dcterms:modified xsi:type="dcterms:W3CDTF">2026-08-27T15:01:00Z</dcterms:modified>
</cp:coreProperties>
</file>