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5321FC" w14:textId="77777777" w:rsidR="00671C7A" w:rsidRPr="00671C7A" w:rsidRDefault="00671C7A" w:rsidP="00671C7A">
      <w:r w:rsidRPr="00671C7A">
        <w:fldChar w:fldCharType="begin"/>
      </w:r>
      <w:r w:rsidRPr="00671C7A">
        <w:instrText>HYPERLINK "https://lms.alnafi.com/xblock/block-v1:alnafi+DCCS102+2025_DCCS+type@vertical+block@2ec54b6aac1a46789d44a13c642ae143?exam_access=&amp;recheck_access=1&amp;show_bookmark=0&amp;show_title=0&amp;view=student_view" \l "main"</w:instrText>
      </w:r>
      <w:r w:rsidRPr="00671C7A">
        <w:fldChar w:fldCharType="separate"/>
      </w:r>
      <w:r w:rsidRPr="00671C7A">
        <w:rPr>
          <w:rStyle w:val="Hyperlink"/>
        </w:rPr>
        <w:t>Skip to main content</w:t>
      </w:r>
      <w:r w:rsidRPr="00671C7A">
        <w:fldChar w:fldCharType="end"/>
      </w:r>
    </w:p>
    <w:p w14:paraId="4B4BBD01" w14:textId="77777777" w:rsidR="00671C7A" w:rsidRPr="00671C7A" w:rsidRDefault="00671C7A" w:rsidP="00671C7A">
      <w:r w:rsidRPr="00671C7A">
        <w:t>Reference </w:t>
      </w:r>
      <w:hyperlink r:id="rId4" w:history="1">
        <w:r w:rsidRPr="00671C7A">
          <w:rPr>
            <w:rStyle w:val="Hyperlink"/>
          </w:rPr>
          <w:t>https://www.whitecase.com/publications/webinar/cybersecurity-risk-top-5-strategies-build-resilience</w:t>
        </w:r>
      </w:hyperlink>
    </w:p>
    <w:p w14:paraId="339E9DF7" w14:textId="77777777" w:rsidR="00671C7A" w:rsidRPr="00671C7A" w:rsidRDefault="00671C7A" w:rsidP="00671C7A">
      <w:r w:rsidRPr="00671C7A">
        <w:t>                      Cybersecurity: Legal implications and risk management                  </w:t>
      </w:r>
    </w:p>
    <w:p w14:paraId="671ED4F6" w14:textId="77777777" w:rsidR="00671C7A" w:rsidRPr="00671C7A" w:rsidRDefault="00671C7A" w:rsidP="00671C7A">
      <w:r w:rsidRPr="00671C7A">
        <w:t>                                                                    </w:t>
      </w:r>
    </w:p>
    <w:p w14:paraId="24DCBF1B" w14:textId="412CC041" w:rsidR="00671C7A" w:rsidRPr="00671C7A" w:rsidRDefault="00671C7A" w:rsidP="00671C7A">
      <w:r w:rsidRPr="00671C7A">
        <w:t>               </w:t>
      </w:r>
      <w:r w:rsidRPr="00671C7A">
        <w:drawing>
          <wp:inline distT="0" distB="0" distL="0" distR="0" wp14:anchorId="37123C34" wp14:editId="6B01E020">
            <wp:extent cx="5943600" cy="2228850"/>
            <wp:effectExtent l="0" t="0" r="0" b="0"/>
            <wp:docPr id="7099847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1C7A">
        <w:t>                                              </w:t>
      </w:r>
    </w:p>
    <w:p w14:paraId="439C2B33" w14:textId="77777777" w:rsidR="00671C7A" w:rsidRPr="00671C7A" w:rsidRDefault="00671C7A" w:rsidP="00671C7A">
      <w:pPr>
        <w:rPr>
          <w:b/>
          <w:bCs/>
        </w:rPr>
      </w:pPr>
      <w:r w:rsidRPr="00671C7A">
        <w:rPr>
          <w:b/>
          <w:bCs/>
        </w:rPr>
        <w:t>Cybersecurity Risk: Top 5 strategies to build resilience</w:t>
      </w:r>
    </w:p>
    <w:p w14:paraId="59322CCD" w14:textId="77777777" w:rsidR="00671C7A" w:rsidRPr="00671C7A" w:rsidRDefault="00671C7A" w:rsidP="00671C7A">
      <w:r w:rsidRPr="00671C7A">
        <w:t>  </w:t>
      </w:r>
    </w:p>
    <w:p w14:paraId="74ED962D" w14:textId="77777777" w:rsidR="00671C7A" w:rsidRPr="00671C7A" w:rsidRDefault="00671C7A" w:rsidP="00671C7A">
      <w:pPr>
        <w:rPr>
          <w:b/>
          <w:bCs/>
        </w:rPr>
      </w:pPr>
      <w:hyperlink r:id="rId6" w:history="1">
        <w:r w:rsidRPr="00671C7A">
          <w:rPr>
            <w:rStyle w:val="Hyperlink"/>
            <w:b/>
            <w:bCs/>
          </w:rPr>
          <w:t>World in Transition</w:t>
        </w:r>
      </w:hyperlink>
    </w:p>
    <w:p w14:paraId="59A73727" w14:textId="77777777" w:rsidR="00671C7A" w:rsidRPr="00671C7A" w:rsidRDefault="00671C7A" w:rsidP="00671C7A">
      <w:r w:rsidRPr="00671C7A">
        <w:t>Our views on changing dynamics in energy, ESG, finance, globalization and US policy.</w:t>
      </w:r>
    </w:p>
    <w:p w14:paraId="7EFBC847" w14:textId="77777777" w:rsidR="00671C7A" w:rsidRPr="00671C7A" w:rsidRDefault="00671C7A" w:rsidP="00671C7A">
      <w:r w:rsidRPr="00671C7A">
        <w:t> </w:t>
      </w:r>
    </w:p>
    <w:p w14:paraId="1C3F4854" w14:textId="77777777" w:rsidR="00671C7A" w:rsidRPr="00671C7A" w:rsidRDefault="00671C7A" w:rsidP="00671C7A">
      <w:r w:rsidRPr="00671C7A">
        <w:t xml:space="preserve">The fourth webinar in our 2020 Autumn Webinar Series covered </w:t>
      </w:r>
      <w:proofErr w:type="gramStart"/>
      <w:r w:rsidRPr="00671C7A">
        <w:t>crucial  steps</w:t>
      </w:r>
      <w:proofErr w:type="gramEnd"/>
      <w:r w:rsidRPr="00671C7A">
        <w:t xml:space="preserve"> you should be taking to protect against cybersecurity threats </w:t>
      </w:r>
      <w:proofErr w:type="gramStart"/>
      <w:r w:rsidRPr="00671C7A">
        <w:t>and  what</w:t>
      </w:r>
      <w:proofErr w:type="gramEnd"/>
      <w:r w:rsidRPr="00671C7A">
        <w:t xml:space="preserve"> you should do when disaster strikes. Based on real examples, </w:t>
      </w:r>
      <w:proofErr w:type="gramStart"/>
      <w:r w:rsidRPr="00671C7A">
        <w:t>our  panel</w:t>
      </w:r>
      <w:proofErr w:type="gramEnd"/>
      <w:r w:rsidRPr="00671C7A">
        <w:t xml:space="preserve"> spoke about lessons learned in 2020, looking at what organizations get right – and what often goes wrong.</w:t>
      </w:r>
    </w:p>
    <w:p w14:paraId="42C66DCC" w14:textId="77777777" w:rsidR="00671C7A" w:rsidRPr="00671C7A" w:rsidRDefault="00671C7A" w:rsidP="00671C7A">
      <w:r w:rsidRPr="00671C7A">
        <w:t xml:space="preserve">Cybersecurity attacks are increasing, as are their sophistication and the consequences. Exacerbated by an increasingly remote </w:t>
      </w:r>
      <w:proofErr w:type="gramStart"/>
      <w:r w:rsidRPr="00671C7A">
        <w:t>working  environment</w:t>
      </w:r>
      <w:proofErr w:type="gramEnd"/>
      <w:r w:rsidRPr="00671C7A">
        <w:t xml:space="preserve">, theft of information, impersonation, ransom </w:t>
      </w:r>
      <w:proofErr w:type="gramStart"/>
      <w:r w:rsidRPr="00671C7A">
        <w:t>attacks,  inadequate</w:t>
      </w:r>
      <w:proofErr w:type="gramEnd"/>
      <w:r w:rsidRPr="00671C7A">
        <w:t xml:space="preserve"> vendor security and business email compromise are live </w:t>
      </w:r>
      <w:proofErr w:type="gramStart"/>
      <w:r w:rsidRPr="00671C7A">
        <w:t>risks  facing</w:t>
      </w:r>
      <w:proofErr w:type="gramEnd"/>
      <w:r w:rsidRPr="00671C7A">
        <w:t xml:space="preserve"> all </w:t>
      </w:r>
      <w:proofErr w:type="spellStart"/>
      <w:r w:rsidRPr="00671C7A">
        <w:t>organisations</w:t>
      </w:r>
      <w:proofErr w:type="spellEnd"/>
      <w:r w:rsidRPr="00671C7A">
        <w:t xml:space="preserve">, potentially leading to huge regulatory </w:t>
      </w:r>
      <w:proofErr w:type="gramStart"/>
      <w:r w:rsidRPr="00671C7A">
        <w:t>fines  and</w:t>
      </w:r>
      <w:proofErr w:type="gramEnd"/>
      <w:r w:rsidRPr="00671C7A">
        <w:t xml:space="preserve"> significant falls in share prices.  </w:t>
      </w:r>
    </w:p>
    <w:p w14:paraId="516EF630" w14:textId="77777777" w:rsidR="00671C7A" w:rsidRPr="00671C7A" w:rsidRDefault="00671C7A" w:rsidP="00671C7A">
      <w:r w:rsidRPr="00671C7A">
        <w:t xml:space="preserve">White &amp; Case Partner Amanda Cowell moderated a panel of </w:t>
      </w:r>
      <w:proofErr w:type="gramStart"/>
      <w:r w:rsidRPr="00671C7A">
        <w:t>expert  speakers</w:t>
      </w:r>
      <w:proofErr w:type="gramEnd"/>
      <w:r w:rsidRPr="00671C7A">
        <w:t xml:space="preserve"> from legal &amp; regulatory, consulting and </w:t>
      </w:r>
      <w:proofErr w:type="gramStart"/>
      <w:r w:rsidRPr="00671C7A">
        <w:t>industry  backgrounds</w:t>
      </w:r>
      <w:proofErr w:type="gramEnd"/>
      <w:r w:rsidRPr="00671C7A">
        <w:t xml:space="preserve">, as they discussed what you should be doing to protect </w:t>
      </w:r>
      <w:proofErr w:type="gramStart"/>
      <w:r w:rsidRPr="00671C7A">
        <w:t>your  </w:t>
      </w:r>
      <w:proofErr w:type="spellStart"/>
      <w:r w:rsidRPr="00671C7A">
        <w:t>organisation</w:t>
      </w:r>
      <w:proofErr w:type="spellEnd"/>
      <w:proofErr w:type="gramEnd"/>
      <w:r w:rsidRPr="00671C7A">
        <w:t xml:space="preserve">, the warning signs you may be missing, and how to deal with the reality of a cyber-attack. Our panelists discussed what works, </w:t>
      </w:r>
      <w:proofErr w:type="gramStart"/>
      <w:r w:rsidRPr="00671C7A">
        <w:t>how  mistakes</w:t>
      </w:r>
      <w:proofErr w:type="gramEnd"/>
      <w:r w:rsidRPr="00671C7A">
        <w:t xml:space="preserve"> are made and identified the key changes you can make to </w:t>
      </w:r>
      <w:proofErr w:type="gramStart"/>
      <w:r w:rsidRPr="00671C7A">
        <w:t>ensure  your</w:t>
      </w:r>
      <w:proofErr w:type="gramEnd"/>
      <w:r w:rsidRPr="00671C7A">
        <w:t xml:space="preserve"> business is better protected.</w:t>
      </w:r>
    </w:p>
    <w:p w14:paraId="28E7696E" w14:textId="77777777" w:rsidR="00671C7A" w:rsidRPr="00671C7A" w:rsidRDefault="00671C7A" w:rsidP="00671C7A">
      <w:hyperlink r:id="rId7" w:tgtFrame="_blank" w:history="1">
        <w:r w:rsidRPr="00671C7A">
          <w:rPr>
            <w:rStyle w:val="Hyperlink"/>
            <w:b/>
            <w:bCs/>
          </w:rPr>
          <w:t>Watch in full: "Cybersecurity Risk: Top 5 strategies to build resilience"</w:t>
        </w:r>
      </w:hyperlink>
    </w:p>
    <w:p w14:paraId="50C45A35" w14:textId="77777777" w:rsidR="00671C7A" w:rsidRPr="00671C7A" w:rsidRDefault="00671C7A" w:rsidP="00671C7A">
      <w:r w:rsidRPr="00671C7A">
        <w:t> </w:t>
      </w:r>
    </w:p>
    <w:p w14:paraId="17C57467" w14:textId="77777777" w:rsidR="00671C7A" w:rsidRPr="00671C7A" w:rsidRDefault="00671C7A" w:rsidP="00671C7A">
      <w:hyperlink r:id="rId8" w:tgtFrame="_blank" w:history="1">
        <w:r w:rsidRPr="00671C7A">
          <w:rPr>
            <w:rStyle w:val="Hyperlink"/>
            <w:b/>
            <w:bCs/>
          </w:rPr>
          <w:t>See findings from the webinar presented in the graphic below.</w:t>
        </w:r>
      </w:hyperlink>
    </w:p>
    <w:p w14:paraId="0D0F6265" w14:textId="5CDAA2A7" w:rsidR="00671C7A" w:rsidRPr="00671C7A" w:rsidRDefault="00671C7A" w:rsidP="00671C7A">
      <w:hyperlink r:id="rId9" w:tgtFrame="_blank" w:history="1">
        <w:r w:rsidRPr="00671C7A">
          <w:rPr>
            <w:rStyle w:val="Hyperlink"/>
          </w:rPr>
          <w:t>          </w:t>
        </w:r>
        <w:r w:rsidRPr="00671C7A">
          <w:rPr>
            <w:rStyle w:val="Hyperlink"/>
          </w:rPr>
          <w:drawing>
            <wp:inline distT="0" distB="0" distL="0" distR="0" wp14:anchorId="519C6172" wp14:editId="3A9763C0">
              <wp:extent cx="5943600" cy="3343275"/>
              <wp:effectExtent l="0" t="0" r="0" b="9525"/>
              <wp:docPr id="1835719931" name="Picture 3" descr="Cybersecurity Risk: Top 5 strategies to build resilience">
                <a:hlinkClick xmlns:a="http://schemas.openxmlformats.org/drawingml/2006/main" r:id="rId9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" descr="Cybersecurity Risk: Top 5 strategies to build resilience">
                        <a:hlinkClick r:id="rId9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3343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223E8167" w14:textId="77777777" w:rsidR="00671C7A" w:rsidRPr="00671C7A" w:rsidRDefault="00671C7A" w:rsidP="00671C7A">
      <w:r w:rsidRPr="00671C7A">
        <w:t> </w:t>
      </w:r>
    </w:p>
    <w:p w14:paraId="58C9BC37" w14:textId="77777777" w:rsidR="0000111E" w:rsidRDefault="0000111E"/>
    <w:sectPr w:rsidR="000011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EDC"/>
    <w:rsid w:val="0000111E"/>
    <w:rsid w:val="00457EDC"/>
    <w:rsid w:val="005E4A76"/>
    <w:rsid w:val="00671C7A"/>
    <w:rsid w:val="0072345A"/>
    <w:rsid w:val="008B63F7"/>
    <w:rsid w:val="00984DF0"/>
    <w:rsid w:val="00CB68ED"/>
    <w:rsid w:val="00F332BF"/>
    <w:rsid w:val="00FF3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97C0B3-6843-464E-9571-926F9687C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4DF0"/>
    <w:pPr>
      <w:spacing w:line="259" w:lineRule="auto"/>
      <w:jc w:val="both"/>
    </w:pPr>
    <w:rPr>
      <w:rFonts w:ascii="Times New Roman" w:hAnsi="Times New Roman"/>
      <w:kern w:val="0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4A76"/>
    <w:pPr>
      <w:keepNext/>
      <w:keepLines/>
      <w:spacing w:before="360" w:after="80"/>
      <w:outlineLvl w:val="0"/>
    </w:pPr>
    <w:rPr>
      <w:rFonts w:eastAsiaTheme="majorEastAsia" w:cstheme="majorBidi"/>
      <w:b/>
      <w:color w:val="0F4761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4A76"/>
    <w:pPr>
      <w:keepNext/>
      <w:keepLines/>
      <w:spacing w:before="160" w:after="80"/>
      <w:outlineLvl w:val="1"/>
    </w:pPr>
    <w:rPr>
      <w:rFonts w:eastAsiaTheme="majorEastAsia" w:cstheme="majorBidi"/>
      <w:b/>
      <w:color w:val="0F4761" w:themeColor="accent1" w:themeShade="BF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E4A76"/>
    <w:pPr>
      <w:keepNext/>
      <w:keepLines/>
      <w:spacing w:before="160" w:after="80"/>
      <w:outlineLvl w:val="2"/>
    </w:pPr>
    <w:rPr>
      <w:rFonts w:eastAsiaTheme="majorEastAsia" w:cstheme="majorBidi"/>
      <w:b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7EDC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7ED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7EDC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7EDC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7EDC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7EDC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4A76"/>
    <w:rPr>
      <w:rFonts w:ascii="Times New Roman" w:eastAsiaTheme="majorEastAsia" w:hAnsi="Times New Roman" w:cstheme="majorBidi"/>
      <w:b/>
      <w:color w:val="0F4761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E4A76"/>
    <w:rPr>
      <w:rFonts w:ascii="Times New Roman" w:eastAsiaTheme="majorEastAsia" w:hAnsi="Times New Roman" w:cstheme="majorBidi"/>
      <w:b/>
      <w:color w:val="0F4761" w:themeColor="accent1" w:themeShade="BF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E4A76"/>
    <w:rPr>
      <w:rFonts w:ascii="Times New Roman" w:eastAsiaTheme="majorEastAsia" w:hAnsi="Times New Roman" w:cstheme="majorBidi"/>
      <w:b/>
      <w:color w:val="0F4761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7EDC"/>
    <w:rPr>
      <w:rFonts w:eastAsiaTheme="majorEastAsia" w:cstheme="majorBidi"/>
      <w:i/>
      <w:iCs/>
      <w:color w:val="0F4761" w:themeColor="accent1" w:themeShade="BF"/>
      <w:kern w:val="0"/>
      <w:szCs w:val="22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7EDC"/>
    <w:rPr>
      <w:rFonts w:eastAsiaTheme="majorEastAsia" w:cstheme="majorBidi"/>
      <w:color w:val="0F4761" w:themeColor="accent1" w:themeShade="BF"/>
      <w:kern w:val="0"/>
      <w:szCs w:val="22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7EDC"/>
    <w:rPr>
      <w:rFonts w:eastAsiaTheme="majorEastAsia" w:cstheme="majorBidi"/>
      <w:i/>
      <w:iCs/>
      <w:color w:val="595959" w:themeColor="text1" w:themeTint="A6"/>
      <w:kern w:val="0"/>
      <w:szCs w:val="22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7EDC"/>
    <w:rPr>
      <w:rFonts w:eastAsiaTheme="majorEastAsia" w:cstheme="majorBidi"/>
      <w:color w:val="595959" w:themeColor="text1" w:themeTint="A6"/>
      <w:kern w:val="0"/>
      <w:szCs w:val="22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7EDC"/>
    <w:rPr>
      <w:rFonts w:eastAsiaTheme="majorEastAsia" w:cstheme="majorBidi"/>
      <w:i/>
      <w:iCs/>
      <w:color w:val="272727" w:themeColor="text1" w:themeTint="D8"/>
      <w:kern w:val="0"/>
      <w:szCs w:val="22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7EDC"/>
    <w:rPr>
      <w:rFonts w:eastAsiaTheme="majorEastAsia" w:cstheme="majorBidi"/>
      <w:color w:val="272727" w:themeColor="text1" w:themeTint="D8"/>
      <w:kern w:val="0"/>
      <w:szCs w:val="22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457E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7EDC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7EDC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7EDC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457E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7EDC"/>
    <w:rPr>
      <w:rFonts w:ascii="Times New Roman" w:hAnsi="Times New Roman"/>
      <w:i/>
      <w:iCs/>
      <w:color w:val="404040" w:themeColor="text1" w:themeTint="BF"/>
      <w:kern w:val="0"/>
      <w:szCs w:val="22"/>
      <w14:ligatures w14:val="none"/>
    </w:rPr>
  </w:style>
  <w:style w:type="paragraph" w:styleId="ListParagraph">
    <w:name w:val="List Paragraph"/>
    <w:basedOn w:val="Normal"/>
    <w:uiPriority w:val="34"/>
    <w:qFormat/>
    <w:rsid w:val="00457E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7ED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7E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7EDC"/>
    <w:rPr>
      <w:rFonts w:ascii="Times New Roman" w:hAnsi="Times New Roman"/>
      <w:i/>
      <w:iCs/>
      <w:color w:val="0F4761" w:themeColor="accent1" w:themeShade="BF"/>
      <w:kern w:val="0"/>
      <w:szCs w:val="22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457ED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71C7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1C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hitecase.com/sites/default/files/2020-12/scribe-cybersecurity-risk-top-5-strategies-build-resilience.pdf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www.youtube.com/watch?v=Uc5eIsRRgZc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whitecase.com/node/93246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2.png"/><Relationship Id="rId4" Type="http://schemas.openxmlformats.org/officeDocument/2006/relationships/hyperlink" Target="https://www.whitecase.com/publications/webinar/cybersecurity-risk-top-5-strategies-build-resilience" TargetMode="External"/><Relationship Id="rId9" Type="http://schemas.openxmlformats.org/officeDocument/2006/relationships/hyperlink" Target="https://www.whitecase.com/sites/default/files/2020-12/scribe-cybersecurity-risk-top-5-strategies-build-resilience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386</Words>
  <Characters>2201</Characters>
  <Application>Microsoft Office Word</Application>
  <DocSecurity>0</DocSecurity>
  <Lines>18</Lines>
  <Paragraphs>5</Paragraphs>
  <ScaleCrop>false</ScaleCrop>
  <Company/>
  <LinksUpToDate>false</LinksUpToDate>
  <CharactersWithSpaces>2582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HASSAN</dc:creator>
  <cp:keywords/>
  <dc:description/>
  <cp:lastModifiedBy>AHMAD HASSAN</cp:lastModifiedBy>
  <cp:revision>2</cp:revision>
  <dcterms:created xsi:type="dcterms:W3CDTF">2025-08-12T20:53:00Z</dcterms:created>
  <dcterms:modified xsi:type="dcterms:W3CDTF">2025-08-12T20:54:00Z</dcterms:modified>
</cp:coreProperties>
</file>