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 - Assessment Report</w:t>
      </w:r>
    </w:p>
    <w:p>
      <w:pPr>
        <w:pStyle w:val="Heading1"/>
      </w:pPr>
      <w:r>
        <w:t>1. Validation and Split Approach</w:t>
      </w:r>
    </w:p>
    <w:p>
      <w:r>
        <w:t>The primary challenge of this dataset is that the target predictions are strictly in the future (validation.csv covers November and December 2025, while train_test.csv covers January to October 2025). Therefore, random K-fold cross-validation would cause data leakage by allowing the model to peek at future market regimes, artificially inflating accuracy.</w:t>
      </w:r>
    </w:p>
    <w:p>
      <w:r>
        <w:t>To combat this, the validation strategy relies on forward-chaining (rolling-origin) folds:</w:t>
        <w:br/>
        <w:t>- Fold 1: Train Jan-Apr, Test May-Jun</w:t>
        <w:br/>
        <w:t>- Fold 2: Train Jan-Jun, Test Jul-Aug</w:t>
        <w:br/>
        <w:t>- Fold 3: Train Jan-Aug, Test Sep-Oct (closest analogue to the final task)</w:t>
      </w:r>
    </w:p>
    <w:p>
      <w:r>
        <w:t>Furthermore, an exploratory data analysis revealed that 8 cities present in the validation set are entirely unseen in the training set. To ensure the model can handle this 'cold-start' geography problem, an additional holdout experiment was created by dropping 8 random cities from the training set and testing exclusively on them. Because the model uses geographical coordinates and Haversine distances rather than explicit city categorical IDs, it generalizes well to unseen regions.</w:t>
      </w:r>
    </w:p>
    <w:p>
      <w:pPr>
        <w:pStyle w:val="Heading1"/>
      </w:pPr>
      <w:r>
        <w:t>2. Model Architecture and Methodology</w:t>
      </w:r>
    </w:p>
    <w:p>
      <w:r>
        <w:t>The chosen model is an ensemble of 5 seed-bagged LightGBM regressors predicting the natural logarithm of the freight rate. LightGBM was selected because it naturally handles non-linear relationships (such as the log-log scaling of distance and rate) and mixed categorical/numerical data without requiring one-hot encoding.</w:t>
      </w:r>
    </w:p>
    <w:p>
      <w:r>
        <w:t>A Huber loss objective function was explicitly chosen. The training set contains a small percentage (~0.3%) of extreme rate outliers (e.g., highly anomalous rate-per-mile values). Huber loss is robust against these outliers, preventing them from skewing the decision trees.</w:t>
      </w:r>
    </w:p>
    <w:p>
      <w:pPr>
        <w:pStyle w:val="Heading1"/>
      </w:pPr>
      <w:r>
        <w:t>3. Expected Performance</w:t>
      </w:r>
    </w:p>
    <w:p>
      <w:r>
        <w:t>While the true labels for November and December are withheld, the model's expected performance can be estimated from the final temporal holdout (Sep-Oct). On this subset, the model achieves a Mean Absolute Percentage Error (MAPE) of 4.4%. When excluding extreme anomalies from the test set, the MAPE drops to 1.9%, indicating high confidence in the model's baseline predictions.</w:t>
      </w:r>
    </w:p>
    <w:p>
      <w:pPr>
        <w:pStyle w:val="Heading1"/>
      </w:pPr>
      <w:r>
        <w:t>4. December Prediction Chart</w:t>
      </w:r>
    </w:p>
    <w:p>
      <w:r>
        <w:t>Below is the fixed December prediction chart produced by the score.py evaluation script, showing the projected rates for a Dry Van load from Lexington to Fort Wayne across the month.</w:t>
      </w:r>
    </w:p>
    <w:p>
      <w:r>
        <w:drawing>
          <wp:inline xmlns:a="http://schemas.openxmlformats.org/drawingml/2006/main" xmlns:pic="http://schemas.openxmlformats.org/drawingml/2006/picture">
            <wp:extent cx="5486400" cy="1786934"/>
            <wp:docPr id="1" name="Picture 1"/>
            <wp:cNvGraphicFramePr>
              <a:graphicFrameLocks noChangeAspect="1"/>
            </wp:cNvGraphicFramePr>
            <a:graphic>
              <a:graphicData uri="http://schemas.openxmlformats.org/drawingml/2006/picture">
                <pic:pic>
                  <pic:nvPicPr>
                    <pic:cNvPr id="0" name="candidate_december.png"/>
                    <pic:cNvPicPr/>
                  </pic:nvPicPr>
                  <pic:blipFill>
                    <a:blip r:embed="rId9"/>
                    <a:stretch>
                      <a:fillRect/>
                    </a:stretch>
                  </pic:blipFill>
                  <pic:spPr>
                    <a:xfrm>
                      <a:off x="0" y="0"/>
                      <a:ext cx="5486400" cy="178693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