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separates the three families is the unit of evidence.</w:t>
      </w:r>
      <w:r>
        <w:rPr>
          <w:rFonts w:ascii="Times New Roman" w:hAnsi="Times New Roman"/>
          <w:b w:val="0"/>
          <w:i w:val="0"/>
          <w:color w:val="000000"/>
          <w:sz w:val="20"/>
        </w:rPr>
        <w:t xml:space="preserve"> A prompt-level defense reasons over the </w:t>
      </w:r>
      <w:r>
        <w:rPr>
          <w:rFonts w:ascii="Times New Roman" w:hAnsi="Times New Roman"/>
          <w:b w:val="0"/>
          <w:i/>
          <w:color w:val="000000"/>
          <w:sz w:val="20"/>
        </w:rPr>
        <w:t>text</w:t>
      </w:r>
      <w:r>
        <w:rPr>
          <w:rFonts w:ascii="Times New Roman" w:hAnsi="Times New Roman"/>
          <w:b w:val="0"/>
          <w:i w:val="0"/>
          <w:color w:val="000000"/>
          <w:sz w:val="20"/>
        </w:rPr>
        <w:t xml:space="preserve">, marking its provenance and relying on the model to honour the mark. A gate-level defense reasons over the </w:t>
      </w:r>
      <w:r>
        <w:rPr>
          <w:rFonts w:ascii="Times New Roman" w:hAnsi="Times New Roman"/>
          <w:b w:val="0"/>
          <w:i/>
          <w:color w:val="000000"/>
          <w:sz w:val="20"/>
        </w:rPr>
        <w:t>action</w:t>
      </w:r>
      <w:r>
        <w:rPr>
          <w:rFonts w:ascii="Times New Roman" w:hAnsi="Times New Roman"/>
          <w:b w:val="0"/>
          <w:i w:val="0"/>
          <w:color w:val="000000"/>
          <w:sz w:val="20"/>
        </w:rPr>
        <w:t>, constraining what may be executed regardless of why it was proposed. A detector reasons over the text again, but classifies it rather than annotating it. Each assumption is load-bearing, and each fails in a characteristic place. Marking fails when making a payload legible also makes it more actionable — we measure exactly that in §VI, where a spotlighting re-implementation produces a null that decomposes into two per-family effects of opposite sign. Gating fails when the attacker's objective requires the same permissions as the user's legitimate task, which AgentDojo's own analysis identifies as the boundary of tool filtering, and which §V reproduces as Layer 4 contributing nothing incremental once the detector is on. Classification fails at the operating point: the nine systems PIShield compares trade false positives against misses along a single axis, and the spread of that trade across benchmarks is most of the range available.</w:t>
      </w:r>
    </w:p>
    <w:p>
      <w:pPr>
        <w:spacing w:after="80" w:before="0" w:line="254" w:lineRule="auto"/>
        <w:jc w:val="both"/>
      </w:pPr>
      <w:r>
        <w:rPr>
          <w:rFonts w:ascii="Times New Roman" w:hAnsi="Times New Roman"/>
          <w:b w:val="0"/>
          <w:i w:val="0"/>
          <w:color w:val="000000"/>
          <w:sz w:val="20"/>
        </w:rPr>
        <w:t xml:space="preserve">The causal framing takes a fourth unit: neither the text nor the action, but the </w:t>
      </w:r>
      <w:r>
        <w:rPr>
          <w:rFonts w:ascii="Times New Roman" w:hAnsi="Times New Roman"/>
          <w:b w:val="0"/>
          <w:i/>
          <w:color w:val="000000"/>
          <w:sz w:val="20"/>
        </w:rPr>
        <w:t>relation between them</w:t>
      </w:r>
      <w:r>
        <w:rPr>
          <w:rFonts w:ascii="Times New Roman" w:hAnsi="Times New Roman"/>
          <w:b w:val="0"/>
          <w:i w:val="0"/>
          <w:color w:val="000000"/>
          <w:sz w:val="20"/>
        </w:rPr>
        <w:t xml:space="preserve"> — did this span change what the agent proposed? That is a different question from all three, and it is the reason the approach is worth evaluating rather than assumed. It is also why its failure mode could not be anticipated from the other three. A defense reasoning over a relation needs the relation to be observable, and §VII reports the condition under which it is not: when the injected span names no target an action can lift, the contrast the detector reads is close to zero, and no threshold on it can recover what was never measured.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IX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w:t>
      </w:r>
      <w:r>
        <w:rPr>
          <w:rFonts w:ascii="Times New Roman" w:hAnsi="Times New Roman"/>
          <w:b w:val="0"/>
          <w:i w:val="0"/>
          <w:color w:val="000000"/>
          <w:sz w:val="20"/>
        </w:rPr>
        <w:t xml:space="preserve"> adequate for the reported [0.9%, 11.4%] interval but wide enough that a two-point FPR difference is unresolvable.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