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the same paper's Table 5 gives that defense a targeted ASR of 6.84% (±2.0) on GPT-4o, and we quote the body text while naming the table figure rather than silently choosing between them.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60" w:before="160" w:line="254" w:lineRule="auto"/>
        <w:jc w:val="left"/>
      </w:pPr>
      <w:r>
        <w:rPr>
          <w:rFonts w:ascii="Times New Roman" w:hAnsi="Times New Roman"/>
          <w:b/>
          <w:i/>
          <w:color w:val="000000"/>
          <w:sz w:val="20"/>
        </w:rPr>
        <w:t>D. What the same defense family achieves elsewhere</w:t>
      </w:r>
    </w:p>
    <w:p>
      <w:pPr>
        <w:spacing w:after="80" w:before="0" w:line="254" w:lineRule="auto"/>
        <w:jc w:val="both"/>
      </w:pPr>
      <w:r>
        <w:rPr>
          <w:rFonts w:ascii="Times New Roman" w:hAnsi="Times New Roman"/>
          <w:b w:val="0"/>
          <w:i w:val="0"/>
          <w:color w:val="000000"/>
          <w:sz w:val="20"/>
        </w:rPr>
        <w:t>Our null is one measurement, and a reader is entitled to ask what a prompt-level defense of this family does when it does work. AgentDojo reports one on an agent benchmark, scored the way we would want it scored — the same table, the same model, an undefended row to difference against.</w:t>
      </w:r>
    </w:p>
    <w:tbl>
      <w:tblPr>
        <w:tblStyle w:val="TableGrid"/>
        <w:tblW w:type="auto" w:w="0"/>
        <w:jc w:val="center"/>
        <w:tblLayout w:type="fixed"/>
        <w:tblLook w:firstColumn="1" w:firstRow="1" w:lastColumn="0" w:lastRow="0" w:noHBand="0" w:noVBand="1" w:val="04A0"/>
      </w:tblPr>
      <w:tblGrid>
        <w:gridCol w:w="2609"/>
        <w:gridCol w:w="2148"/>
        <w:gridCol w:w="2609"/>
        <w:gridCol w:w="1995"/>
      </w:tblGrid>
      <w:tr>
        <w:tc>
          <w:tcPr>
            <w:tcW w:type="dxa" w:w="2609"/>
            <w:shd w:val="clear" w:fill="EDF1F5"/>
          </w:tcPr>
          <w:p>
            <w:pPr>
              <w:spacing w:after="20" w:before="20"/>
              <w:jc w:val="left"/>
            </w:pPr>
            <w:r>
              <w:rPr>
                <w:rFonts w:ascii="Times New Roman" w:hAnsi="Times New Roman"/>
                <w:b/>
                <w:i w:val="0"/>
                <w:color w:val="000000"/>
                <w:sz w:val="17"/>
              </w:rPr>
              <w:t>AgentDojo, GPT-4o</w:t>
            </w:r>
          </w:p>
        </w:tc>
        <w:tc>
          <w:tcPr>
            <w:tcW w:type="dxa" w:w="2148"/>
            <w:shd w:val="clear" w:fill="EDF1F5"/>
          </w:tcPr>
          <w:p>
            <w:pPr>
              <w:spacing w:after="20" w:before="20"/>
              <w:jc w:val="left"/>
            </w:pPr>
            <w:r>
              <w:rPr>
                <w:rFonts w:ascii="Times New Roman" w:hAnsi="Times New Roman"/>
                <w:b/>
                <w:i w:val="0"/>
                <w:color w:val="000000"/>
                <w:sz w:val="17"/>
              </w:rPr>
              <w:t>Benign utility</w:t>
            </w:r>
          </w:p>
        </w:tc>
        <w:tc>
          <w:tcPr>
            <w:tcW w:type="dxa" w:w="2609"/>
            <w:shd w:val="clear" w:fill="EDF1F5"/>
          </w:tcPr>
          <w:p>
            <w:pPr>
              <w:spacing w:after="20" w:before="20"/>
              <w:jc w:val="left"/>
            </w:pPr>
            <w:r>
              <w:rPr>
                <w:rFonts w:ascii="Times New Roman" w:hAnsi="Times New Roman"/>
                <w:b/>
                <w:i w:val="0"/>
                <w:color w:val="000000"/>
                <w:sz w:val="17"/>
              </w:rPr>
              <w:t>Utility w. attack</w:t>
            </w:r>
          </w:p>
        </w:tc>
        <w:tc>
          <w:tcPr>
            <w:tcW w:type="dxa" w:w="1995"/>
            <w:shd w:val="clear" w:fill="EDF1F5"/>
          </w:tcPr>
          <w:p>
            <w:pPr>
              <w:spacing w:after="20" w:before="20"/>
              <w:jc w:val="left"/>
            </w:pPr>
            <w:r>
              <w:rPr>
                <w:rFonts w:ascii="Times New Roman" w:hAnsi="Times New Roman"/>
                <w:b/>
                <w:i w:val="0"/>
                <w:color w:val="000000"/>
                <w:sz w:val="17"/>
              </w:rPr>
              <w:t>Targeted ASR</w:t>
            </w:r>
          </w:p>
        </w:tc>
      </w:tr>
      <w:tr>
        <w:tc>
          <w:tcPr>
            <w:tcW w:type="dxa" w:w="2609"/>
          </w:tcPr>
          <w:p>
            <w:pPr>
              <w:spacing w:after="20" w:before="20"/>
              <w:jc w:val="left"/>
            </w:pPr>
            <w:r>
              <w:rPr>
                <w:rFonts w:ascii="Times New Roman" w:hAnsi="Times New Roman"/>
                <w:b w:val="0"/>
                <w:i w:val="0"/>
                <w:color w:val="000000"/>
                <w:sz w:val="17"/>
              </w:rPr>
              <w:t>No defense</w:t>
            </w:r>
          </w:p>
        </w:tc>
        <w:tc>
          <w:tcPr>
            <w:tcW w:type="dxa" w:w="2148"/>
          </w:tcPr>
          <w:p>
            <w:pPr>
              <w:spacing w:after="20" w:before="20"/>
              <w:jc w:val="left"/>
            </w:pPr>
            <w:r>
              <w:rPr>
                <w:rFonts w:ascii="Times New Roman" w:hAnsi="Times New Roman"/>
                <w:b w:val="0"/>
                <w:i w:val="0"/>
                <w:color w:val="000000"/>
                <w:sz w:val="17"/>
              </w:rPr>
              <w:t>69.0% (±3.6)</w:t>
            </w:r>
          </w:p>
        </w:tc>
        <w:tc>
          <w:tcPr>
            <w:tcW w:type="dxa" w:w="2609"/>
          </w:tcPr>
          <w:p>
            <w:pPr>
              <w:spacing w:after="20" w:before="20"/>
              <w:jc w:val="left"/>
            </w:pPr>
            <w:r>
              <w:rPr>
                <w:rFonts w:ascii="Times New Roman" w:hAnsi="Times New Roman"/>
                <w:b w:val="0"/>
                <w:i w:val="0"/>
                <w:color w:val="000000"/>
                <w:sz w:val="17"/>
              </w:rPr>
              <w:t>50.01% (±3.9)</w:t>
            </w:r>
          </w:p>
        </w:tc>
        <w:tc>
          <w:tcPr>
            <w:tcW w:type="dxa" w:w="1995"/>
          </w:tcPr>
          <w:p>
            <w:pPr>
              <w:spacing w:after="20" w:before="20"/>
              <w:jc w:val="left"/>
            </w:pPr>
            <w:r>
              <w:rPr>
                <w:rFonts w:ascii="Times New Roman" w:hAnsi="Times New Roman"/>
                <w:b w:val="0"/>
                <w:i w:val="0"/>
                <w:color w:val="000000"/>
                <w:sz w:val="17"/>
              </w:rPr>
              <w:t>57.69% (±3.9)</w:t>
            </w:r>
          </w:p>
        </w:tc>
      </w:tr>
      <w:tr>
        <w:tc>
          <w:tcPr>
            <w:tcW w:type="dxa" w:w="2609"/>
          </w:tcPr>
          <w:p>
            <w:pPr>
              <w:spacing w:after="20" w:before="20"/>
              <w:jc w:val="left"/>
            </w:pPr>
            <w:r>
              <w:rPr>
                <w:rFonts w:ascii="Times New Roman" w:hAnsi="Times New Roman"/>
                <w:b w:val="0"/>
                <w:i w:val="0"/>
                <w:color w:val="000000"/>
                <w:sz w:val="17"/>
              </w:rPr>
              <w:t>Delimiting</w:t>
            </w:r>
          </w:p>
        </w:tc>
        <w:tc>
          <w:tcPr>
            <w:tcW w:type="dxa" w:w="2148"/>
          </w:tcPr>
          <w:p>
            <w:pPr>
              <w:spacing w:after="20" w:before="20"/>
              <w:jc w:val="left"/>
            </w:pPr>
            <w:r>
              <w:rPr>
                <w:rFonts w:ascii="Times New Roman" w:hAnsi="Times New Roman"/>
                <w:b w:val="0"/>
                <w:i w:val="0"/>
                <w:color w:val="000000"/>
                <w:sz w:val="17"/>
              </w:rPr>
              <w:t>72.66% (±3.5)</w:t>
            </w:r>
          </w:p>
        </w:tc>
        <w:tc>
          <w:tcPr>
            <w:tcW w:type="dxa" w:w="2609"/>
          </w:tcPr>
          <w:p>
            <w:pPr>
              <w:spacing w:after="20" w:before="20"/>
              <w:jc w:val="left"/>
            </w:pPr>
            <w:r>
              <w:rPr>
                <w:rFonts w:ascii="Times New Roman" w:hAnsi="Times New Roman"/>
                <w:b w:val="0"/>
                <w:i w:val="0"/>
                <w:color w:val="000000"/>
                <w:sz w:val="17"/>
              </w:rPr>
              <w:t>55.64% (±3.9)</w:t>
            </w:r>
          </w:p>
        </w:tc>
        <w:tc>
          <w:tcPr>
            <w:tcW w:type="dxa" w:w="1995"/>
          </w:tcPr>
          <w:p>
            <w:pPr>
              <w:spacing w:after="20" w:before="20"/>
              <w:jc w:val="left"/>
            </w:pPr>
            <w:r>
              <w:rPr>
                <w:rFonts w:ascii="Times New Roman" w:hAnsi="Times New Roman"/>
                <w:b w:val="0"/>
                <w:i w:val="0"/>
                <w:color w:val="000000"/>
                <w:sz w:val="17"/>
              </w:rPr>
              <w:t>41.65% (±3.9)</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Delimiting against no defense, both from Table 5 of Debenedetti et al. [2]. Intervals are the paper's own 95% intervals.</w:t>
      </w:r>
    </w:p>
    <w:p>
      <w:pPr>
        <w:spacing w:after="80" w:before="0" w:line="254" w:lineRule="auto"/>
        <w:jc w:val="both"/>
      </w:pPr>
      <w:r>
        <w:rPr>
          <w:rFonts w:ascii="Times New Roman" w:hAnsi="Times New Roman"/>
          <w:b w:val="0"/>
          <w:i w:val="0"/>
          <w:color w:val="000000"/>
          <w:sz w:val="20"/>
        </w:rPr>
        <w:t xml:space="preserve">Delimiting removes </w:t>
      </w:r>
      <w:r>
        <w:rPr>
          <w:rFonts w:ascii="Times New Roman" w:hAnsi="Times New Roman"/>
          <w:b/>
          <w:i w:val="0"/>
          <w:color w:val="000000"/>
          <w:sz w:val="20"/>
        </w:rPr>
        <w:t>16.04 points</w:t>
      </w:r>
      <w:r>
        <w:rPr>
          <w:rFonts w:ascii="Times New Roman" w:hAnsi="Times New Roman"/>
          <w:b w:val="0"/>
          <w:i w:val="0"/>
          <w:color w:val="000000"/>
          <w:sz w:val="20"/>
        </w:rPr>
        <w:t xml:space="preserve"> of targeted ASR, and the two intervals do not overlap. This is the closest published analogue to our arm: a prompt-level transform of untrusted content, on a tool-calling agent, with the undefended condition measured in the same run. It does not make our null a contradiction — the corpus, the model class and the outcome variable all differ, and §VI-B lists why our steering rate is not their ASR. What it establishes is that the family is not inert in general, which is the reading a bare null invites and the one we are not entitled to. Two further things travel with it. First, delimiting does not </w:t>
      </w:r>
      <w:r>
        <w:rPr>
          <w:rFonts w:ascii="Times New Roman" w:hAnsi="Times New Roman"/>
          <w:b w:val="0"/>
          <w:i/>
          <w:color w:val="000000"/>
          <w:sz w:val="20"/>
        </w:rPr>
        <w:t>solve</w:t>
      </w:r>
      <w:r>
        <w:rPr>
          <w:rFonts w:ascii="Times New Roman" w:hAnsi="Times New Roman"/>
          <w:b w:val="0"/>
          <w:i w:val="0"/>
          <w:color w:val="000000"/>
          <w:sz w:val="20"/>
        </w:rPr>
        <w:t xml:space="preserve"> the problem it improves: 41.65% of targeted attacks still succeed, so the published result is a reduction, not a defense a deployment could rest on. Second, it costs nothing in benign utility — 69.0% to 72.66%, overlapping intervals — which is the property our own null cannot demonstrate either way.</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 xml:space="preserve">For defenses, spotlighting is reported at "&gt;50% to below 2%" on GPT-family models [3] against our null on 3–4B local models with action selection as the outcome (§VI), and AgentDojo's tool filter at 7.5% ASR [2] — 6.84% (±2.0) in that paper's Table 5, a discrepancy we report rather than resolve (§II) — against our Layer 4, which §V reports as redundant. The gap between our spotlighting null and the published figure is most likely a gap in setting, and we say so rather than claiming a contradiction. The most informative external point is AgentDojo's own delimiting arm (§VI-D): </w:t>
      </w:r>
      <w:r>
        <w:rPr>
          <w:rFonts w:ascii="Times New Roman" w:hAnsi="Times New Roman"/>
          <w:b/>
          <w:i w:val="0"/>
          <w:color w:val="000000"/>
          <w:sz w:val="20"/>
        </w:rPr>
        <w:t>57.69% → 41.65%</w:t>
      </w:r>
      <w:r>
        <w:rPr>
          <w:rFonts w:ascii="Times New Roman" w:hAnsi="Times New Roman"/>
          <w:b w:val="0"/>
          <w:i w:val="0"/>
          <w:color w:val="000000"/>
          <w:sz w:val="20"/>
        </w:rPr>
        <w:t xml:space="preserve"> targeted ASR against an undefended row measured in the same table [2]. It is the only published prompt-level result here that carries its own undefended baseline, which is what makes it a difference rather than a level — and at 41.65% remaining it is also the clearest published statement that this family reduces rather than removes the exposure.</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 and that is a census rather than a sample.</w:t>
      </w:r>
      <w:r>
        <w:rPr>
          <w:rFonts w:ascii="Times New Roman" w:hAnsi="Times New Roman"/>
          <w:b w:val="0"/>
          <w:i w:val="0"/>
          <w:color w:val="000000"/>
          <w:sz w:val="20"/>
        </w:rPr>
        <w:t xml:space="preserve"> The 60 are the complete benign content of AgentDojo v0.1.35's </w:t>
      </w:r>
      <w:r>
        <w:rPr>
          <w:rFonts w:ascii="Consolas" w:hAnsi="Consolas"/>
          <w:b w:val="0"/>
          <w:i w:val="0"/>
          <w:color w:val="000000"/>
          <w:sz w:val="19"/>
        </w:rPr>
        <w:t>workspace</w:t>
      </w:r>
      <w:r>
        <w:rPr>
          <w:rFonts w:ascii="Times New Roman" w:hAnsi="Times New Roman"/>
          <w:b w:val="0"/>
          <w:i w:val="0"/>
          <w:color w:val="000000"/>
          <w:sz w:val="20"/>
        </w:rPr>
        <w:t xml:space="preserve"> and </w:t>
      </w:r>
      <w:r>
        <w:rPr>
          <w:rFonts w:ascii="Consolas" w:hAnsi="Consolas"/>
          <w:b w:val="0"/>
          <w:i w:val="0"/>
          <w:color w:val="000000"/>
          <w:sz w:val="19"/>
        </w:rPr>
        <w:t>slack</w:t>
      </w:r>
      <w:r>
        <w:rPr>
          <w:rFonts w:ascii="Times New Roman" w:hAnsi="Times New Roman"/>
          <w:b w:val="0"/>
          <w:i w:val="0"/>
          <w:color w:val="000000"/>
          <w:sz w:val="20"/>
        </w:rPr>
        <w:t xml:space="preserve"> suites under our committed in-domain filter — re-harvested from a fresh wheel item-for-item, with zero disjoint episodes remaining. Every route to a larger </w:t>
      </w:r>
      <w:r>
        <w:rPr>
          <w:rFonts w:ascii="Times New Roman" w:hAnsi="Times New Roman"/>
          <w:b w:val="0"/>
          <w:i/>
          <w:color w:val="000000"/>
          <w:sz w:val="20"/>
        </w:rPr>
        <w:t>n</w:t>
      </w:r>
      <w:r>
        <w:rPr>
          <w:rFonts w:ascii="Times New Roman" w:hAnsi="Times New Roman"/>
          <w:b w:val="0"/>
          <w:i w:val="0"/>
          <w:color w:val="000000"/>
          <w:sz w:val="20"/>
        </w:rPr>
        <w:t xml:space="preserve"> changes the sourcing policy rather than deepening the draw: the only ones reaching 110 admit off-domain </w:t>
      </w:r>
      <w:r>
        <w:rPr>
          <w:rFonts w:ascii="Consolas" w:hAnsi="Consolas"/>
          <w:b w:val="0"/>
          <w:i w:val="0"/>
          <w:color w:val="000000"/>
          <w:sz w:val="19"/>
        </w:rPr>
        <w:t>travel</w:t>
      </w:r>
      <w:r>
        <w:rPr>
          <w:rFonts w:ascii="Times New Roman" w:hAnsi="Times New Roman"/>
          <w:b w:val="0"/>
          <w:i w:val="0"/>
          <w:color w:val="000000"/>
          <w:sz w:val="20"/>
        </w:rPr>
        <w:t xml:space="preserve"> reviews, which carry no address or URL an action could name and would therefore lower the measured FPR for reasons unrelated to the defense. Nor would width arrive if they did — at a rate near 3.3% the projected interval narrows from 10.5 points at </w:t>
      </w:r>
      <w:r>
        <w:rPr>
          <w:rFonts w:ascii="Times New Roman" w:hAnsi="Times New Roman"/>
          <w:b w:val="0"/>
          <w:i/>
          <w:color w:val="000000"/>
          <w:sz w:val="20"/>
        </w:rPr>
        <w:t>n</w:t>
      </w:r>
      <w:r>
        <w:rPr>
          <w:rFonts w:ascii="Times New Roman" w:hAnsi="Times New Roman"/>
          <w:b w:val="0"/>
          <w:i w:val="0"/>
          <w:color w:val="000000"/>
          <w:sz w:val="20"/>
        </w:rPr>
        <w:t xml:space="preserve">=60 only to 7.2 at </w:t>
      </w:r>
      <w:r>
        <w:rPr>
          <w:rFonts w:ascii="Times New Roman" w:hAnsi="Times New Roman"/>
          <w:b w:val="0"/>
          <w:i/>
          <w:color w:val="000000"/>
          <w:sz w:val="20"/>
        </w:rPr>
        <w:t>n</w:t>
      </w:r>
      <w:r>
        <w:rPr>
          <w:rFonts w:ascii="Times New Roman" w:hAnsi="Times New Roman"/>
          <w:b w:val="0"/>
          <w:i w:val="0"/>
          <w:color w:val="000000"/>
          <w:sz w:val="20"/>
        </w:rPr>
        <w:t xml:space="preserve">=115, because the interval is wide where the rate sits near zero, not mainly because </w:t>
      </w:r>
      <w:r>
        <w:rPr>
          <w:rFonts w:ascii="Times New Roman" w:hAnsi="Times New Roman"/>
          <w:b w:val="0"/>
          <w:i/>
          <w:color w:val="000000"/>
          <w:sz w:val="20"/>
        </w:rPr>
        <w:t>n</w:t>
      </w:r>
      <w:r>
        <w:rPr>
          <w:rFonts w:ascii="Times New Roman" w:hAnsi="Times New Roman"/>
          <w:b w:val="0"/>
          <w:i w:val="0"/>
          <w:color w:val="000000"/>
          <w:sz w:val="20"/>
        </w:rPr>
        <w:t xml:space="preserve"> is 60. The interval is genuinely wide and a two-point FPR difference remains unresolvable; the limitation is that a </w:t>
      </w:r>
      <w:r>
        <w:rPr>
          <w:rFonts w:ascii="Times New Roman" w:hAnsi="Times New Roman"/>
          <w:b w:val="0"/>
          <w:i/>
          <w:color w:val="000000"/>
          <w:sz w:val="20"/>
        </w:rPr>
        <w:t>second</w:t>
      </w:r>
      <w:r>
        <w:rPr>
          <w:rFonts w:ascii="Times New Roman" w:hAnsi="Times New Roman"/>
          <w:b w:val="0"/>
          <w:i w:val="0"/>
          <w:color w:val="000000"/>
          <w:sz w:val="20"/>
        </w:rPr>
        <w:t xml:space="preserve"> external benign corpus is needed, not more of this one.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 xml:space="preserve">The figure below is the implementation-level architecture, reproduced for completeness. Unlike Fig. 1 it shows every module and every feedback path, including the red-team loop, the evaluation module and the off-machine training environment. </w:t>
      </w:r>
      <w:r>
        <w:rPr>
          <w:rFonts w:ascii="Times New Roman" w:hAnsi="Times New Roman"/>
          <w:b/>
          <w:i w:val="0"/>
          <w:color w:val="000000"/>
          <w:sz w:val="20"/>
        </w:rPr>
        <w:t>Every component shown is built and validated</w:t>
      </w:r>
      <w:r>
        <w:rPr>
          <w:rFonts w:ascii="Times New Roman" w:hAnsi="Times New Roman"/>
          <w:b w:val="0"/>
          <w:i w:val="0"/>
          <w:color w:val="000000"/>
          <w:sz w:val="20"/>
        </w:rPr>
        <w:t xml:space="preserve"> — five specified-but-unimplemented boxes that earlier versions of this figure carried have been removed rather than drawn, so nothing in the diagram describes work that does not exist. Dashed arrows mark the adaptive feedback path; green marks offline measurement paths that make no model calls; italic marks components built and measured that ship disabled.</w:t>
      </w:r>
    </w:p>
    <w:p>
      <w:pPr>
        <w:spacing w:before="160" w:after="60"/>
        <w:jc w:val="center"/>
      </w:pPr>
      <w:r>
        <w:drawing>
          <wp:inline xmlns:a="http://schemas.openxmlformats.org/drawingml/2006/main" xmlns:pic="http://schemas.openxmlformats.org/drawingml/2006/picture">
            <wp:extent cx="8229600" cy="4224554"/>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4224554"/>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