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26C4" w14:textId="2F282BC5" w:rsidR="00C555C1" w:rsidRPr="00AB2D23" w:rsidRDefault="00141FF7" w:rsidP="00AB2D23">
      <w:pPr>
        <w:spacing w:line="360" w:lineRule="auto"/>
        <w:jc w:val="center"/>
        <w:rPr>
          <w:rFonts w:asciiTheme="majorBidi" w:hAnsiTheme="majorBidi" w:cstheme="majorBidi"/>
          <w:b/>
          <w:bCs/>
          <w:sz w:val="32"/>
          <w:szCs w:val="32"/>
        </w:rPr>
      </w:pPr>
      <w:r w:rsidRPr="00AB2D23">
        <w:rPr>
          <w:rFonts w:asciiTheme="majorBidi" w:hAnsiTheme="majorBidi" w:cstheme="majorBidi"/>
          <w:b/>
          <w:bCs/>
          <w:sz w:val="32"/>
          <w:szCs w:val="32"/>
        </w:rPr>
        <w:t>AdaptiShield: A Security Gateway and Live Monitoring Dashboard for Protecting AI Agents Against Prompt Injection Attacks</w:t>
      </w:r>
    </w:p>
    <w:p w14:paraId="7CB71B81" w14:textId="46DC7D35" w:rsidR="008B7D85" w:rsidRPr="00AB2D23" w:rsidRDefault="00141FF7" w:rsidP="00AB2D23">
      <w:pPr>
        <w:spacing w:line="360" w:lineRule="auto"/>
        <w:jc w:val="center"/>
        <w:rPr>
          <w:rFonts w:asciiTheme="majorBidi" w:hAnsiTheme="majorBidi" w:cstheme="majorBidi"/>
          <w:sz w:val="30"/>
          <w:szCs w:val="30"/>
        </w:rPr>
      </w:pPr>
      <w:r w:rsidRPr="00AB2D23">
        <w:rPr>
          <w:rFonts w:asciiTheme="majorBidi" w:hAnsiTheme="majorBidi" w:cstheme="majorBidi"/>
          <w:sz w:val="30"/>
          <w:szCs w:val="30"/>
        </w:rPr>
        <w:t>By</w:t>
      </w:r>
    </w:p>
    <w:p w14:paraId="17A72292" w14:textId="0994FDDE" w:rsidR="008B7D85" w:rsidRPr="00AB2D23" w:rsidRDefault="00141FF7" w:rsidP="00AB2D23">
      <w:pPr>
        <w:spacing w:before="240" w:line="360" w:lineRule="auto"/>
        <w:jc w:val="center"/>
        <w:rPr>
          <w:rFonts w:asciiTheme="majorBidi" w:hAnsiTheme="majorBidi" w:cstheme="majorBidi"/>
          <w:sz w:val="28"/>
          <w:szCs w:val="28"/>
        </w:rPr>
      </w:pPr>
      <w:r w:rsidRPr="00AB2D23">
        <w:rPr>
          <w:rFonts w:asciiTheme="majorBidi" w:hAnsiTheme="majorBidi" w:cstheme="majorBidi"/>
          <w:sz w:val="28"/>
          <w:szCs w:val="28"/>
        </w:rPr>
        <w:t>Muhammad Ahmad Khan (Reg NO: 23jzbcs0238)</w:t>
      </w:r>
    </w:p>
    <w:p w14:paraId="14B7618B" w14:textId="77777777" w:rsidR="00360DE2" w:rsidRPr="00AB2D23" w:rsidRDefault="00360DE2" w:rsidP="00AB2D23">
      <w:pPr>
        <w:spacing w:before="240" w:line="360" w:lineRule="auto"/>
        <w:jc w:val="center"/>
        <w:rPr>
          <w:rFonts w:asciiTheme="majorBidi" w:hAnsiTheme="majorBidi" w:cstheme="majorBidi"/>
          <w:sz w:val="28"/>
          <w:szCs w:val="28"/>
        </w:rPr>
      </w:pPr>
      <w:r w:rsidRPr="00AB2D23">
        <w:rPr>
          <w:rFonts w:asciiTheme="majorBidi" w:hAnsiTheme="majorBidi" w:cstheme="majorBidi"/>
          <w:sz w:val="28"/>
          <w:szCs w:val="28"/>
        </w:rPr>
        <w:t>Aleena Khan (Reg NO: 23jzbcs0229)</w:t>
      </w:r>
    </w:p>
    <w:p w14:paraId="01E5F483" w14:textId="5A25C51F" w:rsidR="008B7D85" w:rsidRPr="00AB2D23" w:rsidRDefault="00141FF7" w:rsidP="00AB2D23">
      <w:pPr>
        <w:spacing w:before="240" w:line="360" w:lineRule="auto"/>
        <w:jc w:val="center"/>
        <w:rPr>
          <w:rFonts w:asciiTheme="majorBidi" w:hAnsiTheme="majorBidi" w:cstheme="majorBidi"/>
          <w:sz w:val="28"/>
          <w:szCs w:val="28"/>
        </w:rPr>
      </w:pPr>
      <w:r w:rsidRPr="00AB2D23">
        <w:rPr>
          <w:rFonts w:asciiTheme="majorBidi" w:hAnsiTheme="majorBidi" w:cstheme="majorBidi"/>
          <w:sz w:val="28"/>
          <w:szCs w:val="28"/>
        </w:rPr>
        <w:t>Amna Noor (Reg NO: 23jzbcs0230)</w:t>
      </w:r>
    </w:p>
    <w:p w14:paraId="12F15DC6" w14:textId="77777777" w:rsidR="008B7D85" w:rsidRPr="00AB2D23" w:rsidRDefault="008B7D85" w:rsidP="00AB2D23">
      <w:pPr>
        <w:spacing w:line="360" w:lineRule="auto"/>
        <w:rPr>
          <w:rFonts w:asciiTheme="majorBidi" w:hAnsiTheme="majorBidi" w:cstheme="majorBidi"/>
        </w:rPr>
      </w:pPr>
    </w:p>
    <w:p w14:paraId="50A72B67" w14:textId="77777777" w:rsidR="008B7D85" w:rsidRPr="00AB2D23" w:rsidRDefault="008B7D85" w:rsidP="00AB2D23">
      <w:pPr>
        <w:spacing w:line="360" w:lineRule="auto"/>
        <w:rPr>
          <w:rFonts w:asciiTheme="majorBidi" w:hAnsiTheme="majorBidi" w:cstheme="majorBidi"/>
        </w:rPr>
      </w:pPr>
    </w:p>
    <w:p w14:paraId="32A6CDBE" w14:textId="79D77F25" w:rsidR="008B7D85" w:rsidRPr="00AB2D23" w:rsidRDefault="00141FF7" w:rsidP="00AB2D23">
      <w:pPr>
        <w:spacing w:line="360" w:lineRule="auto"/>
        <w:jc w:val="center"/>
        <w:rPr>
          <w:rFonts w:asciiTheme="majorBidi" w:hAnsiTheme="majorBidi" w:cstheme="majorBidi"/>
        </w:rPr>
      </w:pPr>
      <w:r w:rsidRPr="00AB2D23">
        <w:rPr>
          <w:rFonts w:asciiTheme="majorBidi" w:hAnsiTheme="majorBidi" w:cstheme="majorBidi"/>
          <w:noProof/>
          <w:lang w:val="en-US"/>
        </w:rPr>
        <w:drawing>
          <wp:inline distT="114300" distB="114300" distL="114300" distR="114300" wp14:anchorId="30DD8851" wp14:editId="3DC35887">
            <wp:extent cx="1278638" cy="12464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78638" cy="1246471"/>
                    </a:xfrm>
                    <a:prstGeom prst="rect">
                      <a:avLst/>
                    </a:prstGeom>
                    <a:ln/>
                  </pic:spPr>
                </pic:pic>
              </a:graphicData>
            </a:graphic>
          </wp:inline>
        </w:drawing>
      </w:r>
    </w:p>
    <w:p w14:paraId="442FCA5D" w14:textId="77777777" w:rsidR="008B7D85" w:rsidRPr="00AB2D23" w:rsidRDefault="008B7D85" w:rsidP="00AB2D23">
      <w:pPr>
        <w:spacing w:line="360" w:lineRule="auto"/>
        <w:jc w:val="center"/>
        <w:rPr>
          <w:rFonts w:asciiTheme="majorBidi" w:hAnsiTheme="majorBidi" w:cstheme="majorBidi"/>
          <w:sz w:val="28"/>
          <w:szCs w:val="28"/>
        </w:rPr>
      </w:pPr>
    </w:p>
    <w:p w14:paraId="7873318A" w14:textId="77777777" w:rsidR="008B7D85" w:rsidRPr="00AB2D23" w:rsidRDefault="00141FF7" w:rsidP="00AB2D23">
      <w:pPr>
        <w:spacing w:line="360" w:lineRule="auto"/>
        <w:jc w:val="center"/>
        <w:rPr>
          <w:rFonts w:asciiTheme="majorBidi" w:hAnsiTheme="majorBidi" w:cstheme="majorBidi"/>
          <w:b/>
          <w:bCs/>
          <w:sz w:val="28"/>
          <w:szCs w:val="28"/>
        </w:rPr>
      </w:pPr>
      <w:r w:rsidRPr="00AB2D23">
        <w:rPr>
          <w:rFonts w:asciiTheme="majorBidi" w:hAnsiTheme="majorBidi" w:cstheme="majorBidi"/>
          <w:b/>
          <w:bCs/>
          <w:sz w:val="28"/>
          <w:szCs w:val="28"/>
        </w:rPr>
        <w:t>Submitted to the Department of Computer Science &amp; Information Technology</w:t>
      </w:r>
    </w:p>
    <w:p w14:paraId="76408094" w14:textId="77777777" w:rsidR="008B7D85" w:rsidRPr="00AB2D23" w:rsidRDefault="008B7D85" w:rsidP="00AB2D23">
      <w:pPr>
        <w:spacing w:line="360" w:lineRule="auto"/>
        <w:jc w:val="center"/>
        <w:rPr>
          <w:rFonts w:asciiTheme="majorBidi" w:hAnsiTheme="majorBidi" w:cstheme="majorBidi"/>
          <w:b/>
          <w:bCs/>
          <w:sz w:val="28"/>
          <w:szCs w:val="28"/>
        </w:rPr>
      </w:pPr>
    </w:p>
    <w:p w14:paraId="23F1B5B1" w14:textId="3C201B62" w:rsidR="008B7D85" w:rsidRPr="00AB2D23" w:rsidRDefault="00C555C1" w:rsidP="00AB2D23">
      <w:pPr>
        <w:spacing w:line="360" w:lineRule="auto"/>
        <w:jc w:val="center"/>
        <w:rPr>
          <w:rFonts w:asciiTheme="majorBidi" w:hAnsiTheme="majorBidi" w:cstheme="majorBidi"/>
          <w:b/>
          <w:bCs/>
          <w:sz w:val="28"/>
          <w:szCs w:val="28"/>
        </w:rPr>
      </w:pPr>
      <w:r w:rsidRPr="00AB2D23">
        <w:rPr>
          <w:rFonts w:asciiTheme="majorBidi" w:hAnsiTheme="majorBidi" w:cstheme="majorBidi"/>
          <w:b/>
          <w:bCs/>
          <w:sz w:val="28"/>
          <w:szCs w:val="28"/>
        </w:rPr>
        <w:t>In Partial Fulfillment of the Requirements for the Degree of</w:t>
      </w:r>
    </w:p>
    <w:p w14:paraId="0AD40C3D" w14:textId="77777777" w:rsidR="008B7D85" w:rsidRPr="00AB2D23" w:rsidRDefault="008B7D85" w:rsidP="00AB2D23">
      <w:pPr>
        <w:spacing w:line="360" w:lineRule="auto"/>
        <w:rPr>
          <w:rFonts w:asciiTheme="majorBidi" w:hAnsiTheme="majorBidi" w:cstheme="majorBidi"/>
          <w:b/>
          <w:bCs/>
          <w:sz w:val="32"/>
          <w:szCs w:val="32"/>
        </w:rPr>
      </w:pPr>
    </w:p>
    <w:p w14:paraId="03E637D6" w14:textId="77777777" w:rsidR="008B7D85" w:rsidRPr="00AB2D23" w:rsidRDefault="00141FF7" w:rsidP="00AB2D23">
      <w:pPr>
        <w:spacing w:line="360" w:lineRule="auto"/>
        <w:jc w:val="center"/>
        <w:rPr>
          <w:rFonts w:asciiTheme="majorBidi" w:hAnsiTheme="majorBidi" w:cstheme="majorBidi"/>
          <w:b/>
          <w:bCs/>
          <w:sz w:val="28"/>
          <w:szCs w:val="28"/>
        </w:rPr>
      </w:pPr>
      <w:r w:rsidRPr="00AB2D23">
        <w:rPr>
          <w:rFonts w:asciiTheme="majorBidi" w:hAnsiTheme="majorBidi" w:cstheme="majorBidi"/>
          <w:b/>
          <w:bCs/>
          <w:sz w:val="28"/>
          <w:szCs w:val="28"/>
        </w:rPr>
        <w:t xml:space="preserve"> Bachelor of Science in Computer Science at the </w:t>
      </w:r>
    </w:p>
    <w:p w14:paraId="31F8BEA5" w14:textId="77777777" w:rsidR="008B7D85" w:rsidRPr="00AB2D23" w:rsidRDefault="00141FF7" w:rsidP="00AB2D23">
      <w:pPr>
        <w:spacing w:line="360" w:lineRule="auto"/>
        <w:jc w:val="center"/>
        <w:rPr>
          <w:rFonts w:asciiTheme="majorBidi" w:hAnsiTheme="majorBidi" w:cstheme="majorBidi"/>
          <w:b/>
          <w:bCs/>
          <w:sz w:val="28"/>
          <w:szCs w:val="28"/>
        </w:rPr>
      </w:pPr>
      <w:r w:rsidRPr="00AB2D23">
        <w:rPr>
          <w:rFonts w:asciiTheme="majorBidi" w:hAnsiTheme="majorBidi" w:cstheme="majorBidi"/>
          <w:b/>
          <w:bCs/>
          <w:sz w:val="28"/>
          <w:szCs w:val="28"/>
        </w:rPr>
        <w:t xml:space="preserve">University of Engineering &amp; Technology, Peshawar Sep 2026 © 2026 </w:t>
      </w:r>
    </w:p>
    <w:p w14:paraId="6F1A286F" w14:textId="77777777" w:rsidR="008B7D85" w:rsidRPr="00AB2D23" w:rsidRDefault="008B7D85" w:rsidP="00AB2D23">
      <w:pPr>
        <w:spacing w:line="360" w:lineRule="auto"/>
        <w:rPr>
          <w:rFonts w:asciiTheme="majorBidi" w:hAnsiTheme="majorBidi" w:cstheme="majorBidi"/>
          <w:b/>
          <w:bCs/>
          <w:sz w:val="28"/>
          <w:szCs w:val="28"/>
        </w:rPr>
      </w:pPr>
    </w:p>
    <w:p w14:paraId="7EECDE64" w14:textId="3BD9A44E" w:rsidR="008B7D85" w:rsidRDefault="00141FF7" w:rsidP="00AB2D23">
      <w:pPr>
        <w:spacing w:line="360" w:lineRule="auto"/>
        <w:jc w:val="center"/>
        <w:rPr>
          <w:rFonts w:asciiTheme="majorBidi" w:hAnsiTheme="majorBidi" w:cstheme="majorBidi"/>
          <w:sz w:val="28"/>
          <w:szCs w:val="28"/>
        </w:rPr>
      </w:pPr>
      <w:r w:rsidRPr="00AB2D23">
        <w:rPr>
          <w:rFonts w:asciiTheme="majorBidi" w:hAnsiTheme="majorBidi" w:cstheme="majorBidi"/>
          <w:b/>
          <w:bCs/>
          <w:sz w:val="28"/>
          <w:szCs w:val="28"/>
        </w:rPr>
        <w:t>Supervisor:</w:t>
      </w:r>
      <w:r w:rsidRPr="00AB2D23">
        <w:rPr>
          <w:rFonts w:asciiTheme="majorBidi" w:hAnsiTheme="majorBidi" w:cstheme="majorBidi"/>
          <w:sz w:val="28"/>
          <w:szCs w:val="28"/>
        </w:rPr>
        <w:t xml:space="preserve"> Abdullah Burhan</w:t>
      </w:r>
    </w:p>
    <w:p w14:paraId="1E94FFDA" w14:textId="77777777" w:rsidR="00AB2D23" w:rsidRPr="00AB2D23" w:rsidRDefault="00AB2D23" w:rsidP="00AB2D23">
      <w:pPr>
        <w:spacing w:line="360" w:lineRule="auto"/>
        <w:jc w:val="center"/>
        <w:rPr>
          <w:rFonts w:asciiTheme="majorBidi" w:hAnsiTheme="majorBidi" w:cstheme="majorBidi"/>
          <w:sz w:val="28"/>
          <w:szCs w:val="28"/>
        </w:rPr>
      </w:pPr>
    </w:p>
    <w:p w14:paraId="475758C6" w14:textId="132CCAF0" w:rsidR="008B7D85" w:rsidRPr="00AB2D23" w:rsidRDefault="00141FF7" w:rsidP="00AB2D23">
      <w:pPr>
        <w:spacing w:line="360" w:lineRule="auto"/>
        <w:jc w:val="center"/>
        <w:rPr>
          <w:rFonts w:asciiTheme="majorBidi" w:hAnsiTheme="majorBidi" w:cstheme="majorBidi"/>
          <w:b/>
          <w:bCs/>
          <w:sz w:val="32"/>
          <w:szCs w:val="32"/>
        </w:rPr>
      </w:pPr>
      <w:r w:rsidRPr="00AB2D23">
        <w:rPr>
          <w:rFonts w:asciiTheme="majorBidi" w:hAnsiTheme="majorBidi" w:cstheme="majorBidi"/>
          <w:b/>
          <w:bCs/>
          <w:sz w:val="32"/>
          <w:szCs w:val="32"/>
        </w:rPr>
        <w:t>University of Engineering &amp; Technology, Peshawar. All rights reserved.</w:t>
      </w:r>
    </w:p>
    <w:p w14:paraId="30238BE7" w14:textId="77777777" w:rsidR="00F06366" w:rsidRPr="00AB2D23" w:rsidRDefault="00F06366" w:rsidP="00AB2D23">
      <w:pPr>
        <w:spacing w:line="360" w:lineRule="auto"/>
        <w:rPr>
          <w:rFonts w:asciiTheme="majorBidi" w:hAnsiTheme="majorBidi" w:cstheme="majorBidi"/>
          <w:b/>
          <w:bCs/>
          <w:sz w:val="28"/>
          <w:szCs w:val="28"/>
        </w:rPr>
      </w:pPr>
    </w:p>
    <w:p w14:paraId="62DCA5E7" w14:textId="77777777" w:rsidR="00D11386" w:rsidRPr="00AB2D23" w:rsidRDefault="00D11386" w:rsidP="00AB2D23">
      <w:pPr>
        <w:spacing w:line="360" w:lineRule="auto"/>
        <w:rPr>
          <w:rFonts w:asciiTheme="majorBidi" w:hAnsiTheme="majorBidi" w:cstheme="majorBidi"/>
          <w:b/>
          <w:bCs/>
          <w:sz w:val="28"/>
          <w:szCs w:val="28"/>
        </w:rPr>
      </w:pPr>
    </w:p>
    <w:p w14:paraId="70804C80" w14:textId="77777777" w:rsidR="00D11386" w:rsidRPr="00AB2D23" w:rsidRDefault="00D11386" w:rsidP="00AB2D23">
      <w:pPr>
        <w:pStyle w:val="Heading1"/>
        <w:spacing w:line="360" w:lineRule="auto"/>
        <w:rPr>
          <w:rFonts w:asciiTheme="majorBidi" w:hAnsiTheme="majorBidi" w:cstheme="majorBidi"/>
          <w:b/>
          <w:sz w:val="28"/>
          <w:szCs w:val="28"/>
        </w:rPr>
      </w:pPr>
      <w:r w:rsidRPr="00AB2D23">
        <w:rPr>
          <w:rFonts w:asciiTheme="majorBidi" w:hAnsiTheme="majorBidi" w:cstheme="majorBidi"/>
          <w:b/>
          <w:sz w:val="28"/>
          <w:szCs w:val="28"/>
        </w:rPr>
        <w:t>List of Abbreviations</w:t>
      </w:r>
    </w:p>
    <w:tbl>
      <w:tblPr>
        <w:tblStyle w:val="TableGrid"/>
        <w:tblW w:w="10289" w:type="dxa"/>
        <w:jc w:val="center"/>
        <w:tblLook w:val="04A0" w:firstRow="1" w:lastRow="0" w:firstColumn="1" w:lastColumn="0" w:noHBand="0" w:noVBand="1"/>
      </w:tblPr>
      <w:tblGrid>
        <w:gridCol w:w="1868"/>
        <w:gridCol w:w="8421"/>
      </w:tblGrid>
      <w:tr w:rsidR="00D11386" w:rsidRPr="00AB2D23" w14:paraId="21849AFB" w14:textId="77777777" w:rsidTr="00BB2E67">
        <w:trPr>
          <w:cantSplit/>
          <w:trHeight w:val="276"/>
          <w:tblHeader/>
          <w:jc w:val="center"/>
        </w:trPr>
        <w:tc>
          <w:tcPr>
            <w:tcW w:w="1868" w:type="dxa"/>
            <w:shd w:val="clear" w:color="auto" w:fill="D9EAF7"/>
            <w:vAlign w:val="center"/>
          </w:tcPr>
          <w:p w14:paraId="0503CB75" w14:textId="3DAC5AAB" w:rsidR="00D11386" w:rsidRPr="00AB2D23" w:rsidRDefault="00BB2E67"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b/>
                <w:sz w:val="20"/>
                <w:szCs w:val="20"/>
              </w:rPr>
              <w:t xml:space="preserve"> </w:t>
            </w:r>
            <w:r w:rsidR="00D11386" w:rsidRPr="00AB2D23">
              <w:rPr>
                <w:rFonts w:asciiTheme="majorBidi" w:eastAsia="Times New Roman" w:hAnsiTheme="majorBidi" w:cstheme="majorBidi"/>
                <w:b/>
                <w:sz w:val="20"/>
                <w:szCs w:val="20"/>
              </w:rPr>
              <w:t>Abbreviation</w:t>
            </w:r>
          </w:p>
        </w:tc>
        <w:tc>
          <w:tcPr>
            <w:tcW w:w="8421" w:type="dxa"/>
            <w:shd w:val="clear" w:color="auto" w:fill="D9EAF7"/>
            <w:vAlign w:val="center"/>
          </w:tcPr>
          <w:p w14:paraId="7DA0EBD7"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b/>
                <w:sz w:val="20"/>
                <w:szCs w:val="20"/>
              </w:rPr>
              <w:t>Meaning</w:t>
            </w:r>
          </w:p>
        </w:tc>
      </w:tr>
      <w:tr w:rsidR="00D11386" w:rsidRPr="00AB2D23" w14:paraId="1FB2423B" w14:textId="77777777" w:rsidTr="00BB2E67">
        <w:trPr>
          <w:cantSplit/>
          <w:trHeight w:val="276"/>
          <w:jc w:val="center"/>
        </w:trPr>
        <w:tc>
          <w:tcPr>
            <w:tcW w:w="1868" w:type="dxa"/>
            <w:vAlign w:val="center"/>
          </w:tcPr>
          <w:p w14:paraId="773A5D08"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AI</w:t>
            </w:r>
          </w:p>
        </w:tc>
        <w:tc>
          <w:tcPr>
            <w:tcW w:w="8421" w:type="dxa"/>
            <w:vAlign w:val="center"/>
          </w:tcPr>
          <w:p w14:paraId="150FF18C"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Artificial Intelligence</w:t>
            </w:r>
          </w:p>
        </w:tc>
      </w:tr>
      <w:tr w:rsidR="00D11386" w:rsidRPr="00AB2D23" w14:paraId="525266EF" w14:textId="77777777" w:rsidTr="00BB2E67">
        <w:trPr>
          <w:cantSplit/>
          <w:trHeight w:val="276"/>
          <w:jc w:val="center"/>
        </w:trPr>
        <w:tc>
          <w:tcPr>
            <w:tcW w:w="1868" w:type="dxa"/>
            <w:vAlign w:val="center"/>
          </w:tcPr>
          <w:p w14:paraId="14A39805"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LLM</w:t>
            </w:r>
          </w:p>
        </w:tc>
        <w:tc>
          <w:tcPr>
            <w:tcW w:w="8421" w:type="dxa"/>
            <w:vAlign w:val="center"/>
          </w:tcPr>
          <w:p w14:paraId="630BAF56"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Large Language Model</w:t>
            </w:r>
          </w:p>
        </w:tc>
      </w:tr>
      <w:tr w:rsidR="00D11386" w:rsidRPr="00AB2D23" w14:paraId="2B93C1DB" w14:textId="77777777" w:rsidTr="00BB2E67">
        <w:trPr>
          <w:cantSplit/>
          <w:trHeight w:val="276"/>
          <w:jc w:val="center"/>
        </w:trPr>
        <w:tc>
          <w:tcPr>
            <w:tcW w:w="1868" w:type="dxa"/>
            <w:vAlign w:val="center"/>
          </w:tcPr>
          <w:p w14:paraId="3E43BFDB"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IPI</w:t>
            </w:r>
          </w:p>
        </w:tc>
        <w:tc>
          <w:tcPr>
            <w:tcW w:w="8421" w:type="dxa"/>
            <w:vAlign w:val="center"/>
          </w:tcPr>
          <w:p w14:paraId="48241704"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Indirect Prompt Injection</w:t>
            </w:r>
          </w:p>
        </w:tc>
      </w:tr>
      <w:tr w:rsidR="00D11386" w:rsidRPr="00AB2D23" w14:paraId="118FD969" w14:textId="77777777" w:rsidTr="00BB2E67">
        <w:trPr>
          <w:cantSplit/>
          <w:trHeight w:val="276"/>
          <w:jc w:val="center"/>
        </w:trPr>
        <w:tc>
          <w:tcPr>
            <w:tcW w:w="1868" w:type="dxa"/>
            <w:vAlign w:val="center"/>
          </w:tcPr>
          <w:p w14:paraId="5E80BA62"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PI</w:t>
            </w:r>
          </w:p>
        </w:tc>
        <w:tc>
          <w:tcPr>
            <w:tcW w:w="8421" w:type="dxa"/>
            <w:vAlign w:val="center"/>
          </w:tcPr>
          <w:p w14:paraId="0B7B3AEA"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Prompt Injection</w:t>
            </w:r>
          </w:p>
        </w:tc>
      </w:tr>
      <w:tr w:rsidR="00D11386" w:rsidRPr="00AB2D23" w14:paraId="266183EF" w14:textId="77777777" w:rsidTr="00BB2E67">
        <w:trPr>
          <w:cantSplit/>
          <w:trHeight w:val="276"/>
          <w:jc w:val="center"/>
        </w:trPr>
        <w:tc>
          <w:tcPr>
            <w:tcW w:w="1868" w:type="dxa"/>
            <w:vAlign w:val="center"/>
          </w:tcPr>
          <w:p w14:paraId="56943FAD"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MCP</w:t>
            </w:r>
          </w:p>
        </w:tc>
        <w:tc>
          <w:tcPr>
            <w:tcW w:w="8421" w:type="dxa"/>
            <w:vAlign w:val="center"/>
          </w:tcPr>
          <w:p w14:paraId="105BA1F9"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Model Context Protocol</w:t>
            </w:r>
          </w:p>
        </w:tc>
      </w:tr>
      <w:tr w:rsidR="00D11386" w:rsidRPr="00AB2D23" w14:paraId="3FB90061" w14:textId="77777777" w:rsidTr="00BB2E67">
        <w:trPr>
          <w:cantSplit/>
          <w:trHeight w:val="276"/>
          <w:jc w:val="center"/>
        </w:trPr>
        <w:tc>
          <w:tcPr>
            <w:tcW w:w="1868" w:type="dxa"/>
            <w:vAlign w:val="center"/>
          </w:tcPr>
          <w:p w14:paraId="060F1D54"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API</w:t>
            </w:r>
          </w:p>
        </w:tc>
        <w:tc>
          <w:tcPr>
            <w:tcW w:w="8421" w:type="dxa"/>
            <w:vAlign w:val="center"/>
          </w:tcPr>
          <w:p w14:paraId="0CE4C728"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Application Programming Interface</w:t>
            </w:r>
          </w:p>
        </w:tc>
      </w:tr>
      <w:tr w:rsidR="00D11386" w:rsidRPr="00AB2D23" w14:paraId="4F83D5C3" w14:textId="77777777" w:rsidTr="00BB2E67">
        <w:trPr>
          <w:cantSplit/>
          <w:trHeight w:val="276"/>
          <w:jc w:val="center"/>
        </w:trPr>
        <w:tc>
          <w:tcPr>
            <w:tcW w:w="1868" w:type="dxa"/>
            <w:vAlign w:val="center"/>
          </w:tcPr>
          <w:p w14:paraId="37506194"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ASR</w:t>
            </w:r>
          </w:p>
        </w:tc>
        <w:tc>
          <w:tcPr>
            <w:tcW w:w="8421" w:type="dxa"/>
            <w:vAlign w:val="center"/>
          </w:tcPr>
          <w:p w14:paraId="21BC4A87"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Attack Success Rate</w:t>
            </w:r>
          </w:p>
        </w:tc>
      </w:tr>
      <w:tr w:rsidR="00D11386" w:rsidRPr="00AB2D23" w14:paraId="5F252464" w14:textId="77777777" w:rsidTr="00BB2E67">
        <w:trPr>
          <w:cantSplit/>
          <w:trHeight w:val="276"/>
          <w:jc w:val="center"/>
        </w:trPr>
        <w:tc>
          <w:tcPr>
            <w:tcW w:w="1868" w:type="dxa"/>
            <w:vAlign w:val="center"/>
          </w:tcPr>
          <w:p w14:paraId="0FAC86F0"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TP</w:t>
            </w:r>
          </w:p>
        </w:tc>
        <w:tc>
          <w:tcPr>
            <w:tcW w:w="8421" w:type="dxa"/>
            <w:vAlign w:val="center"/>
          </w:tcPr>
          <w:p w14:paraId="68C16AA5"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True Positive</w:t>
            </w:r>
          </w:p>
        </w:tc>
      </w:tr>
      <w:tr w:rsidR="00D11386" w:rsidRPr="00AB2D23" w14:paraId="01E4000D" w14:textId="77777777" w:rsidTr="00BB2E67">
        <w:trPr>
          <w:cantSplit/>
          <w:trHeight w:val="276"/>
          <w:jc w:val="center"/>
        </w:trPr>
        <w:tc>
          <w:tcPr>
            <w:tcW w:w="1868" w:type="dxa"/>
            <w:vAlign w:val="center"/>
          </w:tcPr>
          <w:p w14:paraId="2EF1F21C"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TN</w:t>
            </w:r>
          </w:p>
        </w:tc>
        <w:tc>
          <w:tcPr>
            <w:tcW w:w="8421" w:type="dxa"/>
            <w:vAlign w:val="center"/>
          </w:tcPr>
          <w:p w14:paraId="12E1F796"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True Negative</w:t>
            </w:r>
          </w:p>
        </w:tc>
      </w:tr>
      <w:tr w:rsidR="00D11386" w:rsidRPr="00AB2D23" w14:paraId="09DB1DE7" w14:textId="77777777" w:rsidTr="00BB2E67">
        <w:trPr>
          <w:cantSplit/>
          <w:trHeight w:val="276"/>
          <w:jc w:val="center"/>
        </w:trPr>
        <w:tc>
          <w:tcPr>
            <w:tcW w:w="1868" w:type="dxa"/>
            <w:vAlign w:val="center"/>
          </w:tcPr>
          <w:p w14:paraId="22E29BEF"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FP</w:t>
            </w:r>
          </w:p>
        </w:tc>
        <w:tc>
          <w:tcPr>
            <w:tcW w:w="8421" w:type="dxa"/>
            <w:vAlign w:val="center"/>
          </w:tcPr>
          <w:p w14:paraId="6A84F5EB"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False Positive</w:t>
            </w:r>
          </w:p>
        </w:tc>
      </w:tr>
      <w:tr w:rsidR="00D11386" w:rsidRPr="00AB2D23" w14:paraId="3AB1A649" w14:textId="77777777" w:rsidTr="00BB2E67">
        <w:trPr>
          <w:cantSplit/>
          <w:trHeight w:val="276"/>
          <w:jc w:val="center"/>
        </w:trPr>
        <w:tc>
          <w:tcPr>
            <w:tcW w:w="1868" w:type="dxa"/>
            <w:vAlign w:val="center"/>
          </w:tcPr>
          <w:p w14:paraId="3616DF1D"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FN</w:t>
            </w:r>
          </w:p>
        </w:tc>
        <w:tc>
          <w:tcPr>
            <w:tcW w:w="8421" w:type="dxa"/>
            <w:vAlign w:val="center"/>
          </w:tcPr>
          <w:p w14:paraId="267A3E38"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False Negative</w:t>
            </w:r>
          </w:p>
        </w:tc>
      </w:tr>
      <w:tr w:rsidR="00D11386" w:rsidRPr="00AB2D23" w14:paraId="1FB6C79E" w14:textId="77777777" w:rsidTr="00BB2E67">
        <w:trPr>
          <w:cantSplit/>
          <w:trHeight w:val="276"/>
          <w:jc w:val="center"/>
        </w:trPr>
        <w:tc>
          <w:tcPr>
            <w:tcW w:w="1868" w:type="dxa"/>
            <w:vAlign w:val="center"/>
          </w:tcPr>
          <w:p w14:paraId="4C452459"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FPR</w:t>
            </w:r>
          </w:p>
        </w:tc>
        <w:tc>
          <w:tcPr>
            <w:tcW w:w="8421" w:type="dxa"/>
            <w:vAlign w:val="center"/>
          </w:tcPr>
          <w:p w14:paraId="13903E68"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False Positive Rate</w:t>
            </w:r>
          </w:p>
        </w:tc>
      </w:tr>
      <w:tr w:rsidR="00D11386" w:rsidRPr="00AB2D23" w14:paraId="61A8E335" w14:textId="77777777" w:rsidTr="00BB2E67">
        <w:trPr>
          <w:cantSplit/>
          <w:trHeight w:val="276"/>
          <w:jc w:val="center"/>
        </w:trPr>
        <w:tc>
          <w:tcPr>
            <w:tcW w:w="1868" w:type="dxa"/>
            <w:vAlign w:val="center"/>
          </w:tcPr>
          <w:p w14:paraId="4214B5D7"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TPR</w:t>
            </w:r>
          </w:p>
        </w:tc>
        <w:tc>
          <w:tcPr>
            <w:tcW w:w="8421" w:type="dxa"/>
            <w:vAlign w:val="center"/>
          </w:tcPr>
          <w:p w14:paraId="2F90D0D9"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True Positive Rate / Detection Rate</w:t>
            </w:r>
          </w:p>
        </w:tc>
      </w:tr>
      <w:tr w:rsidR="00D11386" w:rsidRPr="00AB2D23" w14:paraId="081855F1" w14:textId="77777777" w:rsidTr="00BB2E67">
        <w:trPr>
          <w:cantSplit/>
          <w:trHeight w:val="276"/>
          <w:jc w:val="center"/>
        </w:trPr>
        <w:tc>
          <w:tcPr>
            <w:tcW w:w="1868" w:type="dxa"/>
            <w:vAlign w:val="center"/>
          </w:tcPr>
          <w:p w14:paraId="272141F2"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F1</w:t>
            </w:r>
          </w:p>
        </w:tc>
        <w:tc>
          <w:tcPr>
            <w:tcW w:w="8421" w:type="dxa"/>
            <w:vAlign w:val="center"/>
          </w:tcPr>
          <w:p w14:paraId="41EBA4A6"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F1 Score</w:t>
            </w:r>
          </w:p>
        </w:tc>
      </w:tr>
      <w:tr w:rsidR="00D11386" w:rsidRPr="00AB2D23" w14:paraId="77333F68" w14:textId="77777777" w:rsidTr="00BB2E67">
        <w:trPr>
          <w:cantSplit/>
          <w:trHeight w:val="276"/>
          <w:jc w:val="center"/>
        </w:trPr>
        <w:tc>
          <w:tcPr>
            <w:tcW w:w="1868" w:type="dxa"/>
            <w:vAlign w:val="center"/>
          </w:tcPr>
          <w:p w14:paraId="28A5A5AA"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WebSocket</w:t>
            </w:r>
          </w:p>
        </w:tc>
        <w:tc>
          <w:tcPr>
            <w:tcW w:w="8421" w:type="dxa"/>
            <w:vAlign w:val="center"/>
          </w:tcPr>
          <w:p w14:paraId="75D13D8D"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WebSocket communication protocol</w:t>
            </w:r>
          </w:p>
        </w:tc>
      </w:tr>
      <w:tr w:rsidR="00D11386" w:rsidRPr="00AB2D23" w14:paraId="4B5AA9CB" w14:textId="77777777" w:rsidTr="00BB2E67">
        <w:trPr>
          <w:cantSplit/>
          <w:trHeight w:val="276"/>
          <w:jc w:val="center"/>
        </w:trPr>
        <w:tc>
          <w:tcPr>
            <w:tcW w:w="1868" w:type="dxa"/>
            <w:vAlign w:val="center"/>
          </w:tcPr>
          <w:p w14:paraId="04147C49"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UI</w:t>
            </w:r>
          </w:p>
        </w:tc>
        <w:tc>
          <w:tcPr>
            <w:tcW w:w="8421" w:type="dxa"/>
            <w:vAlign w:val="center"/>
          </w:tcPr>
          <w:p w14:paraId="20F0A79B"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User Interface</w:t>
            </w:r>
          </w:p>
        </w:tc>
      </w:tr>
      <w:tr w:rsidR="00D11386" w:rsidRPr="00AB2D23" w14:paraId="5CA55D8D" w14:textId="77777777" w:rsidTr="00BB2E67">
        <w:trPr>
          <w:cantSplit/>
          <w:trHeight w:val="276"/>
          <w:jc w:val="center"/>
        </w:trPr>
        <w:tc>
          <w:tcPr>
            <w:tcW w:w="1868" w:type="dxa"/>
            <w:vAlign w:val="center"/>
          </w:tcPr>
          <w:p w14:paraId="7030AB55"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DB</w:t>
            </w:r>
          </w:p>
        </w:tc>
        <w:tc>
          <w:tcPr>
            <w:tcW w:w="8421" w:type="dxa"/>
            <w:vAlign w:val="center"/>
          </w:tcPr>
          <w:p w14:paraId="1629CCE0"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Database</w:t>
            </w:r>
          </w:p>
        </w:tc>
      </w:tr>
      <w:tr w:rsidR="00D11386" w:rsidRPr="00AB2D23" w14:paraId="53A2A6EF" w14:textId="77777777" w:rsidTr="00BB2E67">
        <w:trPr>
          <w:cantSplit/>
          <w:trHeight w:val="276"/>
          <w:jc w:val="center"/>
        </w:trPr>
        <w:tc>
          <w:tcPr>
            <w:tcW w:w="1868" w:type="dxa"/>
            <w:vAlign w:val="center"/>
          </w:tcPr>
          <w:p w14:paraId="4F02E28F"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RAG</w:t>
            </w:r>
          </w:p>
        </w:tc>
        <w:tc>
          <w:tcPr>
            <w:tcW w:w="8421" w:type="dxa"/>
            <w:vAlign w:val="center"/>
          </w:tcPr>
          <w:p w14:paraId="3CBA56D9"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Retrieval-Augmented Generation</w:t>
            </w:r>
          </w:p>
        </w:tc>
      </w:tr>
      <w:tr w:rsidR="00D11386" w:rsidRPr="00AB2D23" w14:paraId="785B96BC" w14:textId="77777777" w:rsidTr="00BB2E67">
        <w:trPr>
          <w:cantSplit/>
          <w:trHeight w:val="276"/>
          <w:jc w:val="center"/>
        </w:trPr>
        <w:tc>
          <w:tcPr>
            <w:tcW w:w="1868" w:type="dxa"/>
            <w:vAlign w:val="center"/>
          </w:tcPr>
          <w:p w14:paraId="21EB1271"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OWASP</w:t>
            </w:r>
          </w:p>
        </w:tc>
        <w:tc>
          <w:tcPr>
            <w:tcW w:w="8421" w:type="dxa"/>
            <w:vAlign w:val="center"/>
          </w:tcPr>
          <w:p w14:paraId="522F36F1"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Open Worldwide Application Security Project</w:t>
            </w:r>
          </w:p>
        </w:tc>
      </w:tr>
      <w:tr w:rsidR="00D11386" w:rsidRPr="00AB2D23" w14:paraId="4976EA47" w14:textId="77777777" w:rsidTr="00BB2E67">
        <w:trPr>
          <w:cantSplit/>
          <w:trHeight w:val="276"/>
          <w:jc w:val="center"/>
        </w:trPr>
        <w:tc>
          <w:tcPr>
            <w:tcW w:w="1868" w:type="dxa"/>
            <w:vAlign w:val="center"/>
          </w:tcPr>
          <w:p w14:paraId="6CB2ACAB"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IEEE</w:t>
            </w:r>
          </w:p>
        </w:tc>
        <w:tc>
          <w:tcPr>
            <w:tcW w:w="8421" w:type="dxa"/>
            <w:vAlign w:val="center"/>
          </w:tcPr>
          <w:p w14:paraId="1D971E6C"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Institute of Electrical and Electronics Engineers</w:t>
            </w:r>
          </w:p>
        </w:tc>
      </w:tr>
      <w:tr w:rsidR="00D11386" w:rsidRPr="00AB2D23" w14:paraId="4DDBB212" w14:textId="77777777" w:rsidTr="00BB2E67">
        <w:trPr>
          <w:cantSplit/>
          <w:trHeight w:val="60"/>
          <w:jc w:val="center"/>
        </w:trPr>
        <w:tc>
          <w:tcPr>
            <w:tcW w:w="1868" w:type="dxa"/>
            <w:vAlign w:val="center"/>
          </w:tcPr>
          <w:p w14:paraId="720685D9" w14:textId="77777777" w:rsidR="00D11386" w:rsidRPr="00AB2D23" w:rsidRDefault="00D11386" w:rsidP="00AB2D23">
            <w:pPr>
              <w:spacing w:line="360" w:lineRule="auto"/>
              <w:jc w:val="center"/>
              <w:rPr>
                <w:rFonts w:asciiTheme="majorBidi" w:hAnsiTheme="majorBidi" w:cstheme="majorBidi"/>
                <w:sz w:val="20"/>
                <w:szCs w:val="20"/>
              </w:rPr>
            </w:pPr>
            <w:r w:rsidRPr="00AB2D23">
              <w:rPr>
                <w:rFonts w:asciiTheme="majorBidi" w:eastAsia="Times New Roman" w:hAnsiTheme="majorBidi" w:cstheme="majorBidi"/>
                <w:sz w:val="20"/>
                <w:szCs w:val="20"/>
              </w:rPr>
              <w:t>FYP</w:t>
            </w:r>
          </w:p>
        </w:tc>
        <w:tc>
          <w:tcPr>
            <w:tcW w:w="8421" w:type="dxa"/>
            <w:vAlign w:val="center"/>
          </w:tcPr>
          <w:p w14:paraId="7F49D0C9" w14:textId="77777777" w:rsidR="00D11386" w:rsidRPr="00AB2D23" w:rsidRDefault="00D11386" w:rsidP="00AB2D23">
            <w:pPr>
              <w:spacing w:line="360" w:lineRule="auto"/>
              <w:rPr>
                <w:rFonts w:asciiTheme="majorBidi" w:hAnsiTheme="majorBidi" w:cstheme="majorBidi"/>
                <w:sz w:val="20"/>
                <w:szCs w:val="20"/>
              </w:rPr>
            </w:pPr>
            <w:r w:rsidRPr="00AB2D23">
              <w:rPr>
                <w:rFonts w:asciiTheme="majorBidi" w:eastAsia="Times New Roman" w:hAnsiTheme="majorBidi" w:cstheme="majorBidi"/>
                <w:sz w:val="20"/>
                <w:szCs w:val="20"/>
              </w:rPr>
              <w:t>Final Year Project</w:t>
            </w:r>
          </w:p>
        </w:tc>
      </w:tr>
    </w:tbl>
    <w:p w14:paraId="004B2A8B" w14:textId="77777777" w:rsidR="00D11386" w:rsidRPr="00AB2D23" w:rsidRDefault="00D11386" w:rsidP="00AB2D23">
      <w:pPr>
        <w:spacing w:line="360" w:lineRule="auto"/>
        <w:rPr>
          <w:rFonts w:asciiTheme="majorBidi" w:hAnsiTheme="majorBidi" w:cstheme="majorBidi"/>
        </w:rPr>
      </w:pPr>
    </w:p>
    <w:p w14:paraId="27CA4485" w14:textId="77777777" w:rsidR="00D11386" w:rsidRPr="00AB2D23" w:rsidRDefault="00D11386" w:rsidP="00AB2D23">
      <w:pPr>
        <w:spacing w:line="360" w:lineRule="auto"/>
        <w:rPr>
          <w:rFonts w:asciiTheme="majorBidi" w:hAnsiTheme="majorBidi" w:cstheme="majorBidi"/>
          <w:b/>
          <w:bCs/>
          <w:sz w:val="28"/>
          <w:szCs w:val="28"/>
        </w:rPr>
      </w:pPr>
    </w:p>
    <w:p w14:paraId="1FAC535B" w14:textId="77777777" w:rsidR="00D11386" w:rsidRPr="00AB2D23" w:rsidRDefault="00D11386" w:rsidP="00AB2D23">
      <w:pPr>
        <w:spacing w:line="360" w:lineRule="auto"/>
        <w:rPr>
          <w:rFonts w:asciiTheme="majorBidi" w:hAnsiTheme="majorBidi" w:cstheme="majorBidi"/>
          <w:b/>
          <w:bCs/>
          <w:sz w:val="28"/>
          <w:szCs w:val="28"/>
        </w:rPr>
      </w:pPr>
    </w:p>
    <w:p w14:paraId="6249D416" w14:textId="77777777" w:rsidR="00D11386" w:rsidRPr="00AB2D23" w:rsidRDefault="00D11386" w:rsidP="00AB2D23">
      <w:pPr>
        <w:spacing w:line="360" w:lineRule="auto"/>
        <w:rPr>
          <w:rFonts w:asciiTheme="majorBidi" w:hAnsiTheme="majorBidi" w:cstheme="majorBidi"/>
          <w:b/>
          <w:bCs/>
          <w:sz w:val="28"/>
          <w:szCs w:val="28"/>
        </w:rPr>
      </w:pPr>
    </w:p>
    <w:p w14:paraId="2F627DC9" w14:textId="77777777" w:rsidR="00D11386" w:rsidRPr="00AB2D23" w:rsidRDefault="00D11386" w:rsidP="00AB2D23">
      <w:pPr>
        <w:spacing w:line="360" w:lineRule="auto"/>
        <w:rPr>
          <w:rFonts w:asciiTheme="majorBidi" w:hAnsiTheme="majorBidi" w:cstheme="majorBidi"/>
          <w:b/>
          <w:bCs/>
          <w:sz w:val="28"/>
          <w:szCs w:val="28"/>
        </w:rPr>
      </w:pPr>
    </w:p>
    <w:p w14:paraId="37D3CCE7" w14:textId="77777777" w:rsidR="00BB2E67" w:rsidRPr="00AB2D23" w:rsidRDefault="00BB2E67" w:rsidP="00AB2D23">
      <w:pPr>
        <w:spacing w:before="220" w:line="360" w:lineRule="auto"/>
        <w:rPr>
          <w:rFonts w:asciiTheme="majorBidi" w:hAnsiTheme="majorBidi" w:cstheme="majorBidi"/>
          <w:b/>
          <w:bCs/>
          <w:sz w:val="28"/>
          <w:szCs w:val="28"/>
        </w:rPr>
      </w:pPr>
    </w:p>
    <w:p w14:paraId="4664352B" w14:textId="550EE77F" w:rsidR="008B7D85" w:rsidRPr="00AB2D23" w:rsidRDefault="00141FF7" w:rsidP="00AB2D23">
      <w:pPr>
        <w:spacing w:before="220" w:line="360" w:lineRule="auto"/>
        <w:jc w:val="both"/>
        <w:rPr>
          <w:rFonts w:asciiTheme="majorBidi" w:hAnsiTheme="majorBidi" w:cstheme="majorBidi"/>
          <w:color w:val="00000A"/>
        </w:rPr>
      </w:pPr>
      <w:r w:rsidRPr="00AB2D23">
        <w:rPr>
          <w:rFonts w:asciiTheme="majorBidi" w:hAnsiTheme="majorBidi" w:cstheme="majorBidi"/>
          <w:b/>
          <w:bCs/>
          <w:color w:val="00000A"/>
          <w:sz w:val="28"/>
          <w:szCs w:val="28"/>
        </w:rPr>
        <w:lastRenderedPageBreak/>
        <w:t>Abstract</w:t>
      </w:r>
    </w:p>
    <w:p w14:paraId="0D58898B" w14:textId="37911DA9" w:rsidR="008B7D85"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Today, AI agents can read emails, tickets and documents and then take action on them by sending messages, forwarding files or calling external services. Since the user request comes in the same context as the untrusted content, an intruder can place an instruction in a normal document, and the agent might execute it. This is referred to as indirect prompt injection. AdaptiShield is a security gateway that checks each change the agent suggests prior to the execution of any tool. It will run the agent decision twice, one time with the suspicious content visible, and one time with the suspicious content hidden or cleaned up, and consider any difference in the action chosen as an evidence of injection. The injected actions are denied, or injected text is removed and the user task continues to run. A dashboard updates with all layers decisions in real time, and the changes to the configuration must be approved by an administrator. The system will be tested on the InjecAgent and AgentDojo benchmarks and it will report the detection rate, false alarm rate and task completion rate by attack type.</w:t>
      </w:r>
    </w:p>
    <w:p w14:paraId="6BB4A545"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71566581"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5F20D68B"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12EC6302"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19A6C144"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17E93069"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6E736629"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4AABD797"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20E7D532"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436490AA" w14:textId="77777777" w:rsidR="00BB2E67" w:rsidRPr="00AB2D23" w:rsidRDefault="00BB2E67" w:rsidP="00AB2D23">
      <w:pPr>
        <w:spacing w:before="220" w:line="360" w:lineRule="auto"/>
        <w:jc w:val="both"/>
        <w:rPr>
          <w:rFonts w:asciiTheme="majorBidi" w:hAnsiTheme="majorBidi" w:cstheme="majorBidi"/>
          <w:b/>
          <w:bCs/>
          <w:color w:val="00000A"/>
          <w:sz w:val="28"/>
          <w:szCs w:val="28"/>
        </w:rPr>
      </w:pPr>
    </w:p>
    <w:p w14:paraId="18A15897" w14:textId="1E65D336" w:rsidR="008B7D85" w:rsidRPr="00AB2D23" w:rsidRDefault="00141FF7" w:rsidP="00AB2D23">
      <w:pPr>
        <w:spacing w:before="220" w:line="360" w:lineRule="auto"/>
        <w:jc w:val="both"/>
        <w:rPr>
          <w:rFonts w:asciiTheme="majorBidi" w:hAnsiTheme="majorBidi" w:cstheme="majorBidi"/>
          <w:b/>
          <w:bCs/>
          <w:color w:val="00000A"/>
          <w:sz w:val="28"/>
          <w:szCs w:val="28"/>
        </w:rPr>
      </w:pPr>
      <w:r w:rsidRPr="00AB2D23">
        <w:rPr>
          <w:rFonts w:asciiTheme="majorBidi" w:hAnsiTheme="majorBidi" w:cstheme="majorBidi"/>
          <w:b/>
          <w:bCs/>
          <w:color w:val="00000A"/>
          <w:sz w:val="28"/>
          <w:szCs w:val="28"/>
        </w:rPr>
        <w:lastRenderedPageBreak/>
        <w:t>Introduction</w:t>
      </w:r>
    </w:p>
    <w:p w14:paraId="101F6A81" w14:textId="777777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Large Language Models are not just for answering questions. They're used as agents: Systems that read from external sources and then call tools to fulfill a user's request. An assistant can read inbox, reply, read a support ticket and update a record, or read a build log and open a PR. It's commonplace to attach a model to file systems, mail servers, internal APIs, with protocols like the Model Context Protocol.</w:t>
      </w:r>
    </w:p>
    <w:p w14:paraId="2045979B" w14:textId="31A12CC3"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 xml:space="preserve">That connection will be a security issue that the model cannot resolve. The user instruction and what the agent needs to read, both are in the same context window and in the same form, there's no way for the model to tell which part is data it should process and which is a command it should follow. If the attacker is able to write a document the agent will read, the attacker can put a line in it, like the end of a meeting email, requesting that the agent forward the thread to an outside email address. </w:t>
      </w:r>
      <w:r w:rsidR="005F5D67" w:rsidRPr="00AB2D23">
        <w:rPr>
          <w:rFonts w:asciiTheme="majorBidi" w:hAnsiTheme="majorBidi" w:cstheme="majorBidi"/>
          <w:color w:val="00000A"/>
          <w:sz w:val="24"/>
          <w:szCs w:val="24"/>
        </w:rPr>
        <w:t>The attacker does not touch the user prompt and never interacts with the model directly. s</w:t>
      </w:r>
      <w:r w:rsidRPr="00AB2D23">
        <w:rPr>
          <w:rFonts w:asciiTheme="majorBidi" w:hAnsiTheme="majorBidi" w:cstheme="majorBidi"/>
          <w:color w:val="00000A"/>
          <w:sz w:val="24"/>
          <w:szCs w:val="24"/>
        </w:rPr>
        <w:t xml:space="preserve">This attack is called indirect prompt injection; the first description of it is by Greshake </w:t>
      </w:r>
      <w:r w:rsidR="00811537" w:rsidRPr="00AB2D23">
        <w:rPr>
          <w:rFonts w:asciiTheme="majorBidi" w:hAnsiTheme="majorBidi" w:cstheme="majorBidi"/>
          <w:color w:val="00000A"/>
          <w:sz w:val="24"/>
          <w:szCs w:val="24"/>
        </w:rPr>
        <w:t>et al.</w:t>
      </w:r>
      <w:sdt>
        <w:sdtPr>
          <w:rPr>
            <w:rFonts w:asciiTheme="majorBidi" w:hAnsiTheme="majorBidi" w:cstheme="majorBidi"/>
            <w:color w:val="00000A"/>
            <w:sz w:val="24"/>
            <w:szCs w:val="24"/>
          </w:rPr>
          <w:id w:val="2001931624"/>
          <w:citation/>
        </w:sdtPr>
        <w:sdtEndPr/>
        <w:sdtContent>
          <w:r w:rsidR="00811537" w:rsidRPr="00AB2D23">
            <w:rPr>
              <w:rFonts w:asciiTheme="majorBidi" w:hAnsiTheme="majorBidi" w:cstheme="majorBidi"/>
              <w:color w:val="00000A"/>
              <w:sz w:val="24"/>
              <w:szCs w:val="24"/>
            </w:rPr>
            <w:fldChar w:fldCharType="begin"/>
          </w:r>
          <w:r w:rsidR="00811537" w:rsidRPr="00AB2D23">
            <w:rPr>
              <w:rFonts w:asciiTheme="majorBidi" w:hAnsiTheme="majorBidi" w:cstheme="majorBidi"/>
              <w:color w:val="00000A"/>
              <w:sz w:val="24"/>
              <w:szCs w:val="24"/>
              <w:lang w:val="en-US"/>
            </w:rPr>
            <w:instrText xml:space="preserve"> CITATION SCh25 \l 1033 </w:instrText>
          </w:r>
          <w:r w:rsidR="00811537" w:rsidRPr="00AB2D23">
            <w:rPr>
              <w:rFonts w:asciiTheme="majorBidi" w:hAnsiTheme="majorBidi" w:cstheme="majorBidi"/>
              <w:color w:val="00000A"/>
              <w:sz w:val="24"/>
              <w:szCs w:val="24"/>
            </w:rPr>
            <w:fldChar w:fldCharType="separate"/>
          </w:r>
          <w:r w:rsidR="006615BD" w:rsidRPr="00AB2D23">
            <w:rPr>
              <w:rFonts w:asciiTheme="majorBidi" w:hAnsiTheme="majorBidi" w:cstheme="majorBidi"/>
              <w:noProof/>
              <w:color w:val="00000A"/>
              <w:sz w:val="24"/>
              <w:szCs w:val="24"/>
              <w:lang w:val="en-US"/>
            </w:rPr>
            <w:t xml:space="preserve"> [1]</w:t>
          </w:r>
          <w:r w:rsidR="00811537" w:rsidRPr="00AB2D23">
            <w:rPr>
              <w:rFonts w:asciiTheme="majorBidi" w:hAnsiTheme="majorBidi" w:cstheme="majorBidi"/>
              <w:color w:val="00000A"/>
              <w:sz w:val="24"/>
              <w:szCs w:val="24"/>
            </w:rPr>
            <w:fldChar w:fldCharType="end"/>
          </w:r>
        </w:sdtContent>
      </w:sdt>
      <w:r w:rsidR="00811537" w:rsidRPr="00AB2D23">
        <w:rPr>
          <w:rFonts w:asciiTheme="majorBidi" w:hAnsiTheme="majorBidi" w:cstheme="majorBidi"/>
          <w:color w:val="00000A"/>
          <w:sz w:val="24"/>
          <w:szCs w:val="24"/>
        </w:rPr>
        <w:t>.</w:t>
      </w:r>
      <w:r w:rsidRPr="00AB2D23">
        <w:rPr>
          <w:rFonts w:asciiTheme="majorBidi" w:hAnsiTheme="majorBidi" w:cstheme="majorBidi"/>
          <w:color w:val="00000A"/>
          <w:sz w:val="24"/>
          <w:szCs w:val="24"/>
        </w:rPr>
        <w:t>It is now at the No.1 spot in the OWASP list</w:t>
      </w:r>
      <w:r w:rsidR="00F31183" w:rsidRPr="00AB2D23">
        <w:rPr>
          <w:rFonts w:asciiTheme="majorBidi" w:hAnsiTheme="majorBidi" w:cstheme="majorBidi"/>
          <w:color w:val="00000A"/>
          <w:sz w:val="24"/>
          <w:szCs w:val="24"/>
        </w:rPr>
        <w:t xml:space="preserve"> of risks to LLM applications</w:t>
      </w:r>
    </w:p>
    <w:p w14:paraId="71E5D3E4" w14:textId="55F88D7C" w:rsidR="008B7D85" w:rsidRPr="00AB2D23" w:rsidRDefault="005F5D67"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 xml:space="preserve">Two families of defense are common. Prompt level defenses mark the untrusted span and tell the model to ignore commands inside it. </w:t>
      </w:r>
      <w:r w:rsidR="004B4178" w:rsidRPr="00AB2D23">
        <w:rPr>
          <w:rFonts w:asciiTheme="majorBidi" w:hAnsiTheme="majorBidi" w:cstheme="majorBidi"/>
          <w:color w:val="00000A"/>
          <w:sz w:val="24"/>
          <w:szCs w:val="24"/>
        </w:rPr>
        <w:t>Gate level defense controls are used to further limit what the agent can do after with permission scopes, egress allowlists and tool filters. Both make inferences about surface: one is based on the look of the text, one is based on the action. Neither asks whether the untrusted text was what was responsible for the decision</w:t>
      </w:r>
      <w:r w:rsidRPr="00AB2D23">
        <w:rPr>
          <w:rFonts w:asciiTheme="majorBidi" w:hAnsiTheme="majorBidi" w:cstheme="majorBidi"/>
          <w:color w:val="00000A"/>
          <w:sz w:val="24"/>
          <w:szCs w:val="24"/>
        </w:rPr>
        <w:t>.</w:t>
      </w:r>
    </w:p>
    <w:p w14:paraId="18FEC6A5" w14:textId="77777777" w:rsidR="008B7D85" w:rsidRPr="00AB2D23" w:rsidRDefault="00141FF7" w:rsidP="00AB2D23">
      <w:pPr>
        <w:spacing w:before="220" w:line="360" w:lineRule="auto"/>
        <w:jc w:val="both"/>
        <w:rPr>
          <w:rFonts w:asciiTheme="majorBidi" w:hAnsiTheme="majorBidi" w:cstheme="majorBidi"/>
          <w:b/>
          <w:bCs/>
          <w:color w:val="00000A"/>
          <w:sz w:val="28"/>
          <w:szCs w:val="28"/>
        </w:rPr>
      </w:pPr>
      <w:r w:rsidRPr="00AB2D23">
        <w:rPr>
          <w:rFonts w:asciiTheme="majorBidi" w:hAnsiTheme="majorBidi" w:cstheme="majorBidi"/>
          <w:b/>
          <w:bCs/>
          <w:color w:val="00000A"/>
          <w:sz w:val="28"/>
          <w:szCs w:val="28"/>
        </w:rPr>
        <w:t>Motivation</w:t>
      </w:r>
    </w:p>
    <w:p w14:paraId="0AF5C287" w14:textId="39B875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This attack does not only result in an incorrect answer. An agent that has access to mail can disclose an entire thread. An agent that has access to a file may delete or upload data. A permission can be modified by an agent having an internal API key. Published benchmarks demonstrate exposure is not hypothetical: a prompted GPT-4 agent followed injected instructions in about a 25% of instances, while weaker open models perform</w:t>
      </w:r>
      <w:r w:rsidR="00213767" w:rsidRPr="00AB2D23">
        <w:rPr>
          <w:rFonts w:asciiTheme="majorBidi" w:hAnsiTheme="majorBidi" w:cstheme="majorBidi"/>
          <w:color w:val="00000A"/>
          <w:sz w:val="24"/>
          <w:szCs w:val="24"/>
        </w:rPr>
        <w:t xml:space="preserve">ed significantly worse </w:t>
      </w:r>
      <w:sdt>
        <w:sdtPr>
          <w:rPr>
            <w:rFonts w:asciiTheme="majorBidi" w:hAnsiTheme="majorBidi" w:cstheme="majorBidi"/>
            <w:color w:val="00000A"/>
            <w:sz w:val="24"/>
            <w:szCs w:val="24"/>
          </w:rPr>
          <w:id w:val="-2050672184"/>
          <w:citation/>
        </w:sdtPr>
        <w:sdtEndPr/>
        <w:sdtContent>
          <w:r w:rsidR="00213767" w:rsidRPr="00AB2D23">
            <w:rPr>
              <w:rFonts w:asciiTheme="majorBidi" w:hAnsiTheme="majorBidi" w:cstheme="majorBidi"/>
              <w:color w:val="00000A"/>
              <w:sz w:val="24"/>
              <w:szCs w:val="24"/>
            </w:rPr>
            <w:fldChar w:fldCharType="begin"/>
          </w:r>
          <w:r w:rsidR="00213767" w:rsidRPr="00AB2D23">
            <w:rPr>
              <w:rFonts w:asciiTheme="majorBidi" w:hAnsiTheme="majorBidi" w:cstheme="majorBidi"/>
              <w:color w:val="00000A"/>
              <w:sz w:val="24"/>
              <w:szCs w:val="24"/>
              <w:lang w:val="en-US"/>
            </w:rPr>
            <w:instrText xml:space="preserve"> CITATION YLi23 \l 1033 </w:instrText>
          </w:r>
          <w:r w:rsidR="00213767" w:rsidRPr="00AB2D23">
            <w:rPr>
              <w:rFonts w:asciiTheme="majorBidi" w:hAnsiTheme="majorBidi" w:cstheme="majorBidi"/>
              <w:color w:val="00000A"/>
              <w:sz w:val="24"/>
              <w:szCs w:val="24"/>
            </w:rPr>
            <w:fldChar w:fldCharType="separate"/>
          </w:r>
          <w:r w:rsidR="00213767" w:rsidRPr="00AB2D23">
            <w:rPr>
              <w:rFonts w:asciiTheme="majorBidi" w:hAnsiTheme="majorBidi" w:cstheme="majorBidi"/>
              <w:noProof/>
              <w:color w:val="00000A"/>
              <w:sz w:val="24"/>
              <w:szCs w:val="24"/>
              <w:lang w:val="en-US"/>
            </w:rPr>
            <w:t xml:space="preserve"> [2]</w:t>
          </w:r>
          <w:r w:rsidR="00213767" w:rsidRPr="00AB2D23">
            <w:rPr>
              <w:rFonts w:asciiTheme="majorBidi" w:hAnsiTheme="majorBidi" w:cstheme="majorBidi"/>
              <w:color w:val="00000A"/>
              <w:sz w:val="24"/>
              <w:szCs w:val="24"/>
            </w:rPr>
            <w:fldChar w:fldCharType="end"/>
          </w:r>
        </w:sdtContent>
      </w:sdt>
      <w:sdt>
        <w:sdtPr>
          <w:rPr>
            <w:rFonts w:asciiTheme="majorBidi" w:hAnsiTheme="majorBidi" w:cstheme="majorBidi"/>
            <w:color w:val="00000A"/>
            <w:sz w:val="24"/>
            <w:szCs w:val="24"/>
          </w:rPr>
          <w:id w:val="-27267020"/>
          <w:citation/>
        </w:sdtPr>
        <w:sdtEndPr/>
        <w:sdtContent>
          <w:r w:rsidR="00141FF7" w:rsidRPr="00AB2D23">
            <w:rPr>
              <w:rFonts w:asciiTheme="majorBidi" w:hAnsiTheme="majorBidi" w:cstheme="majorBidi"/>
              <w:color w:val="00000A"/>
              <w:sz w:val="24"/>
              <w:szCs w:val="24"/>
            </w:rPr>
            <w:fldChar w:fldCharType="begin"/>
          </w:r>
          <w:r w:rsidR="00141FF7" w:rsidRPr="00AB2D23">
            <w:rPr>
              <w:rFonts w:asciiTheme="majorBidi" w:hAnsiTheme="majorBidi" w:cstheme="majorBidi"/>
              <w:color w:val="00000A"/>
              <w:sz w:val="24"/>
              <w:szCs w:val="24"/>
              <w:lang w:val="en-US"/>
            </w:rPr>
            <w:instrText xml:space="preserve"> CITATION Placeholder3 \l 1033 </w:instrText>
          </w:r>
          <w:r w:rsidR="00141FF7" w:rsidRPr="00AB2D23">
            <w:rPr>
              <w:rFonts w:asciiTheme="majorBidi" w:hAnsiTheme="majorBidi" w:cstheme="majorBidi"/>
              <w:color w:val="00000A"/>
              <w:sz w:val="24"/>
              <w:szCs w:val="24"/>
            </w:rPr>
            <w:fldChar w:fldCharType="separate"/>
          </w:r>
          <w:r w:rsidR="006615BD" w:rsidRPr="00AB2D23">
            <w:rPr>
              <w:rFonts w:asciiTheme="majorBidi" w:hAnsiTheme="majorBidi" w:cstheme="majorBidi"/>
              <w:noProof/>
              <w:color w:val="00000A"/>
              <w:sz w:val="24"/>
              <w:szCs w:val="24"/>
              <w:lang w:val="en-US"/>
            </w:rPr>
            <w:t xml:space="preserve"> </w:t>
          </w:r>
          <w:r w:rsidR="006615BD" w:rsidRPr="00AB2D23">
            <w:rPr>
              <w:rFonts w:asciiTheme="majorBidi" w:hAnsiTheme="majorBidi" w:cstheme="majorBidi"/>
              <w:b/>
              <w:bCs/>
              <w:noProof/>
              <w:color w:val="00000A"/>
              <w:sz w:val="24"/>
              <w:szCs w:val="24"/>
              <w:lang w:val="en-US"/>
            </w:rPr>
            <w:t>Invalid source specified.</w:t>
          </w:r>
          <w:r w:rsidR="00141FF7" w:rsidRPr="00AB2D23">
            <w:rPr>
              <w:rFonts w:asciiTheme="majorBidi" w:hAnsiTheme="majorBidi" w:cstheme="majorBidi"/>
              <w:color w:val="00000A"/>
              <w:sz w:val="24"/>
              <w:szCs w:val="24"/>
            </w:rPr>
            <w:fldChar w:fldCharType="end"/>
          </w:r>
        </w:sdtContent>
      </w:sdt>
      <w:r w:rsidRPr="00AB2D23">
        <w:rPr>
          <w:rFonts w:asciiTheme="majorBidi" w:hAnsiTheme="majorBidi" w:cstheme="majorBidi"/>
          <w:color w:val="00000A"/>
          <w:sz w:val="24"/>
          <w:szCs w:val="24"/>
        </w:rPr>
        <w:t>. According to AgentDojo, prompt level defenses will make attacks less likely, but not impossible, and that a significant percentage of targeted attacks will still pass</w:t>
      </w:r>
      <w:r w:rsidR="00213767" w:rsidRPr="00AB2D23">
        <w:rPr>
          <w:rFonts w:asciiTheme="majorBidi" w:hAnsiTheme="majorBidi" w:cstheme="majorBidi"/>
          <w:color w:val="00000A"/>
          <w:sz w:val="24"/>
          <w:szCs w:val="24"/>
        </w:rPr>
        <w:t xml:space="preserve"> through. </w:t>
      </w:r>
      <w:sdt>
        <w:sdtPr>
          <w:rPr>
            <w:rFonts w:asciiTheme="majorBidi" w:hAnsiTheme="majorBidi" w:cstheme="majorBidi"/>
            <w:color w:val="00000A"/>
            <w:sz w:val="24"/>
            <w:szCs w:val="24"/>
          </w:rPr>
          <w:id w:val="831260139"/>
          <w:citation/>
        </w:sdtPr>
        <w:sdtEndPr/>
        <w:sdtContent>
          <w:r w:rsidR="00F31183" w:rsidRPr="00AB2D23">
            <w:rPr>
              <w:rFonts w:asciiTheme="majorBidi" w:hAnsiTheme="majorBidi" w:cstheme="majorBidi"/>
              <w:color w:val="00000A"/>
              <w:sz w:val="24"/>
              <w:szCs w:val="24"/>
            </w:rPr>
            <w:fldChar w:fldCharType="begin"/>
          </w:r>
          <w:r w:rsidR="00F31183" w:rsidRPr="00AB2D23">
            <w:rPr>
              <w:rFonts w:asciiTheme="majorBidi" w:hAnsiTheme="majorBidi" w:cstheme="majorBidi"/>
              <w:color w:val="00000A"/>
              <w:sz w:val="24"/>
              <w:szCs w:val="24"/>
              <w:lang w:val="en-US"/>
            </w:rPr>
            <w:instrText xml:space="preserve"> CITATION YRu241 \l 1033 </w:instrText>
          </w:r>
          <w:r w:rsidR="00F31183" w:rsidRPr="00AB2D23">
            <w:rPr>
              <w:rFonts w:asciiTheme="majorBidi" w:hAnsiTheme="majorBidi" w:cstheme="majorBidi"/>
              <w:color w:val="00000A"/>
              <w:sz w:val="24"/>
              <w:szCs w:val="24"/>
            </w:rPr>
            <w:fldChar w:fldCharType="separate"/>
          </w:r>
          <w:r w:rsidR="00F31183" w:rsidRPr="00AB2D23">
            <w:rPr>
              <w:rFonts w:asciiTheme="majorBidi" w:hAnsiTheme="majorBidi" w:cstheme="majorBidi"/>
              <w:noProof/>
              <w:color w:val="00000A"/>
              <w:sz w:val="24"/>
              <w:szCs w:val="24"/>
              <w:lang w:val="en-US"/>
            </w:rPr>
            <w:t>[3]</w:t>
          </w:r>
          <w:r w:rsidR="00F31183" w:rsidRPr="00AB2D23">
            <w:rPr>
              <w:rFonts w:asciiTheme="majorBidi" w:hAnsiTheme="majorBidi" w:cstheme="majorBidi"/>
              <w:color w:val="00000A"/>
              <w:sz w:val="24"/>
              <w:szCs w:val="24"/>
            </w:rPr>
            <w:fldChar w:fldCharType="end"/>
          </w:r>
        </w:sdtContent>
      </w:sdt>
    </w:p>
    <w:p w14:paraId="11347A5B" w14:textId="3EC52465" w:rsidR="004B4178" w:rsidRPr="00AB2D23" w:rsidRDefault="005F5D67"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lastRenderedPageBreak/>
        <w:t>Organizations</w:t>
      </w:r>
      <w:r w:rsidR="004B4178" w:rsidRPr="00AB2D23">
        <w:rPr>
          <w:rFonts w:asciiTheme="majorBidi" w:hAnsiTheme="majorBidi" w:cstheme="majorBidi"/>
          <w:color w:val="00000A"/>
          <w:sz w:val="24"/>
          <w:szCs w:val="24"/>
        </w:rPr>
        <w:t xml:space="preserve"> that have implemented agents are also unable to see what is going on. When an action is blocked, no one is able to tell the reason. If the attack succeeds, it typically shows up after the damage. This is exacerbated by an automatic defense tuning, which can change a defense without anyone looking at what the evidence is to ensure it meets all requirements.</w:t>
      </w:r>
    </w:p>
    <w:p w14:paraId="5CCC60D4" w14:textId="65371F02" w:rsidR="008B7D85"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 xml:space="preserve">Let's solve this for two reasons. </w:t>
      </w:r>
      <w:r w:rsidR="005F5D67" w:rsidRPr="00AB2D23">
        <w:rPr>
          <w:rFonts w:asciiTheme="majorBidi" w:hAnsiTheme="majorBidi" w:cstheme="majorBidi"/>
          <w:color w:val="00000A"/>
          <w:sz w:val="24"/>
          <w:szCs w:val="24"/>
        </w:rPr>
        <w:t>This is because the question is causal rather than about the wording of the attack, so rephrasing the payload cannot evade it</w:t>
      </w:r>
      <w:r w:rsidRPr="00AB2D23">
        <w:rPr>
          <w:rFonts w:asciiTheme="majorBidi" w:hAnsiTheme="majorBidi" w:cstheme="majorBidi"/>
          <w:color w:val="00000A"/>
          <w:sz w:val="24"/>
          <w:szCs w:val="24"/>
        </w:rPr>
        <w:t>. Secondly, you can't trust a defense that you can't see. The detection engine itself was developed and tested in our own previous studies, and the most important thing that we learned from our previous studies was not just the accuracy but, how much of the attacks were detected, how much were missed and why. In this project, that engine becomes a system which can be viewed, tested, and supervised by a person.</w:t>
      </w:r>
    </w:p>
    <w:p w14:paraId="27AB7AF6" w14:textId="77777777" w:rsidR="008B7D85" w:rsidRPr="00AB2D23" w:rsidRDefault="00141FF7" w:rsidP="00AB2D23">
      <w:pPr>
        <w:spacing w:before="220" w:line="360" w:lineRule="auto"/>
        <w:jc w:val="both"/>
        <w:rPr>
          <w:rFonts w:asciiTheme="majorBidi" w:hAnsiTheme="majorBidi" w:cstheme="majorBidi"/>
          <w:color w:val="00000A"/>
          <w:sz w:val="28"/>
          <w:szCs w:val="28"/>
        </w:rPr>
      </w:pPr>
      <w:r w:rsidRPr="00AB2D23">
        <w:rPr>
          <w:rFonts w:asciiTheme="majorBidi" w:hAnsiTheme="majorBidi" w:cstheme="majorBidi"/>
          <w:b/>
          <w:bCs/>
          <w:color w:val="00000A"/>
          <w:sz w:val="28"/>
          <w:szCs w:val="28"/>
        </w:rPr>
        <w:t>Methodology</w:t>
      </w:r>
    </w:p>
    <w:p w14:paraId="3C95A030" w14:textId="777777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The system is designed as 5 modules that share common backend.</w:t>
      </w:r>
    </w:p>
    <w:p w14:paraId="532F37B7" w14:textId="777777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b/>
          <w:bCs/>
          <w:color w:val="00000A"/>
          <w:sz w:val="24"/>
          <w:szCs w:val="24"/>
        </w:rPr>
        <w:t>Protected demo agent.</w:t>
      </w:r>
      <w:r w:rsidRPr="00AB2D23">
        <w:rPr>
          <w:rFonts w:asciiTheme="majorBidi" w:hAnsiTheme="majorBidi" w:cstheme="majorBidi"/>
          <w:color w:val="00000A"/>
          <w:sz w:val="24"/>
          <w:szCs w:val="24"/>
        </w:rPr>
        <w:t xml:space="preserve"> Small helper for email and documents that reads and helps to send, forward, delete and upload documents. It provides a realistic target for the project, so that an injected email can be shown end-to-end.</w:t>
      </w:r>
    </w:p>
    <w:p w14:paraId="55793EFF" w14:textId="777777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b/>
          <w:bCs/>
          <w:color w:val="00000A"/>
          <w:sz w:val="24"/>
          <w:szCs w:val="24"/>
        </w:rPr>
        <w:t>Attack Lab.</w:t>
      </w:r>
      <w:r w:rsidRPr="00AB2D23">
        <w:rPr>
          <w:rFonts w:asciiTheme="majorBidi" w:hAnsiTheme="majorBidi" w:cstheme="majorBidi"/>
          <w:color w:val="00000A"/>
          <w:sz w:val="24"/>
          <w:szCs w:val="24"/>
        </w:rPr>
        <w:t xml:space="preserve"> A tester picks an attack from the benchmark collections or computes an attack himself, and executes the attack with protection in both on and off mode, and then compares the results.</w:t>
      </w:r>
    </w:p>
    <w:p w14:paraId="27729C79" w14:textId="777777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b/>
          <w:bCs/>
          <w:color w:val="00000A"/>
          <w:sz w:val="24"/>
          <w:szCs w:val="24"/>
        </w:rPr>
        <w:t>Defense engine</w:t>
      </w:r>
      <w:r w:rsidRPr="00AB2D23">
        <w:rPr>
          <w:rFonts w:asciiTheme="majorBidi" w:hAnsiTheme="majorBidi" w:cstheme="majorBidi"/>
          <w:color w:val="00000A"/>
          <w:sz w:val="24"/>
          <w:szCs w:val="24"/>
        </w:rPr>
        <w:t>. All tools proposed are used through it prior to execution. It marks content as trusted or untrusted, filters answers to tools, enforces static policy rules and forwards high impact actions to the causal check. The causal check executes the action selection through various perspectives of the input (with the suspicious span shown or hidden/sanitized), and compares the outcomes. If the untrusted span makes a changed decision, this is considered as evidence that it was responsible for the action. The engine will block the action or take away the text injected and then allow the user task(s) to proceed, and it places limits on the permissions and destination before running any tool.</w:t>
      </w:r>
    </w:p>
    <w:p w14:paraId="72E98DA5" w14:textId="777777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b/>
          <w:bCs/>
          <w:color w:val="00000A"/>
          <w:sz w:val="24"/>
          <w:szCs w:val="24"/>
        </w:rPr>
        <w:lastRenderedPageBreak/>
        <w:t>Live Defense Monitor</w:t>
      </w:r>
      <w:r w:rsidRPr="00AB2D23">
        <w:rPr>
          <w:rFonts w:asciiTheme="majorBidi" w:hAnsiTheme="majorBidi" w:cstheme="majorBidi"/>
          <w:color w:val="00000A"/>
          <w:sz w:val="24"/>
          <w:szCs w:val="24"/>
        </w:rPr>
        <w:t>. A visualization to a web dashboard streamed as each layer decision is made, detailing what was flagged, what the causal check returned, which rule fired and the final status as a request is processed via WebSockets. A replay feature replays recorded episodes to instantaneously demonstrate results.</w:t>
      </w:r>
    </w:p>
    <w:p w14:paraId="04EBDBEB" w14:textId="7777777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Admin console and analytics. The changes to the configuration that the adaptive component wants are reviewed by an administrator and the supporting evidence is recalculated before being accepted or rejected. Analytics pages show detection, false alarm and task completion rates over time per attack type.</w:t>
      </w:r>
    </w:p>
    <w:p w14:paraId="67608C47" w14:textId="17AFF7F7"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b/>
          <w:bCs/>
          <w:color w:val="00000A"/>
          <w:sz w:val="24"/>
          <w:szCs w:val="24"/>
        </w:rPr>
        <w:t>Datasets</w:t>
      </w:r>
      <w:r w:rsidRPr="00AB2D23">
        <w:rPr>
          <w:rFonts w:asciiTheme="majorBidi" w:hAnsiTheme="majorBidi" w:cstheme="majorBidi"/>
          <w:color w:val="00000A"/>
          <w:sz w:val="24"/>
          <w:szCs w:val="24"/>
        </w:rPr>
        <w:t xml:space="preserve">. The use of two public benchmarks. The external </w:t>
      </w:r>
      <w:r w:rsidR="00213767" w:rsidRPr="00AB2D23">
        <w:rPr>
          <w:rFonts w:asciiTheme="majorBidi" w:hAnsiTheme="majorBidi" w:cstheme="majorBidi"/>
          <w:color w:val="00000A"/>
          <w:sz w:val="24"/>
          <w:szCs w:val="24"/>
        </w:rPr>
        <w:t xml:space="preserve">attack corpus is InjecAgent </w:t>
      </w:r>
      <w:sdt>
        <w:sdtPr>
          <w:rPr>
            <w:rFonts w:asciiTheme="majorBidi" w:hAnsiTheme="majorBidi" w:cstheme="majorBidi"/>
            <w:color w:val="00000A"/>
            <w:sz w:val="24"/>
            <w:szCs w:val="24"/>
          </w:rPr>
          <w:id w:val="-1259981378"/>
          <w:citation/>
        </w:sdtPr>
        <w:sdtEndPr/>
        <w:sdtContent>
          <w:r w:rsidR="00213767" w:rsidRPr="00AB2D23">
            <w:rPr>
              <w:rFonts w:asciiTheme="majorBidi" w:hAnsiTheme="majorBidi" w:cstheme="majorBidi"/>
              <w:color w:val="00000A"/>
              <w:sz w:val="24"/>
              <w:szCs w:val="24"/>
            </w:rPr>
            <w:fldChar w:fldCharType="begin"/>
          </w:r>
          <w:r w:rsidR="00213767" w:rsidRPr="00AB2D23">
            <w:rPr>
              <w:rFonts w:asciiTheme="majorBidi" w:hAnsiTheme="majorBidi" w:cstheme="majorBidi"/>
              <w:color w:val="00000A"/>
              <w:sz w:val="24"/>
              <w:szCs w:val="24"/>
              <w:lang w:val="en-US"/>
            </w:rPr>
            <w:instrText xml:space="preserve"> CITATION YLi23 \l 1033 </w:instrText>
          </w:r>
          <w:r w:rsidR="00213767" w:rsidRPr="00AB2D23">
            <w:rPr>
              <w:rFonts w:asciiTheme="majorBidi" w:hAnsiTheme="majorBidi" w:cstheme="majorBidi"/>
              <w:color w:val="00000A"/>
              <w:sz w:val="24"/>
              <w:szCs w:val="24"/>
            </w:rPr>
            <w:fldChar w:fldCharType="separate"/>
          </w:r>
          <w:r w:rsidR="00213767" w:rsidRPr="00AB2D23">
            <w:rPr>
              <w:rFonts w:asciiTheme="majorBidi" w:hAnsiTheme="majorBidi" w:cstheme="majorBidi"/>
              <w:noProof/>
              <w:color w:val="00000A"/>
              <w:sz w:val="24"/>
              <w:szCs w:val="24"/>
              <w:lang w:val="en-US"/>
            </w:rPr>
            <w:t xml:space="preserve"> [2]</w:t>
          </w:r>
          <w:r w:rsidR="00213767" w:rsidRPr="00AB2D23">
            <w:rPr>
              <w:rFonts w:asciiTheme="majorBidi" w:hAnsiTheme="majorBidi" w:cstheme="majorBidi"/>
              <w:color w:val="00000A"/>
              <w:sz w:val="24"/>
              <w:szCs w:val="24"/>
            </w:rPr>
            <w:fldChar w:fldCharType="end"/>
          </w:r>
        </w:sdtContent>
      </w:sdt>
      <w:r w:rsidRPr="00AB2D23">
        <w:rPr>
          <w:rFonts w:asciiTheme="majorBidi" w:hAnsiTheme="majorBidi" w:cstheme="majorBidi"/>
          <w:color w:val="00000A"/>
          <w:sz w:val="24"/>
          <w:szCs w:val="24"/>
        </w:rPr>
        <w:t>which provides tool integra</w:t>
      </w:r>
      <w:r w:rsidR="00F31183" w:rsidRPr="00AB2D23">
        <w:rPr>
          <w:rFonts w:asciiTheme="majorBidi" w:hAnsiTheme="majorBidi" w:cstheme="majorBidi"/>
          <w:color w:val="00000A"/>
          <w:sz w:val="24"/>
          <w:szCs w:val="24"/>
        </w:rPr>
        <w:t>ted attack cases. AgentDojo</w:t>
      </w:r>
      <w:r w:rsidR="00213767" w:rsidRPr="00AB2D23">
        <w:rPr>
          <w:rFonts w:asciiTheme="majorBidi" w:hAnsiTheme="majorBidi" w:cstheme="majorBidi"/>
          <w:color w:val="00000A"/>
          <w:sz w:val="24"/>
          <w:szCs w:val="24"/>
        </w:rPr>
        <w:t xml:space="preserve"> </w:t>
      </w:r>
      <w:sdt>
        <w:sdtPr>
          <w:rPr>
            <w:rFonts w:asciiTheme="majorBidi" w:hAnsiTheme="majorBidi" w:cstheme="majorBidi"/>
            <w:color w:val="00000A"/>
            <w:sz w:val="24"/>
            <w:szCs w:val="24"/>
          </w:rPr>
          <w:id w:val="-273328763"/>
          <w:citation/>
        </w:sdtPr>
        <w:sdtEndPr/>
        <w:sdtContent>
          <w:r w:rsidR="00F31183" w:rsidRPr="00AB2D23">
            <w:rPr>
              <w:rFonts w:asciiTheme="majorBidi" w:hAnsiTheme="majorBidi" w:cstheme="majorBidi"/>
              <w:color w:val="00000A"/>
              <w:sz w:val="24"/>
              <w:szCs w:val="24"/>
            </w:rPr>
            <w:fldChar w:fldCharType="begin"/>
          </w:r>
          <w:r w:rsidR="00F31183" w:rsidRPr="00AB2D23">
            <w:rPr>
              <w:rFonts w:asciiTheme="majorBidi" w:hAnsiTheme="majorBidi" w:cstheme="majorBidi"/>
              <w:color w:val="00000A"/>
              <w:sz w:val="24"/>
              <w:szCs w:val="24"/>
              <w:lang w:val="en-US"/>
            </w:rPr>
            <w:instrText xml:space="preserve"> CITATION YRu241 \l 1033 </w:instrText>
          </w:r>
          <w:r w:rsidR="00F31183" w:rsidRPr="00AB2D23">
            <w:rPr>
              <w:rFonts w:asciiTheme="majorBidi" w:hAnsiTheme="majorBidi" w:cstheme="majorBidi"/>
              <w:color w:val="00000A"/>
              <w:sz w:val="24"/>
              <w:szCs w:val="24"/>
            </w:rPr>
            <w:fldChar w:fldCharType="separate"/>
          </w:r>
          <w:r w:rsidR="00F31183" w:rsidRPr="00AB2D23">
            <w:rPr>
              <w:rFonts w:asciiTheme="majorBidi" w:hAnsiTheme="majorBidi" w:cstheme="majorBidi"/>
              <w:noProof/>
              <w:color w:val="00000A"/>
              <w:sz w:val="24"/>
              <w:szCs w:val="24"/>
              <w:lang w:val="en-US"/>
            </w:rPr>
            <w:t>[3]</w:t>
          </w:r>
          <w:r w:rsidR="00F31183" w:rsidRPr="00AB2D23">
            <w:rPr>
              <w:rFonts w:asciiTheme="majorBidi" w:hAnsiTheme="majorBidi" w:cstheme="majorBidi"/>
              <w:color w:val="00000A"/>
              <w:sz w:val="24"/>
              <w:szCs w:val="24"/>
            </w:rPr>
            <w:fldChar w:fldCharType="end"/>
          </w:r>
        </w:sdtContent>
      </w:sdt>
      <w:r w:rsidRPr="00AB2D23">
        <w:rPr>
          <w:rFonts w:asciiTheme="majorBidi" w:hAnsiTheme="majorBidi" w:cstheme="majorBidi"/>
          <w:color w:val="00000A"/>
          <w:sz w:val="24"/>
          <w:szCs w:val="24"/>
        </w:rPr>
        <w:t>provides benign documents to measure how frequently a defense raises a false alarm on benign documents, as well as a held out attack set. A small set of attacks written by us are used for development purposes only, and results on this set are reported separately from results on external corpora.</w:t>
      </w:r>
    </w:p>
    <w:p w14:paraId="7DF26BB0" w14:textId="14CBA246" w:rsidR="004B4178"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b/>
          <w:bCs/>
          <w:color w:val="00000A"/>
          <w:sz w:val="24"/>
          <w:szCs w:val="24"/>
        </w:rPr>
        <w:t>Tools</w:t>
      </w:r>
      <w:r w:rsidRPr="00AB2D23">
        <w:rPr>
          <w:rFonts w:asciiTheme="majorBidi" w:hAnsiTheme="majorBidi" w:cstheme="majorBidi"/>
          <w:color w:val="00000A"/>
          <w:sz w:val="24"/>
          <w:szCs w:val="24"/>
        </w:rPr>
        <w:t>. Backend: Python / FastAPI / WebSockets. The frontend is React with Vite, Tailwind CSS and Recharts. The models are run locally using Ollama with Gemma 3 4B for causal probe and Qwen 2.5 3B for sanitisation and planning, so it doesn't require a paid cloud API and requires a 4 GB GPU. Episodes, verdicts and approval history are stored in PostgreSQL. Packaging, version control and automated testing are covered by Docker, GitH</w:t>
      </w:r>
      <w:r w:rsidR="00DF20BB" w:rsidRPr="00AB2D23">
        <w:rPr>
          <w:rFonts w:asciiTheme="majorBidi" w:hAnsiTheme="majorBidi" w:cstheme="majorBidi"/>
          <w:color w:val="00000A"/>
          <w:sz w:val="24"/>
          <w:szCs w:val="24"/>
        </w:rPr>
        <w:t xml:space="preserve">ub, and Pytest. Spotlighting </w:t>
      </w:r>
      <w:sdt>
        <w:sdtPr>
          <w:rPr>
            <w:rFonts w:asciiTheme="majorBidi" w:hAnsiTheme="majorBidi" w:cstheme="majorBidi"/>
            <w:color w:val="00000A"/>
            <w:sz w:val="24"/>
            <w:szCs w:val="24"/>
          </w:rPr>
          <w:id w:val="-1874920401"/>
          <w:citation/>
        </w:sdtPr>
        <w:sdtEndPr/>
        <w:sdtContent>
          <w:r w:rsidR="00DF20BB" w:rsidRPr="00AB2D23">
            <w:rPr>
              <w:rFonts w:asciiTheme="majorBidi" w:hAnsiTheme="majorBidi" w:cstheme="majorBidi"/>
              <w:color w:val="00000A"/>
              <w:sz w:val="24"/>
              <w:szCs w:val="24"/>
            </w:rPr>
            <w:fldChar w:fldCharType="begin"/>
          </w:r>
          <w:r w:rsidR="00DF20BB" w:rsidRPr="00AB2D23">
            <w:rPr>
              <w:rFonts w:asciiTheme="majorBidi" w:hAnsiTheme="majorBidi" w:cstheme="majorBidi"/>
              <w:color w:val="00000A"/>
              <w:sz w:val="24"/>
              <w:szCs w:val="24"/>
              <w:lang w:val="en-US"/>
            </w:rPr>
            <w:instrText xml:space="preserve"> CITATION EWa241 \l 1033 </w:instrText>
          </w:r>
          <w:r w:rsidR="00DF20BB" w:rsidRPr="00AB2D23">
            <w:rPr>
              <w:rFonts w:asciiTheme="majorBidi" w:hAnsiTheme="majorBidi" w:cstheme="majorBidi"/>
              <w:color w:val="00000A"/>
              <w:sz w:val="24"/>
              <w:szCs w:val="24"/>
            </w:rPr>
            <w:fldChar w:fldCharType="separate"/>
          </w:r>
          <w:r w:rsidR="00DF20BB" w:rsidRPr="00AB2D23">
            <w:rPr>
              <w:rFonts w:asciiTheme="majorBidi" w:hAnsiTheme="majorBidi" w:cstheme="majorBidi"/>
              <w:noProof/>
              <w:color w:val="00000A"/>
              <w:sz w:val="24"/>
              <w:szCs w:val="24"/>
              <w:lang w:val="en-US"/>
            </w:rPr>
            <w:t>[5]</w:t>
          </w:r>
          <w:r w:rsidR="00DF20BB" w:rsidRPr="00AB2D23">
            <w:rPr>
              <w:rFonts w:asciiTheme="majorBidi" w:hAnsiTheme="majorBidi" w:cstheme="majorBidi"/>
              <w:color w:val="00000A"/>
              <w:sz w:val="24"/>
              <w:szCs w:val="24"/>
            </w:rPr>
            <w:fldChar w:fldCharType="end"/>
          </w:r>
        </w:sdtContent>
      </w:sdt>
      <w:r w:rsidRPr="00AB2D23">
        <w:rPr>
          <w:rFonts w:asciiTheme="majorBidi" w:hAnsiTheme="majorBidi" w:cstheme="majorBidi"/>
          <w:color w:val="00000A"/>
          <w:sz w:val="24"/>
          <w:szCs w:val="24"/>
        </w:rPr>
        <w:t>is re-implemented as a comparator arm in the same pipeline.</w:t>
      </w:r>
    </w:p>
    <w:p w14:paraId="7091D53E" w14:textId="2E846D4F" w:rsidR="008B7D85"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b/>
          <w:bCs/>
          <w:color w:val="00000A"/>
          <w:sz w:val="24"/>
          <w:szCs w:val="24"/>
        </w:rPr>
        <w:t>Evaluation.</w:t>
      </w:r>
      <w:r w:rsidRPr="00AB2D23">
        <w:rPr>
          <w:rFonts w:asciiTheme="majorBidi" w:hAnsiTheme="majorBidi" w:cstheme="majorBidi"/>
          <w:color w:val="00000A"/>
          <w:sz w:val="24"/>
          <w:szCs w:val="24"/>
        </w:rPr>
        <w:t xml:space="preserve"> The same corpora are used to measure the attack success rate, the workflow continuation rate, and false positive rate for an undefended baseline, a prompt level baseline and the full system. Reports are not presented by attacking type as one overall number; a overall number would mask the point at which a defense fails.</w:t>
      </w:r>
    </w:p>
    <w:p w14:paraId="11DD70E7" w14:textId="42A1F5A0" w:rsidR="00702512" w:rsidRPr="00AB2D23" w:rsidRDefault="00B9732D" w:rsidP="00702512">
      <w:pPr>
        <w:spacing w:before="220" w:line="360" w:lineRule="auto"/>
        <w:jc w:val="center"/>
        <w:rPr>
          <w:rFonts w:asciiTheme="majorBidi" w:hAnsiTheme="majorBidi" w:cstheme="majorBidi"/>
          <w:color w:val="00000A"/>
          <w:sz w:val="24"/>
          <w:szCs w:val="24"/>
          <w:lang w:val="en-US"/>
        </w:rPr>
      </w:pPr>
      <w:r w:rsidRPr="00AB2D23">
        <w:rPr>
          <w:rFonts w:asciiTheme="majorBidi" w:hAnsiTheme="majorBidi" w:cstheme="majorBidi"/>
          <w:noProof/>
          <w:color w:val="00000A"/>
          <w:sz w:val="24"/>
          <w:szCs w:val="24"/>
          <w:lang w:val="en-US"/>
        </w:rPr>
        <w:lastRenderedPageBreak/>
        <w:drawing>
          <wp:inline distT="0" distB="0" distL="0" distR="0" wp14:anchorId="23FE089E" wp14:editId="45D68440">
            <wp:extent cx="5943600" cy="2183130"/>
            <wp:effectExtent l="0" t="0" r="0" b="7620"/>
            <wp:docPr id="2037456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r w:rsidR="00702512">
        <w:rPr>
          <w:rFonts w:asciiTheme="majorBidi" w:hAnsiTheme="majorBidi" w:cstheme="majorBidi"/>
          <w:color w:val="00000A"/>
          <w:sz w:val="24"/>
          <w:szCs w:val="24"/>
          <w:lang w:val="en-US"/>
        </w:rPr>
        <w:br/>
        <w:t>Figure</w:t>
      </w:r>
      <w:r w:rsidR="009B75EA">
        <w:rPr>
          <w:rFonts w:asciiTheme="majorBidi" w:hAnsiTheme="majorBidi" w:cstheme="majorBidi"/>
          <w:color w:val="00000A"/>
          <w:sz w:val="24"/>
          <w:szCs w:val="24"/>
          <w:lang w:val="en-US"/>
        </w:rPr>
        <w:t>:</w:t>
      </w:r>
      <w:r w:rsidR="00702512">
        <w:rPr>
          <w:rFonts w:asciiTheme="majorBidi" w:hAnsiTheme="majorBidi" w:cstheme="majorBidi"/>
          <w:color w:val="00000A"/>
          <w:sz w:val="24"/>
          <w:szCs w:val="24"/>
          <w:lang w:val="en-US"/>
        </w:rPr>
        <w:t xml:space="preserve"> System Architecture</w:t>
      </w:r>
    </w:p>
    <w:p w14:paraId="00E85135" w14:textId="35B02C58" w:rsidR="00702512" w:rsidRPr="00AB2D23" w:rsidRDefault="00DF20BB" w:rsidP="00702512">
      <w:pPr>
        <w:pStyle w:val="NormalWeb"/>
        <w:spacing w:line="360" w:lineRule="auto"/>
        <w:jc w:val="center"/>
        <w:rPr>
          <w:rFonts w:asciiTheme="majorBidi" w:hAnsiTheme="majorBidi" w:cstheme="majorBidi"/>
        </w:rPr>
      </w:pPr>
      <w:r w:rsidRPr="00AB2D23">
        <w:rPr>
          <w:rFonts w:asciiTheme="majorBidi" w:hAnsiTheme="majorBidi" w:cstheme="majorBidi"/>
          <w:noProof/>
        </w:rPr>
        <w:drawing>
          <wp:inline distT="0" distB="0" distL="0" distR="0" wp14:anchorId="453CE325" wp14:editId="32E186D3">
            <wp:extent cx="6309360" cy="3133394"/>
            <wp:effectExtent l="0" t="0" r="0" b="0"/>
            <wp:docPr id="2" name="Picture 2" descr="C:\Users\Aleena\Downloads\ChatGPT Image Sep 23, 2026, 04_17_0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ena\Downloads\ChatGPT Image Sep 23, 2026, 04_17_04 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9360" cy="3133394"/>
                    </a:xfrm>
                    <a:prstGeom prst="rect">
                      <a:avLst/>
                    </a:prstGeom>
                    <a:noFill/>
                    <a:ln>
                      <a:noFill/>
                    </a:ln>
                  </pic:spPr>
                </pic:pic>
              </a:graphicData>
            </a:graphic>
          </wp:inline>
        </w:drawing>
      </w:r>
      <w:r w:rsidR="00702512">
        <w:rPr>
          <w:rFonts w:asciiTheme="majorBidi" w:hAnsiTheme="majorBidi" w:cstheme="majorBidi"/>
        </w:rPr>
        <w:br/>
      </w:r>
      <w:r w:rsidR="009B75EA">
        <w:rPr>
          <w:rFonts w:asciiTheme="majorBidi" w:hAnsiTheme="majorBidi" w:cstheme="majorBidi"/>
        </w:rPr>
        <w:t xml:space="preserve">Graph: </w:t>
      </w:r>
      <w:r w:rsidR="00702512">
        <w:rPr>
          <w:rFonts w:asciiTheme="majorBidi" w:hAnsiTheme="majorBidi" w:cstheme="majorBidi"/>
        </w:rPr>
        <w:t>Gantt Chart</w:t>
      </w:r>
    </w:p>
    <w:p w14:paraId="25AEA3A3" w14:textId="040E9FA1" w:rsidR="008B7D85" w:rsidRPr="00AB2D23" w:rsidRDefault="00141FF7" w:rsidP="00AB2D23">
      <w:pPr>
        <w:spacing w:before="220" w:line="360" w:lineRule="auto"/>
        <w:jc w:val="both"/>
        <w:rPr>
          <w:rFonts w:asciiTheme="majorBidi" w:hAnsiTheme="majorBidi" w:cstheme="majorBidi"/>
          <w:b/>
          <w:bCs/>
          <w:color w:val="00000A"/>
          <w:sz w:val="28"/>
          <w:szCs w:val="28"/>
        </w:rPr>
      </w:pPr>
      <w:r w:rsidRPr="00AB2D23">
        <w:rPr>
          <w:rFonts w:asciiTheme="majorBidi" w:hAnsiTheme="majorBidi" w:cstheme="majorBidi"/>
          <w:b/>
          <w:bCs/>
          <w:color w:val="00000A"/>
          <w:sz w:val="28"/>
          <w:szCs w:val="28"/>
        </w:rPr>
        <w:t>Conclusion</w:t>
      </w:r>
    </w:p>
    <w:p w14:paraId="37C85E49" w14:textId="58FF71E7" w:rsidR="008B7D85" w:rsidRPr="00AB2D23" w:rsidRDefault="004B4178" w:rsidP="00AB2D23">
      <w:pPr>
        <w:spacing w:before="220" w:line="360" w:lineRule="auto"/>
        <w:jc w:val="both"/>
        <w:rPr>
          <w:rFonts w:asciiTheme="majorBidi" w:hAnsiTheme="majorBidi" w:cstheme="majorBidi"/>
          <w:color w:val="00000A"/>
          <w:sz w:val="24"/>
          <w:szCs w:val="24"/>
        </w:rPr>
      </w:pPr>
      <w:r w:rsidRPr="00AB2D23">
        <w:rPr>
          <w:rFonts w:asciiTheme="majorBidi" w:hAnsiTheme="majorBidi" w:cstheme="majorBidi"/>
          <w:color w:val="00000A"/>
          <w:sz w:val="24"/>
          <w:szCs w:val="24"/>
        </w:rPr>
        <w:t xml:space="preserve">We will have a working security gateway that will defend a real AI agent from instructions embedded in the content it reads, a dashboard that will explain every allow, block or safe continuation in real time, a review console that will ensure that a person is in control of the automatic configuration changes, and measured results of the two public benchmarks broken down by the type of attack, including the categories where the detection is weak. The output is a fully </w:t>
      </w:r>
      <w:r w:rsidRPr="00AB2D23">
        <w:rPr>
          <w:rFonts w:asciiTheme="majorBidi" w:hAnsiTheme="majorBidi" w:cstheme="majorBidi"/>
          <w:color w:val="00000A"/>
          <w:sz w:val="24"/>
          <w:szCs w:val="24"/>
        </w:rPr>
        <w:lastRenderedPageBreak/>
        <w:t>functional prototype that is deployable, with documentation and a test suite, all executed on local open source models.</w:t>
      </w:r>
    </w:p>
    <w:p w14:paraId="74C18E9E" w14:textId="2220425A" w:rsidR="00360DE2" w:rsidRPr="00AB2D23" w:rsidRDefault="00141FF7" w:rsidP="00AB2D23">
      <w:pPr>
        <w:spacing w:before="220" w:line="360" w:lineRule="auto"/>
        <w:jc w:val="both"/>
        <w:rPr>
          <w:rFonts w:asciiTheme="majorBidi" w:hAnsiTheme="majorBidi" w:cstheme="majorBidi"/>
          <w:b/>
          <w:bCs/>
          <w:color w:val="00000A"/>
          <w:sz w:val="28"/>
          <w:szCs w:val="28"/>
        </w:rPr>
      </w:pPr>
      <w:r w:rsidRPr="00AB2D23">
        <w:rPr>
          <w:rFonts w:asciiTheme="majorBidi" w:hAnsiTheme="majorBidi" w:cstheme="majorBidi"/>
          <w:b/>
          <w:bCs/>
          <w:color w:val="00000A"/>
          <w:sz w:val="28"/>
          <w:szCs w:val="28"/>
        </w:rPr>
        <w:t>References</w:t>
      </w:r>
    </w:p>
    <w:p w14:paraId="72EF8CB7" w14:textId="3759D0FA" w:rsidR="00360DE2" w:rsidRPr="00AB2D23" w:rsidRDefault="00360DE2" w:rsidP="00AB2D23">
      <w:pPr>
        <w:spacing w:line="360" w:lineRule="auto"/>
        <w:ind w:left="360" w:hanging="360"/>
        <w:rPr>
          <w:rFonts w:asciiTheme="majorBidi" w:hAnsiTheme="majorBidi" w:cstheme="majorBidi"/>
          <w:sz w:val="24"/>
        </w:rPr>
      </w:pPr>
      <w:bookmarkStart w:id="0" w:name="_5hlgc24lh2rp" w:colFirst="0" w:colLast="0"/>
      <w:bookmarkEnd w:id="0"/>
      <w:r w:rsidRPr="00AB2D23">
        <w:rPr>
          <w:rFonts w:asciiTheme="majorBidi" w:hAnsiTheme="majorBidi" w:cstheme="majorBidi"/>
          <w:sz w:val="24"/>
        </w:rPr>
        <w:t xml:space="preserve"> [1] K. Greshake, S. Abdelnabi, S. Mishra, C. Endres, T. Holz, and M. Fritz, “Not What You Have Signed Up For: Compromising Real-World LLM-Integrated Applications with Indirect Prompt Injection,” arXiv:2302.12173, 2023.</w:t>
      </w:r>
    </w:p>
    <w:p w14:paraId="6AF63ECA" w14:textId="78B1D0CE"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[2</w:t>
      </w:r>
      <w:r w:rsidR="006615BD" w:rsidRPr="00AB2D23">
        <w:rPr>
          <w:rFonts w:asciiTheme="majorBidi" w:hAnsiTheme="majorBidi" w:cstheme="majorBidi"/>
          <w:sz w:val="24"/>
        </w:rPr>
        <w:t xml:space="preserve">] </w:t>
      </w:r>
      <w:r w:rsidR="00F31183" w:rsidRPr="00AB2D23">
        <w:rPr>
          <w:rFonts w:asciiTheme="majorBidi" w:hAnsiTheme="majorBidi" w:cstheme="majorBidi"/>
        </w:rPr>
        <w:t xml:space="preserve">Y. Liu, Y. Jia, R. Geng, J. Jia, and N. Z. Gong, </w:t>
      </w:r>
      <w:r w:rsidRPr="00AB2D23">
        <w:rPr>
          <w:rFonts w:asciiTheme="majorBidi" w:hAnsiTheme="majorBidi" w:cstheme="majorBidi"/>
          <w:sz w:val="24"/>
        </w:rPr>
        <w:t>“Prompt Injection Attacks and Defenses in LLM-Integrated Applications,” arXiv:2310.12815, 2023.</w:t>
      </w:r>
    </w:p>
    <w:p w14:paraId="03D3C465" w14:textId="77777777"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[3] Y. Ruan, H. Dong, A. Wang, S. Pitis, Y. Zhou, J. Ba, Y. Dubois, C. J. Maddison, and T. Hashimoto, “Identifying the Risks of LM Agents with an LM-Emulated Sandbox,” in Proc. ICLR, 2024.</w:t>
      </w:r>
    </w:p>
    <w:p w14:paraId="1E61AA52" w14:textId="77777777" w:rsidR="00DF20BB"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 xml:space="preserve">[4] </w:t>
      </w:r>
      <w:r w:rsidR="00DF20BB" w:rsidRPr="00AB2D23">
        <w:rPr>
          <w:rFonts w:asciiTheme="majorBidi" w:hAnsiTheme="majorBidi" w:cstheme="majorBidi"/>
          <w:sz w:val="24"/>
        </w:rPr>
        <w:t xml:space="preserve"> S. Chen, J. Piet, C. Sitawarin, and D. Wagner</w:t>
      </w:r>
      <w:r w:rsidR="00DF20BB" w:rsidRPr="00AB2D23">
        <w:rPr>
          <w:rFonts w:asciiTheme="majorBidi" w:hAnsiTheme="majorBidi" w:cstheme="majorBidi"/>
        </w:rPr>
        <w:t xml:space="preserve">, </w:t>
      </w:r>
      <w:r w:rsidR="00DF20BB" w:rsidRPr="00AB2D23">
        <w:rPr>
          <w:rFonts w:asciiTheme="majorBidi" w:hAnsiTheme="majorBidi" w:cstheme="majorBidi"/>
          <w:sz w:val="24"/>
        </w:rPr>
        <w:t>“StruQ: Defending Against Prompt Injection with Structured Queries,” in Proc. USENIX Security, 2025.</w:t>
      </w:r>
    </w:p>
    <w:p w14:paraId="2CF24E04" w14:textId="596FBBCC" w:rsidR="00360DE2" w:rsidRPr="00AB2D23" w:rsidRDefault="00DF20BB"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[5] E. Wallace, K. Xiao, R. Leike, L. Weng, J. Heidecke, and A. Beutel, “The Instruction Hierarchy: Training LLMs to Prioritize Privileged Instructions,” arXiv:2404.13208, 2024.</w:t>
      </w:r>
    </w:p>
    <w:p w14:paraId="66A7BC1A" w14:textId="77777777"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[6] K. Hines, G. Lopez, M. Hall, F. Zarfati, Y. Zunger, and E. Kiciman, “Defending Against Indirect Prompt Injection Attacks With Spotlighting,” arXiv:2403.14720, 2024.</w:t>
      </w:r>
    </w:p>
    <w:p w14:paraId="4BE82AAE" w14:textId="77777777"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[7] Q. Zhan, Z. Liang, Z. Ying, and D. Kang, “InjecAgent: Benchmarking Indirect Prompt Injections in Tool-Integrated Large Language Model Agents,” in Findings of ACL, pp. 10471–10506, 2024.</w:t>
      </w:r>
    </w:p>
    <w:p w14:paraId="24BA2B01" w14:textId="77777777"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[8] E. Debenedetti, J. Zhang, M. Balunovic, L. Beurer-Kellner, M. Fischer, and F. Tramèr, “AgentDojo: A Dynamic Environment to Evaluate Prompt Injection Attacks and Defenses for LLM Agents,” in Advances in Neural Information Processing Systems (NeurIPS), vol. 37, 2024.</w:t>
      </w:r>
    </w:p>
    <w:p w14:paraId="15109E62" w14:textId="77777777"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[9] H. Zhang, J. Huang, K. Mei, Y. Yao, Z. Wang, C. Zhan, H. Wang, and Y. Zhang, “Agent Security Bench (ASB): Formalizing and Benchmarking Attacks and Defenses in LLM-based Agents,” in Proc. ICLR, 2025.</w:t>
      </w:r>
    </w:p>
    <w:p w14:paraId="3998C0FC" w14:textId="77777777"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[10] M. Mazeika, L. Phan, X. Yin, A. Zou, Z. Wang, N. Mu, E. Sakhaee, N. Li, S. Basart, B. Li, D. Forsyth, and D. Hendrycks, “HarmBench: A Standardized Evaluation Framework for Automated Red Teaming and Robust Refusal,” in Proc. ICML, 2024.</w:t>
      </w:r>
    </w:p>
    <w:p w14:paraId="343063E8" w14:textId="77777777"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lastRenderedPageBreak/>
        <w:t>[11] S. Toyer, O. Watkins, E. A. Mendes, J. Svegliato, L. Bailey, T. Wang, I. Ong, K. Elmaaroufi, P. Abbeel, T. Darrell, A. Ritter, and S. Russell, “Tensor Trust: Interpretable Prompt Injection Attacks from an Online Game,” arXiv:2311.01011, 2023.</w:t>
      </w:r>
    </w:p>
    <w:p w14:paraId="3F758563" w14:textId="0EFB1875"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[12] T. Wu, S. Zhang, K. Song, S. Xu, S. Zhao, R. Agrawal, S. R. Indurthi, C. Xiang, P. Mittal, and W. Zhou, “Instructional Segment Embedding: Improving LLM Safety with Instruction Hierarchy,” arXiv:2410.09102, 2024.</w:t>
      </w:r>
    </w:p>
    <w:p w14:paraId="1A8AF318" w14:textId="6E12204C"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[13] E. Debenedetti, I. Shumailov, T. Fan, J. Hayes, N. Carlini, D. Fabian, C. Kern, C. Shi, A. Terzis, and F. Tramèr, “Defeating Prompt Injections by Design,” arXiv:2503.18813, 2025.</w:t>
      </w:r>
    </w:p>
    <w:p w14:paraId="5F9CA82C" w14:textId="00BF672D"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[14] M. Andriushchenko, A. Souly, M. Dziemian, D. Duenas, M. Lin, J. Wang, D. Hendrycks, A. Zou, Z. Kolter, M. Fredrikson, Y. Gal, and X. Davies, “AgentHarm: A Benchmark for Measuring Harmfulness of LLM Agents,” in Proc. ICLR, 2025.</w:t>
      </w:r>
    </w:p>
    <w:p w14:paraId="17EC92A1" w14:textId="600FBF2C"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[15] OWASP Foundation, “OWASP Top 10 for LLM Applications 2025,” OWASP GenAI Security Project, 2025.</w:t>
      </w:r>
    </w:p>
    <w:p w14:paraId="69C1DA84" w14:textId="078E6C3A"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[16] I. Evtimov, A. Zharmagambetov, A. Grattafiori, C. Guo, and K. Chaudhuri, “WASP: Benchmarking Web Agent Security Against Prompt Injection Attacks,” in Advances in Neural Information Processing Systems (NeurIPS), vol. 38, 2025.</w:t>
      </w:r>
    </w:p>
    <w:p w14:paraId="4CE8E45A" w14:textId="073404D6"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[17] S. J. Jamshidi, K. W. Nafi, A. M. Dakhel, N. Shahabi, F. Khomh, and N. Ezzati-Jivan, “Securing the Model Context Protocol: Defending LLMs Against Tool Poisoning and Adversarial Attacks,” arXiv:2512.06556, 2025.</w:t>
      </w:r>
    </w:p>
    <w:p w14:paraId="1D8D27D7" w14:textId="2BBD3DCA"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[18] S. M. A. Hossain, R. K. Shayoni, M. R. Ameen, A. Islam, M. F. Mridha, and J. Shin, “A Multi-Agent LLM Defense Pipeline Against Prompt Injection Attacks,” arXiv:2509.14285, 2025.</w:t>
      </w:r>
    </w:p>
    <w:p w14:paraId="4B3E2019" w14:textId="53D77A00"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[19] Z. Wang, N. Nagaraja, L. Zhang, H. Bahsi, P. Patil, and P. Liu, “To Protect the LLM Agent Against the Prompt Injection Attack with Polymorphic Prompt,” arXiv:2506.05739, 2025.</w:t>
      </w:r>
    </w:p>
    <w:p w14:paraId="29623361" w14:textId="0BDDC3C4" w:rsidR="00360DE2" w:rsidRPr="00AB2D23" w:rsidRDefault="00360DE2" w:rsidP="00AB2D23">
      <w:pPr>
        <w:spacing w:line="360" w:lineRule="auto"/>
        <w:ind w:left="360" w:hanging="360"/>
        <w:rPr>
          <w:rFonts w:asciiTheme="majorBidi" w:hAnsiTheme="majorBidi" w:cstheme="majorBidi"/>
          <w:sz w:val="24"/>
        </w:rPr>
      </w:pPr>
      <w:r w:rsidRPr="00AB2D23">
        <w:rPr>
          <w:rFonts w:asciiTheme="majorBidi" w:hAnsiTheme="majorBidi" w:cstheme="majorBidi"/>
          <w:sz w:val="24"/>
        </w:rPr>
        <w:t>[20] OWASP Foundation, “LLM01:2025 Prompt Injection,” OWASP GenAI Security Project, 2025.</w:t>
      </w:r>
    </w:p>
    <w:p w14:paraId="080C8CB7" w14:textId="0BD2E027" w:rsidR="008B7D85" w:rsidRPr="00AB2D23" w:rsidRDefault="008B7D85" w:rsidP="00AB2D23">
      <w:pPr>
        <w:spacing w:before="220" w:line="360" w:lineRule="auto"/>
        <w:jc w:val="both"/>
        <w:rPr>
          <w:rFonts w:asciiTheme="majorBidi" w:hAnsiTheme="majorBidi" w:cstheme="majorBidi"/>
          <w:color w:val="00000A"/>
        </w:rPr>
      </w:pPr>
    </w:p>
    <w:p w14:paraId="647F0CAA" w14:textId="709F2CC0" w:rsidR="008B7D85" w:rsidRPr="00AB2D23" w:rsidRDefault="00141FF7" w:rsidP="00AB2D23">
      <w:pPr>
        <w:spacing w:before="220" w:line="360" w:lineRule="auto"/>
        <w:jc w:val="both"/>
        <w:rPr>
          <w:rFonts w:asciiTheme="majorBidi" w:hAnsiTheme="majorBidi" w:cstheme="majorBidi"/>
          <w:b/>
          <w:bCs/>
          <w:color w:val="00000A"/>
        </w:rPr>
      </w:pPr>
      <w:r w:rsidRPr="00AB2D23">
        <w:rPr>
          <w:rFonts w:asciiTheme="majorBidi" w:hAnsiTheme="majorBidi" w:cstheme="majorBidi"/>
          <w:b/>
          <w:bCs/>
          <w:color w:val="00000A"/>
        </w:rPr>
        <w:t>Supervisor Approval:</w:t>
      </w:r>
    </w:p>
    <w:p w14:paraId="7915BAD5" w14:textId="0C7036B5" w:rsidR="008B7D85" w:rsidRPr="00AB2D23" w:rsidRDefault="00C63971" w:rsidP="00AB2D23">
      <w:pPr>
        <w:spacing w:before="220" w:line="360" w:lineRule="auto"/>
        <w:jc w:val="both"/>
        <w:rPr>
          <w:rFonts w:asciiTheme="majorBidi" w:hAnsiTheme="majorBidi" w:cstheme="majorBidi"/>
          <w:color w:val="00000A"/>
        </w:rPr>
      </w:pPr>
      <w:r w:rsidRPr="00C63971">
        <w:rPr>
          <w:rFonts w:asciiTheme="majorBidi" w:hAnsiTheme="majorBidi" w:cstheme="majorBidi"/>
          <w:color w:val="00000A"/>
          <w:lang w:val="en-US"/>
        </w:rPr>
        <w:drawing>
          <wp:anchor distT="0" distB="0" distL="114300" distR="114300" simplePos="0" relativeHeight="251658240" behindDoc="0" locked="0" layoutInCell="1" allowOverlap="1" wp14:anchorId="2E9C0957" wp14:editId="5B34DD4C">
            <wp:simplePos x="0" y="0"/>
            <wp:positionH relativeFrom="column">
              <wp:posOffset>282575</wp:posOffset>
            </wp:positionH>
            <wp:positionV relativeFrom="paragraph">
              <wp:posOffset>142240</wp:posOffset>
            </wp:positionV>
            <wp:extent cx="2036445" cy="1431925"/>
            <wp:effectExtent l="0" t="0" r="0" b="0"/>
            <wp:wrapNone/>
            <wp:docPr id="86788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0"/>
                      <a:ext cx="2036445" cy="1431925"/>
                    </a:xfrm>
                    <a:prstGeom prst="rect">
                      <a:avLst/>
                    </a:prstGeom>
                    <a:noFill/>
                    <a:ln>
                      <a:noFill/>
                    </a:ln>
                  </pic:spPr>
                </pic:pic>
              </a:graphicData>
            </a:graphic>
            <wp14:sizeRelH relativeFrom="page">
              <wp14:pctWidth>0</wp14:pctWidth>
            </wp14:sizeRelH>
            <wp14:sizeRelV relativeFrom="page">
              <wp14:pctHeight>0</wp14:pctHeight>
            </wp14:sizeRelV>
          </wp:anchor>
        </w:drawing>
      </w:r>
      <w:r w:rsidR="00141FF7" w:rsidRPr="00AB2D23">
        <w:rPr>
          <w:rFonts w:asciiTheme="majorBidi" w:hAnsiTheme="majorBidi" w:cstheme="majorBidi"/>
          <w:b/>
          <w:bCs/>
          <w:color w:val="00000A"/>
        </w:rPr>
        <w:t xml:space="preserve">Name:  </w:t>
      </w:r>
      <w:r w:rsidR="00141FF7" w:rsidRPr="00AB2D23">
        <w:rPr>
          <w:rFonts w:asciiTheme="majorBidi" w:hAnsiTheme="majorBidi" w:cstheme="majorBidi"/>
          <w:color w:val="00000A"/>
        </w:rPr>
        <w:t xml:space="preserve">________________________ </w:t>
      </w:r>
    </w:p>
    <w:p w14:paraId="51AD7EDB" w14:textId="63B6A89C" w:rsidR="008B7D85" w:rsidRPr="00AB2D23" w:rsidRDefault="008B7D85" w:rsidP="00AB2D23">
      <w:pPr>
        <w:spacing w:before="220" w:line="360" w:lineRule="auto"/>
        <w:jc w:val="both"/>
        <w:rPr>
          <w:rFonts w:asciiTheme="majorBidi" w:hAnsiTheme="majorBidi" w:cstheme="majorBidi"/>
          <w:color w:val="00000A"/>
        </w:rPr>
      </w:pPr>
    </w:p>
    <w:p w14:paraId="07E86C9B" w14:textId="62F559F0" w:rsidR="008B7D85" w:rsidRPr="00AB2D23" w:rsidRDefault="00141FF7" w:rsidP="0000119B">
      <w:pPr>
        <w:spacing w:before="220" w:line="360" w:lineRule="auto"/>
        <w:jc w:val="both"/>
        <w:rPr>
          <w:rFonts w:asciiTheme="majorBidi" w:hAnsiTheme="majorBidi" w:cstheme="majorBidi"/>
          <w:color w:val="00000A"/>
        </w:rPr>
      </w:pPr>
      <w:r w:rsidRPr="00AB2D23">
        <w:rPr>
          <w:rFonts w:asciiTheme="majorBidi" w:hAnsiTheme="majorBidi" w:cstheme="majorBidi"/>
          <w:b/>
          <w:bCs/>
          <w:color w:val="00000A"/>
        </w:rPr>
        <w:t>Signature:</w:t>
      </w:r>
      <w:r w:rsidRPr="00AB2D23">
        <w:rPr>
          <w:rFonts w:asciiTheme="majorBidi" w:hAnsiTheme="majorBidi" w:cstheme="majorBidi"/>
          <w:color w:val="00000A"/>
        </w:rPr>
        <w:t>______________________</w:t>
      </w:r>
      <w:r w:rsidR="00C63971" w:rsidRPr="00C63971">
        <w:rPr>
          <w:rFonts w:ascii="Times New Roman" w:eastAsia="Times New Roman" w:hAnsi="Times New Roman" w:cs="Times New Roman"/>
          <w:sz w:val="24"/>
          <w:szCs w:val="24"/>
          <w:lang w:val="en-US"/>
        </w:rPr>
        <w:t xml:space="preserve"> </w:t>
      </w:r>
    </w:p>
    <w:p w14:paraId="6245F539" w14:textId="77777777" w:rsidR="008B7D85" w:rsidRPr="00AB2D23" w:rsidRDefault="008B7D85" w:rsidP="00AB2D23">
      <w:pPr>
        <w:spacing w:line="360" w:lineRule="auto"/>
        <w:rPr>
          <w:rFonts w:asciiTheme="majorBidi" w:hAnsiTheme="majorBidi" w:cstheme="majorBidi"/>
          <w:b/>
          <w:bCs/>
          <w:sz w:val="24"/>
          <w:szCs w:val="24"/>
        </w:rPr>
      </w:pPr>
    </w:p>
    <w:sectPr w:rsidR="008B7D85" w:rsidRPr="00AB2D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9A38AF5-C1AA-4D68-A525-4B1FF830CA96}"/>
  </w:font>
  <w:font w:name="Calibri">
    <w:panose1 w:val="020F0502020204030204"/>
    <w:charset w:val="00"/>
    <w:family w:val="swiss"/>
    <w:pitch w:val="variable"/>
    <w:sig w:usb0="E4002EFF" w:usb1="C200247B" w:usb2="00000009" w:usb3="00000000" w:csb0="000001FF" w:csb1="00000000"/>
    <w:embedRegular r:id="rId2" w:fontKey="{DDEFDAB4-A30A-4F5A-B396-B97B88BAE28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85"/>
    <w:rsid w:val="0000119B"/>
    <w:rsid w:val="00141FF7"/>
    <w:rsid w:val="001F1A73"/>
    <w:rsid w:val="00213767"/>
    <w:rsid w:val="002B3A41"/>
    <w:rsid w:val="00360DE2"/>
    <w:rsid w:val="00420001"/>
    <w:rsid w:val="004B4178"/>
    <w:rsid w:val="005F5D67"/>
    <w:rsid w:val="006615BD"/>
    <w:rsid w:val="00690F2B"/>
    <w:rsid w:val="00702512"/>
    <w:rsid w:val="00811537"/>
    <w:rsid w:val="008B7D85"/>
    <w:rsid w:val="00934E9E"/>
    <w:rsid w:val="00976B5F"/>
    <w:rsid w:val="009B75EA"/>
    <w:rsid w:val="00AB2D23"/>
    <w:rsid w:val="00B22582"/>
    <w:rsid w:val="00B9732D"/>
    <w:rsid w:val="00BB2E67"/>
    <w:rsid w:val="00C555C1"/>
    <w:rsid w:val="00C63971"/>
    <w:rsid w:val="00C6549D"/>
    <w:rsid w:val="00D11386"/>
    <w:rsid w:val="00D37F56"/>
    <w:rsid w:val="00DF20BB"/>
    <w:rsid w:val="00E13A1D"/>
    <w:rsid w:val="00E752BB"/>
    <w:rsid w:val="00F06366"/>
    <w:rsid w:val="00F311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91A2"/>
  <w15:docId w15:val="{CC13CDED-C55C-457E-BDE0-ACC3DB85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D11386"/>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F20B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3065">
      <w:bodyDiv w:val="1"/>
      <w:marLeft w:val="0"/>
      <w:marRight w:val="0"/>
      <w:marTop w:val="0"/>
      <w:marBottom w:val="0"/>
      <w:divBdr>
        <w:top w:val="none" w:sz="0" w:space="0" w:color="auto"/>
        <w:left w:val="none" w:sz="0" w:space="0" w:color="auto"/>
        <w:bottom w:val="none" w:sz="0" w:space="0" w:color="auto"/>
        <w:right w:val="none" w:sz="0" w:space="0" w:color="auto"/>
      </w:divBdr>
    </w:div>
    <w:div w:id="29381455">
      <w:bodyDiv w:val="1"/>
      <w:marLeft w:val="0"/>
      <w:marRight w:val="0"/>
      <w:marTop w:val="0"/>
      <w:marBottom w:val="0"/>
      <w:divBdr>
        <w:top w:val="none" w:sz="0" w:space="0" w:color="auto"/>
        <w:left w:val="none" w:sz="0" w:space="0" w:color="auto"/>
        <w:bottom w:val="none" w:sz="0" w:space="0" w:color="auto"/>
        <w:right w:val="none" w:sz="0" w:space="0" w:color="auto"/>
      </w:divBdr>
    </w:div>
    <w:div w:id="37366849">
      <w:bodyDiv w:val="1"/>
      <w:marLeft w:val="0"/>
      <w:marRight w:val="0"/>
      <w:marTop w:val="0"/>
      <w:marBottom w:val="0"/>
      <w:divBdr>
        <w:top w:val="none" w:sz="0" w:space="0" w:color="auto"/>
        <w:left w:val="none" w:sz="0" w:space="0" w:color="auto"/>
        <w:bottom w:val="none" w:sz="0" w:space="0" w:color="auto"/>
        <w:right w:val="none" w:sz="0" w:space="0" w:color="auto"/>
      </w:divBdr>
    </w:div>
    <w:div w:id="94714531">
      <w:bodyDiv w:val="1"/>
      <w:marLeft w:val="0"/>
      <w:marRight w:val="0"/>
      <w:marTop w:val="0"/>
      <w:marBottom w:val="0"/>
      <w:divBdr>
        <w:top w:val="none" w:sz="0" w:space="0" w:color="auto"/>
        <w:left w:val="none" w:sz="0" w:space="0" w:color="auto"/>
        <w:bottom w:val="none" w:sz="0" w:space="0" w:color="auto"/>
        <w:right w:val="none" w:sz="0" w:space="0" w:color="auto"/>
      </w:divBdr>
    </w:div>
    <w:div w:id="259072122">
      <w:bodyDiv w:val="1"/>
      <w:marLeft w:val="0"/>
      <w:marRight w:val="0"/>
      <w:marTop w:val="0"/>
      <w:marBottom w:val="0"/>
      <w:divBdr>
        <w:top w:val="none" w:sz="0" w:space="0" w:color="auto"/>
        <w:left w:val="none" w:sz="0" w:space="0" w:color="auto"/>
        <w:bottom w:val="none" w:sz="0" w:space="0" w:color="auto"/>
        <w:right w:val="none" w:sz="0" w:space="0" w:color="auto"/>
      </w:divBdr>
    </w:div>
    <w:div w:id="262954178">
      <w:bodyDiv w:val="1"/>
      <w:marLeft w:val="0"/>
      <w:marRight w:val="0"/>
      <w:marTop w:val="0"/>
      <w:marBottom w:val="0"/>
      <w:divBdr>
        <w:top w:val="none" w:sz="0" w:space="0" w:color="auto"/>
        <w:left w:val="none" w:sz="0" w:space="0" w:color="auto"/>
        <w:bottom w:val="none" w:sz="0" w:space="0" w:color="auto"/>
        <w:right w:val="none" w:sz="0" w:space="0" w:color="auto"/>
      </w:divBdr>
    </w:div>
    <w:div w:id="389228173">
      <w:bodyDiv w:val="1"/>
      <w:marLeft w:val="0"/>
      <w:marRight w:val="0"/>
      <w:marTop w:val="0"/>
      <w:marBottom w:val="0"/>
      <w:divBdr>
        <w:top w:val="none" w:sz="0" w:space="0" w:color="auto"/>
        <w:left w:val="none" w:sz="0" w:space="0" w:color="auto"/>
        <w:bottom w:val="none" w:sz="0" w:space="0" w:color="auto"/>
        <w:right w:val="none" w:sz="0" w:space="0" w:color="auto"/>
      </w:divBdr>
    </w:div>
    <w:div w:id="414713394">
      <w:bodyDiv w:val="1"/>
      <w:marLeft w:val="0"/>
      <w:marRight w:val="0"/>
      <w:marTop w:val="0"/>
      <w:marBottom w:val="0"/>
      <w:divBdr>
        <w:top w:val="none" w:sz="0" w:space="0" w:color="auto"/>
        <w:left w:val="none" w:sz="0" w:space="0" w:color="auto"/>
        <w:bottom w:val="none" w:sz="0" w:space="0" w:color="auto"/>
        <w:right w:val="none" w:sz="0" w:space="0" w:color="auto"/>
      </w:divBdr>
    </w:div>
    <w:div w:id="457261595">
      <w:bodyDiv w:val="1"/>
      <w:marLeft w:val="0"/>
      <w:marRight w:val="0"/>
      <w:marTop w:val="0"/>
      <w:marBottom w:val="0"/>
      <w:divBdr>
        <w:top w:val="none" w:sz="0" w:space="0" w:color="auto"/>
        <w:left w:val="none" w:sz="0" w:space="0" w:color="auto"/>
        <w:bottom w:val="none" w:sz="0" w:space="0" w:color="auto"/>
        <w:right w:val="none" w:sz="0" w:space="0" w:color="auto"/>
      </w:divBdr>
    </w:div>
    <w:div w:id="538318013">
      <w:bodyDiv w:val="1"/>
      <w:marLeft w:val="0"/>
      <w:marRight w:val="0"/>
      <w:marTop w:val="0"/>
      <w:marBottom w:val="0"/>
      <w:divBdr>
        <w:top w:val="none" w:sz="0" w:space="0" w:color="auto"/>
        <w:left w:val="none" w:sz="0" w:space="0" w:color="auto"/>
        <w:bottom w:val="none" w:sz="0" w:space="0" w:color="auto"/>
        <w:right w:val="none" w:sz="0" w:space="0" w:color="auto"/>
      </w:divBdr>
    </w:div>
    <w:div w:id="706610354">
      <w:bodyDiv w:val="1"/>
      <w:marLeft w:val="0"/>
      <w:marRight w:val="0"/>
      <w:marTop w:val="0"/>
      <w:marBottom w:val="0"/>
      <w:divBdr>
        <w:top w:val="none" w:sz="0" w:space="0" w:color="auto"/>
        <w:left w:val="none" w:sz="0" w:space="0" w:color="auto"/>
        <w:bottom w:val="none" w:sz="0" w:space="0" w:color="auto"/>
        <w:right w:val="none" w:sz="0" w:space="0" w:color="auto"/>
      </w:divBdr>
    </w:div>
    <w:div w:id="758213615">
      <w:bodyDiv w:val="1"/>
      <w:marLeft w:val="0"/>
      <w:marRight w:val="0"/>
      <w:marTop w:val="0"/>
      <w:marBottom w:val="0"/>
      <w:divBdr>
        <w:top w:val="none" w:sz="0" w:space="0" w:color="auto"/>
        <w:left w:val="none" w:sz="0" w:space="0" w:color="auto"/>
        <w:bottom w:val="none" w:sz="0" w:space="0" w:color="auto"/>
        <w:right w:val="none" w:sz="0" w:space="0" w:color="auto"/>
      </w:divBdr>
    </w:div>
    <w:div w:id="764229004">
      <w:bodyDiv w:val="1"/>
      <w:marLeft w:val="0"/>
      <w:marRight w:val="0"/>
      <w:marTop w:val="0"/>
      <w:marBottom w:val="0"/>
      <w:divBdr>
        <w:top w:val="none" w:sz="0" w:space="0" w:color="auto"/>
        <w:left w:val="none" w:sz="0" w:space="0" w:color="auto"/>
        <w:bottom w:val="none" w:sz="0" w:space="0" w:color="auto"/>
        <w:right w:val="none" w:sz="0" w:space="0" w:color="auto"/>
      </w:divBdr>
    </w:div>
    <w:div w:id="828444468">
      <w:bodyDiv w:val="1"/>
      <w:marLeft w:val="0"/>
      <w:marRight w:val="0"/>
      <w:marTop w:val="0"/>
      <w:marBottom w:val="0"/>
      <w:divBdr>
        <w:top w:val="none" w:sz="0" w:space="0" w:color="auto"/>
        <w:left w:val="none" w:sz="0" w:space="0" w:color="auto"/>
        <w:bottom w:val="none" w:sz="0" w:space="0" w:color="auto"/>
        <w:right w:val="none" w:sz="0" w:space="0" w:color="auto"/>
      </w:divBdr>
    </w:div>
    <w:div w:id="835343296">
      <w:bodyDiv w:val="1"/>
      <w:marLeft w:val="0"/>
      <w:marRight w:val="0"/>
      <w:marTop w:val="0"/>
      <w:marBottom w:val="0"/>
      <w:divBdr>
        <w:top w:val="none" w:sz="0" w:space="0" w:color="auto"/>
        <w:left w:val="none" w:sz="0" w:space="0" w:color="auto"/>
        <w:bottom w:val="none" w:sz="0" w:space="0" w:color="auto"/>
        <w:right w:val="none" w:sz="0" w:space="0" w:color="auto"/>
      </w:divBdr>
    </w:div>
    <w:div w:id="836962261">
      <w:bodyDiv w:val="1"/>
      <w:marLeft w:val="0"/>
      <w:marRight w:val="0"/>
      <w:marTop w:val="0"/>
      <w:marBottom w:val="0"/>
      <w:divBdr>
        <w:top w:val="none" w:sz="0" w:space="0" w:color="auto"/>
        <w:left w:val="none" w:sz="0" w:space="0" w:color="auto"/>
        <w:bottom w:val="none" w:sz="0" w:space="0" w:color="auto"/>
        <w:right w:val="none" w:sz="0" w:space="0" w:color="auto"/>
      </w:divBdr>
    </w:div>
    <w:div w:id="1029453934">
      <w:bodyDiv w:val="1"/>
      <w:marLeft w:val="0"/>
      <w:marRight w:val="0"/>
      <w:marTop w:val="0"/>
      <w:marBottom w:val="0"/>
      <w:divBdr>
        <w:top w:val="none" w:sz="0" w:space="0" w:color="auto"/>
        <w:left w:val="none" w:sz="0" w:space="0" w:color="auto"/>
        <w:bottom w:val="none" w:sz="0" w:space="0" w:color="auto"/>
        <w:right w:val="none" w:sz="0" w:space="0" w:color="auto"/>
      </w:divBdr>
    </w:div>
    <w:div w:id="1037899900">
      <w:bodyDiv w:val="1"/>
      <w:marLeft w:val="0"/>
      <w:marRight w:val="0"/>
      <w:marTop w:val="0"/>
      <w:marBottom w:val="0"/>
      <w:divBdr>
        <w:top w:val="none" w:sz="0" w:space="0" w:color="auto"/>
        <w:left w:val="none" w:sz="0" w:space="0" w:color="auto"/>
        <w:bottom w:val="none" w:sz="0" w:space="0" w:color="auto"/>
        <w:right w:val="none" w:sz="0" w:space="0" w:color="auto"/>
      </w:divBdr>
    </w:div>
    <w:div w:id="1117915502">
      <w:bodyDiv w:val="1"/>
      <w:marLeft w:val="0"/>
      <w:marRight w:val="0"/>
      <w:marTop w:val="0"/>
      <w:marBottom w:val="0"/>
      <w:divBdr>
        <w:top w:val="none" w:sz="0" w:space="0" w:color="auto"/>
        <w:left w:val="none" w:sz="0" w:space="0" w:color="auto"/>
        <w:bottom w:val="none" w:sz="0" w:space="0" w:color="auto"/>
        <w:right w:val="none" w:sz="0" w:space="0" w:color="auto"/>
      </w:divBdr>
    </w:div>
    <w:div w:id="1119182468">
      <w:bodyDiv w:val="1"/>
      <w:marLeft w:val="0"/>
      <w:marRight w:val="0"/>
      <w:marTop w:val="0"/>
      <w:marBottom w:val="0"/>
      <w:divBdr>
        <w:top w:val="none" w:sz="0" w:space="0" w:color="auto"/>
        <w:left w:val="none" w:sz="0" w:space="0" w:color="auto"/>
        <w:bottom w:val="none" w:sz="0" w:space="0" w:color="auto"/>
        <w:right w:val="none" w:sz="0" w:space="0" w:color="auto"/>
      </w:divBdr>
    </w:div>
    <w:div w:id="1146513616">
      <w:bodyDiv w:val="1"/>
      <w:marLeft w:val="0"/>
      <w:marRight w:val="0"/>
      <w:marTop w:val="0"/>
      <w:marBottom w:val="0"/>
      <w:divBdr>
        <w:top w:val="none" w:sz="0" w:space="0" w:color="auto"/>
        <w:left w:val="none" w:sz="0" w:space="0" w:color="auto"/>
        <w:bottom w:val="none" w:sz="0" w:space="0" w:color="auto"/>
        <w:right w:val="none" w:sz="0" w:space="0" w:color="auto"/>
      </w:divBdr>
    </w:div>
    <w:div w:id="1174219799">
      <w:bodyDiv w:val="1"/>
      <w:marLeft w:val="0"/>
      <w:marRight w:val="0"/>
      <w:marTop w:val="0"/>
      <w:marBottom w:val="0"/>
      <w:divBdr>
        <w:top w:val="none" w:sz="0" w:space="0" w:color="auto"/>
        <w:left w:val="none" w:sz="0" w:space="0" w:color="auto"/>
        <w:bottom w:val="none" w:sz="0" w:space="0" w:color="auto"/>
        <w:right w:val="none" w:sz="0" w:space="0" w:color="auto"/>
      </w:divBdr>
    </w:div>
    <w:div w:id="1197038498">
      <w:bodyDiv w:val="1"/>
      <w:marLeft w:val="0"/>
      <w:marRight w:val="0"/>
      <w:marTop w:val="0"/>
      <w:marBottom w:val="0"/>
      <w:divBdr>
        <w:top w:val="none" w:sz="0" w:space="0" w:color="auto"/>
        <w:left w:val="none" w:sz="0" w:space="0" w:color="auto"/>
        <w:bottom w:val="none" w:sz="0" w:space="0" w:color="auto"/>
        <w:right w:val="none" w:sz="0" w:space="0" w:color="auto"/>
      </w:divBdr>
    </w:div>
    <w:div w:id="1309897281">
      <w:bodyDiv w:val="1"/>
      <w:marLeft w:val="0"/>
      <w:marRight w:val="0"/>
      <w:marTop w:val="0"/>
      <w:marBottom w:val="0"/>
      <w:divBdr>
        <w:top w:val="none" w:sz="0" w:space="0" w:color="auto"/>
        <w:left w:val="none" w:sz="0" w:space="0" w:color="auto"/>
        <w:bottom w:val="none" w:sz="0" w:space="0" w:color="auto"/>
        <w:right w:val="none" w:sz="0" w:space="0" w:color="auto"/>
      </w:divBdr>
    </w:div>
    <w:div w:id="1358577489">
      <w:bodyDiv w:val="1"/>
      <w:marLeft w:val="0"/>
      <w:marRight w:val="0"/>
      <w:marTop w:val="0"/>
      <w:marBottom w:val="0"/>
      <w:divBdr>
        <w:top w:val="none" w:sz="0" w:space="0" w:color="auto"/>
        <w:left w:val="none" w:sz="0" w:space="0" w:color="auto"/>
        <w:bottom w:val="none" w:sz="0" w:space="0" w:color="auto"/>
        <w:right w:val="none" w:sz="0" w:space="0" w:color="auto"/>
      </w:divBdr>
    </w:div>
    <w:div w:id="1362975943">
      <w:bodyDiv w:val="1"/>
      <w:marLeft w:val="0"/>
      <w:marRight w:val="0"/>
      <w:marTop w:val="0"/>
      <w:marBottom w:val="0"/>
      <w:divBdr>
        <w:top w:val="none" w:sz="0" w:space="0" w:color="auto"/>
        <w:left w:val="none" w:sz="0" w:space="0" w:color="auto"/>
        <w:bottom w:val="none" w:sz="0" w:space="0" w:color="auto"/>
        <w:right w:val="none" w:sz="0" w:space="0" w:color="auto"/>
      </w:divBdr>
    </w:div>
    <w:div w:id="1367827769">
      <w:bodyDiv w:val="1"/>
      <w:marLeft w:val="0"/>
      <w:marRight w:val="0"/>
      <w:marTop w:val="0"/>
      <w:marBottom w:val="0"/>
      <w:divBdr>
        <w:top w:val="none" w:sz="0" w:space="0" w:color="auto"/>
        <w:left w:val="none" w:sz="0" w:space="0" w:color="auto"/>
        <w:bottom w:val="none" w:sz="0" w:space="0" w:color="auto"/>
        <w:right w:val="none" w:sz="0" w:space="0" w:color="auto"/>
      </w:divBdr>
    </w:div>
    <w:div w:id="1369912917">
      <w:bodyDiv w:val="1"/>
      <w:marLeft w:val="0"/>
      <w:marRight w:val="0"/>
      <w:marTop w:val="0"/>
      <w:marBottom w:val="0"/>
      <w:divBdr>
        <w:top w:val="none" w:sz="0" w:space="0" w:color="auto"/>
        <w:left w:val="none" w:sz="0" w:space="0" w:color="auto"/>
        <w:bottom w:val="none" w:sz="0" w:space="0" w:color="auto"/>
        <w:right w:val="none" w:sz="0" w:space="0" w:color="auto"/>
      </w:divBdr>
    </w:div>
    <w:div w:id="1383670865">
      <w:bodyDiv w:val="1"/>
      <w:marLeft w:val="0"/>
      <w:marRight w:val="0"/>
      <w:marTop w:val="0"/>
      <w:marBottom w:val="0"/>
      <w:divBdr>
        <w:top w:val="none" w:sz="0" w:space="0" w:color="auto"/>
        <w:left w:val="none" w:sz="0" w:space="0" w:color="auto"/>
        <w:bottom w:val="none" w:sz="0" w:space="0" w:color="auto"/>
        <w:right w:val="none" w:sz="0" w:space="0" w:color="auto"/>
      </w:divBdr>
    </w:div>
    <w:div w:id="1482775028">
      <w:bodyDiv w:val="1"/>
      <w:marLeft w:val="0"/>
      <w:marRight w:val="0"/>
      <w:marTop w:val="0"/>
      <w:marBottom w:val="0"/>
      <w:divBdr>
        <w:top w:val="none" w:sz="0" w:space="0" w:color="auto"/>
        <w:left w:val="none" w:sz="0" w:space="0" w:color="auto"/>
        <w:bottom w:val="none" w:sz="0" w:space="0" w:color="auto"/>
        <w:right w:val="none" w:sz="0" w:space="0" w:color="auto"/>
      </w:divBdr>
    </w:div>
    <w:div w:id="1536968765">
      <w:bodyDiv w:val="1"/>
      <w:marLeft w:val="0"/>
      <w:marRight w:val="0"/>
      <w:marTop w:val="0"/>
      <w:marBottom w:val="0"/>
      <w:divBdr>
        <w:top w:val="none" w:sz="0" w:space="0" w:color="auto"/>
        <w:left w:val="none" w:sz="0" w:space="0" w:color="auto"/>
        <w:bottom w:val="none" w:sz="0" w:space="0" w:color="auto"/>
        <w:right w:val="none" w:sz="0" w:space="0" w:color="auto"/>
      </w:divBdr>
    </w:div>
    <w:div w:id="1547791592">
      <w:bodyDiv w:val="1"/>
      <w:marLeft w:val="0"/>
      <w:marRight w:val="0"/>
      <w:marTop w:val="0"/>
      <w:marBottom w:val="0"/>
      <w:divBdr>
        <w:top w:val="none" w:sz="0" w:space="0" w:color="auto"/>
        <w:left w:val="none" w:sz="0" w:space="0" w:color="auto"/>
        <w:bottom w:val="none" w:sz="0" w:space="0" w:color="auto"/>
        <w:right w:val="none" w:sz="0" w:space="0" w:color="auto"/>
      </w:divBdr>
    </w:div>
    <w:div w:id="1615286029">
      <w:bodyDiv w:val="1"/>
      <w:marLeft w:val="0"/>
      <w:marRight w:val="0"/>
      <w:marTop w:val="0"/>
      <w:marBottom w:val="0"/>
      <w:divBdr>
        <w:top w:val="none" w:sz="0" w:space="0" w:color="auto"/>
        <w:left w:val="none" w:sz="0" w:space="0" w:color="auto"/>
        <w:bottom w:val="none" w:sz="0" w:space="0" w:color="auto"/>
        <w:right w:val="none" w:sz="0" w:space="0" w:color="auto"/>
      </w:divBdr>
    </w:div>
    <w:div w:id="1676956191">
      <w:bodyDiv w:val="1"/>
      <w:marLeft w:val="0"/>
      <w:marRight w:val="0"/>
      <w:marTop w:val="0"/>
      <w:marBottom w:val="0"/>
      <w:divBdr>
        <w:top w:val="none" w:sz="0" w:space="0" w:color="auto"/>
        <w:left w:val="none" w:sz="0" w:space="0" w:color="auto"/>
        <w:bottom w:val="none" w:sz="0" w:space="0" w:color="auto"/>
        <w:right w:val="none" w:sz="0" w:space="0" w:color="auto"/>
      </w:divBdr>
    </w:div>
    <w:div w:id="1691686275">
      <w:bodyDiv w:val="1"/>
      <w:marLeft w:val="0"/>
      <w:marRight w:val="0"/>
      <w:marTop w:val="0"/>
      <w:marBottom w:val="0"/>
      <w:divBdr>
        <w:top w:val="none" w:sz="0" w:space="0" w:color="auto"/>
        <w:left w:val="none" w:sz="0" w:space="0" w:color="auto"/>
        <w:bottom w:val="none" w:sz="0" w:space="0" w:color="auto"/>
        <w:right w:val="none" w:sz="0" w:space="0" w:color="auto"/>
      </w:divBdr>
    </w:div>
    <w:div w:id="1779446360">
      <w:bodyDiv w:val="1"/>
      <w:marLeft w:val="0"/>
      <w:marRight w:val="0"/>
      <w:marTop w:val="0"/>
      <w:marBottom w:val="0"/>
      <w:divBdr>
        <w:top w:val="none" w:sz="0" w:space="0" w:color="auto"/>
        <w:left w:val="none" w:sz="0" w:space="0" w:color="auto"/>
        <w:bottom w:val="none" w:sz="0" w:space="0" w:color="auto"/>
        <w:right w:val="none" w:sz="0" w:space="0" w:color="auto"/>
      </w:divBdr>
    </w:div>
    <w:div w:id="1781799470">
      <w:bodyDiv w:val="1"/>
      <w:marLeft w:val="0"/>
      <w:marRight w:val="0"/>
      <w:marTop w:val="0"/>
      <w:marBottom w:val="0"/>
      <w:divBdr>
        <w:top w:val="none" w:sz="0" w:space="0" w:color="auto"/>
        <w:left w:val="none" w:sz="0" w:space="0" w:color="auto"/>
        <w:bottom w:val="none" w:sz="0" w:space="0" w:color="auto"/>
        <w:right w:val="none" w:sz="0" w:space="0" w:color="auto"/>
      </w:divBdr>
    </w:div>
    <w:div w:id="1809080431">
      <w:bodyDiv w:val="1"/>
      <w:marLeft w:val="0"/>
      <w:marRight w:val="0"/>
      <w:marTop w:val="0"/>
      <w:marBottom w:val="0"/>
      <w:divBdr>
        <w:top w:val="none" w:sz="0" w:space="0" w:color="auto"/>
        <w:left w:val="none" w:sz="0" w:space="0" w:color="auto"/>
        <w:bottom w:val="none" w:sz="0" w:space="0" w:color="auto"/>
        <w:right w:val="none" w:sz="0" w:space="0" w:color="auto"/>
      </w:divBdr>
    </w:div>
    <w:div w:id="1868368663">
      <w:bodyDiv w:val="1"/>
      <w:marLeft w:val="0"/>
      <w:marRight w:val="0"/>
      <w:marTop w:val="0"/>
      <w:marBottom w:val="0"/>
      <w:divBdr>
        <w:top w:val="none" w:sz="0" w:space="0" w:color="auto"/>
        <w:left w:val="none" w:sz="0" w:space="0" w:color="auto"/>
        <w:bottom w:val="none" w:sz="0" w:space="0" w:color="auto"/>
        <w:right w:val="none" w:sz="0" w:space="0" w:color="auto"/>
      </w:divBdr>
    </w:div>
    <w:div w:id="1869485134">
      <w:bodyDiv w:val="1"/>
      <w:marLeft w:val="0"/>
      <w:marRight w:val="0"/>
      <w:marTop w:val="0"/>
      <w:marBottom w:val="0"/>
      <w:divBdr>
        <w:top w:val="none" w:sz="0" w:space="0" w:color="auto"/>
        <w:left w:val="none" w:sz="0" w:space="0" w:color="auto"/>
        <w:bottom w:val="none" w:sz="0" w:space="0" w:color="auto"/>
        <w:right w:val="none" w:sz="0" w:space="0" w:color="auto"/>
      </w:divBdr>
    </w:div>
    <w:div w:id="1886134198">
      <w:bodyDiv w:val="1"/>
      <w:marLeft w:val="0"/>
      <w:marRight w:val="0"/>
      <w:marTop w:val="0"/>
      <w:marBottom w:val="0"/>
      <w:divBdr>
        <w:top w:val="none" w:sz="0" w:space="0" w:color="auto"/>
        <w:left w:val="none" w:sz="0" w:space="0" w:color="auto"/>
        <w:bottom w:val="none" w:sz="0" w:space="0" w:color="auto"/>
        <w:right w:val="none" w:sz="0" w:space="0" w:color="auto"/>
      </w:divBdr>
    </w:div>
    <w:div w:id="1891303886">
      <w:bodyDiv w:val="1"/>
      <w:marLeft w:val="0"/>
      <w:marRight w:val="0"/>
      <w:marTop w:val="0"/>
      <w:marBottom w:val="0"/>
      <w:divBdr>
        <w:top w:val="none" w:sz="0" w:space="0" w:color="auto"/>
        <w:left w:val="none" w:sz="0" w:space="0" w:color="auto"/>
        <w:bottom w:val="none" w:sz="0" w:space="0" w:color="auto"/>
        <w:right w:val="none" w:sz="0" w:space="0" w:color="auto"/>
      </w:divBdr>
    </w:div>
    <w:div w:id="1947344323">
      <w:bodyDiv w:val="1"/>
      <w:marLeft w:val="0"/>
      <w:marRight w:val="0"/>
      <w:marTop w:val="0"/>
      <w:marBottom w:val="0"/>
      <w:divBdr>
        <w:top w:val="none" w:sz="0" w:space="0" w:color="auto"/>
        <w:left w:val="none" w:sz="0" w:space="0" w:color="auto"/>
        <w:bottom w:val="none" w:sz="0" w:space="0" w:color="auto"/>
        <w:right w:val="none" w:sz="0" w:space="0" w:color="auto"/>
      </w:divBdr>
    </w:div>
    <w:div w:id="2033601694">
      <w:bodyDiv w:val="1"/>
      <w:marLeft w:val="0"/>
      <w:marRight w:val="0"/>
      <w:marTop w:val="0"/>
      <w:marBottom w:val="0"/>
      <w:divBdr>
        <w:top w:val="none" w:sz="0" w:space="0" w:color="auto"/>
        <w:left w:val="none" w:sz="0" w:space="0" w:color="auto"/>
        <w:bottom w:val="none" w:sz="0" w:space="0" w:color="auto"/>
        <w:right w:val="none" w:sz="0" w:space="0" w:color="auto"/>
      </w:divBdr>
    </w:div>
    <w:div w:id="2076315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OWA</b:Tag>
    <b:SourceType>JournalArticle</b:SourceType>
    <b:Guid>{2A6CB314-5278-4A68-B7AB-C2A8161AC15C}</b:Guid>
    <b:Author>
      <b:Author>
        <b:NameList>
          <b:Person>
            <b:Last>OWASP</b:Last>
          </b:Person>
        </b:NameList>
      </b:Author>
    </b:Author>
    <b:RefOrder>7</b:RefOrder>
  </b:Source>
  <b:Source>
    <b:Tag>KGr23</b:Tag>
    <b:SourceType>JournalArticle</b:SourceType>
    <b:Guid>{99B77071-5B96-4FE6-B965-C489D719390B}</b:Guid>
    <b:Author>
      <b:Author>
        <b:NameList>
          <b:Person>
            <b:Last>K.Greshake</b:Last>
            <b:First>.S.Abdelnabi,S,Mishra,</b:First>
            <b:Middle>C.Endres, T.holz, M.Fritz</b:Middle>
          </b:Person>
        </b:NameList>
      </b:Author>
    </b:Author>
    <b:Title>Not what you have Signed up for</b:Title>
    <b:JournalName>compromising Real-world llm</b:JournalName>
    <b:Year>2023</b:Year>
    <b:RefOrder>8</b:RefOrder>
  </b:Source>
  <b:Source>
    <b:Tag>SCh25</b:Tag>
    <b:SourceType>JournalArticle</b:SourceType>
    <b:Guid>{BA75D77B-CA33-4722-A20B-43CE49B7F02B}</b:Guid>
    <b:Author>
      <b:Author>
        <b:NameList>
          <b:Person>
            <b:Last>S.Chen</b:Last>
            <b:First>J.Piet,</b:First>
            <b:Middle>C.Sitawarn, and D.wagnar</b:Middle>
          </b:Person>
        </b:NameList>
      </b:Author>
    </b:Author>
    <b:Title>Defending again prompt injection with structured queries</b:Title>
    <b:JournalName>USENIX Security</b:JournalName>
    <b:Year>2025</b:Year>
    <b:RefOrder>1</b:RefOrder>
  </b:Source>
  <b:Source>
    <b:Tag>Placeholder1</b:Tag>
    <b:SourceType>JournalArticle</b:SourceType>
    <b:Guid>{F59EA099-8C8F-4792-B492-CB203A2B7E42}</b:Guid>
    <b:RefOrder>9</b:RefOrder>
  </b:Source>
  <b:Source>
    <b:Tag>SCh</b:Tag>
    <b:SourceType>JournalArticle</b:SourceType>
    <b:Guid>{423A11FB-E308-4EE4-BB4C-E300136D81F9}</b:Guid>
    <b:Author>
      <b:Author>
        <b:NameList>
          <b:Person>
            <b:Last>S. Chen</b:Last>
            <b:First>J.</b:First>
            <b:Middle>Piet, C. Sitawarin, and D. Wagner</b:Middle>
          </b:Person>
        </b:NameList>
      </b:Author>
    </b:Author>
    <b:RefOrder>10</b:RefOrder>
  </b:Source>
  <b:Source>
    <b:Tag>SCh1</b:Tag>
    <b:SourceType>JournalArticle</b:SourceType>
    <b:Guid>{9B9BBCD5-7CB4-4E70-8C57-B74F74F9B01D}</b:Guid>
    <b:Author>
      <b:Author>
        <b:NameList>
          <b:Person>
            <b:Last>S. Chen</b:Last>
            <b:First>J.</b:First>
            <b:Middle>Piet, C. Sitawarin, and D. Wagner</b:Middle>
          </b:Person>
        </b:NameList>
      </b:Author>
    </b:Author>
    <b:RefOrder>11</b:RefOrder>
  </b:Source>
  <b:Source xmlns:b="http://schemas.openxmlformats.org/officeDocument/2006/bibliography" xmlns="http://schemas.openxmlformats.org/officeDocument/2006/bibliography">
    <b:Tag>Placeholder3</b:Tag>
    <b:RefOrder>4</b:RefOrder>
  </b:Source>
  <b:Source>
    <b:Tag>YLi23</b:Tag>
    <b:SourceType>JournalArticle</b:SourceType>
    <b:Guid>{AA59A036-EA9B-4C84-BB92-C39993F0C32A}</b:Guid>
    <b:Author>
      <b:Author>
        <b:NameList>
          <b:Person>
            <b:Last>] Y. Liu</b:Last>
            <b:First>Y.</b:First>
            <b:Middle>Jia, R. Geng, J. Jia, and N. Z. Gong,</b:Middle>
          </b:Person>
        </b:NameList>
      </b:Author>
    </b:Author>
    <b:Title>promt injection attacks and defenses in LLM-Integrated applications</b:Title>
    <b:JournalName>arxiv</b:JournalName>
    <b:Year>2023</b:Year>
    <b:RefOrder>3</b:RefOrder>
  </b:Source>
  <b:Source>
    <b:Tag>SCh2</b:Tag>
    <b:SourceType>JournalArticle</b:SourceType>
    <b:Guid>{60DD8A08-C8F8-42F7-AEB7-8B46C838D4AD}</b:Guid>
    <b:Author>
      <b:Author>
        <b:NameList>
          <b:Person>
            <b:Last>S. Chen</b:Last>
            <b:First>J.</b:First>
            <b:Middle>Piet, C. Sitawarin, and D. Wagner</b:Middle>
          </b:Person>
        </b:NameList>
      </b:Author>
    </b:Author>
    <b:RefOrder>12</b:RefOrder>
  </b:Source>
  <b:Source>
    <b:Tag>YRu241</b:Tag>
    <b:SourceType>JournalArticle</b:SourceType>
    <b:Guid>{455C3B9B-E626-4E76-86D9-856EB2E099B5}</b:Guid>
    <b:Author>
      <b:Author>
        <b:NameList>
          <b:Person>
            <b:Last>Y. Ruan</b:Last>
            <b:First>H.</b:First>
            <b:Middle>Dong, A. Wang, S. Pitis, Y. Zhou, J. Ba, Y. Dubois, C. J. Maddison, and T. Hashimoto</b:Middle>
          </b:Person>
        </b:NameList>
      </b:Author>
    </b:Author>
    <b:Title>Identifiying the Rik of LM Agents with an LM-Emulaed Sandbox</b:Title>
    <b:JournalName>ICLR</b:JournalName>
    <b:Year>2024</b:Year>
    <b:RefOrder>5</b:RefOrder>
  </b:Source>
  <b:Source>
    <b:Tag>SCh251</b:Tag>
    <b:SourceType>JournalArticle</b:SourceType>
    <b:Guid>{34944432-F7F1-4164-94AB-8A53D2FD58A5}</b:Guid>
    <b:Author>
      <b:Author>
        <b:NameList>
          <b:Person>
            <b:Last>S. Chen</b:Last>
            <b:First>J.</b:First>
            <b:Middle>Piet, C. Sitawarin, and D. Wagner,</b:Middle>
          </b:Person>
        </b:NameList>
      </b:Author>
    </b:Author>
    <b:Title>Defending Against Prompt Injection with Structured Quries</b:Title>
    <b:Year>2025</b:Year>
    <b:RefOrder>13</b:RefOrder>
  </b:Source>
  <b:Source>
    <b:Tag>YLi232</b:Tag>
    <b:SourceType>JournalArticle</b:SourceType>
    <b:Guid>{E0B13AF6-D02E-4BF3-A3A4-E819C48A9324}</b:Guid>
    <b:Author>
      <b:Author>
        <b:NameList>
          <b:Person>
            <b:Last>Y. Liu</b:Last>
            <b:First>Y.</b:First>
            <b:Middle>Jia, R. Geng, J. Jia, and N. Z. Gong,</b:Middle>
          </b:Person>
        </b:NameList>
      </b:Author>
    </b:Author>
    <b:Title>Prompt Injection Attacks and Defenses in LLM-Integrated Applications</b:Title>
    <b:JournalName>arXiv</b:JournalName>
    <b:Year>2023</b:Year>
    <b:RefOrder>14</b:RefOrder>
  </b:Source>
  <b:Source>
    <b:Tag>EWa241</b:Tag>
    <b:SourceType>JournalArticle</b:SourceType>
    <b:Guid>{7ABC54C8-5C58-4BCA-9199-7FFF86D5DCA2}</b:Guid>
    <b:Author>
      <b:Author>
        <b:NameList>
          <b:Person>
            <b:Last>E. Wallace</b:Last>
            <b:First>K.</b:First>
            <b:Middle>Xiao, R. Leike, L. Weng, J. Heidecke, and A. Beutel</b:Middle>
          </b:Person>
        </b:NameList>
      </b:Author>
    </b:Author>
    <b:Title>The Instruction Hierarchy:Training LLMs to prioritize Privileged Instructions</b:Title>
    <b:JournalName>arXiv</b:JournalName>
    <b:Year>2024</b:Year>
    <b:RefOrder>6</b:RefOrder>
  </b:Source>
  <b:Source>
    <b:Tag>SCh252</b:Tag>
    <b:SourceType>JournalArticle</b:SourceType>
    <b:Guid>{7E5D8F69-DB80-4969-A76C-2FF7C0D1936A}</b:Guid>
    <b:Author>
      <b:Author>
        <b:NameList>
          <b:Person>
            <b:Last>S. Chen</b:Last>
            <b:First>J.</b:First>
            <b:Middle>Piet, C. Sitawarin, and D. Wagner,</b:Middle>
          </b:Person>
        </b:NameList>
      </b:Author>
    </b:Author>
    <b:Title>Defendind Against Prompt Injection With Structured Quries </b:Title>
    <b:JournalName>UENIX Security</b:JournalName>
    <b:Year>2025</b:Year>
    <b:RefOrder>2</b:RefOrder>
  </b:Source>
</b:Sources>
</file>

<file path=customXml/itemProps1.xml><?xml version="1.0" encoding="utf-8"?>
<ds:datastoreItem xmlns:ds="http://schemas.openxmlformats.org/officeDocument/2006/customXml" ds:itemID="{C0EA2B5F-C566-4F46-BF42-EDAC682E9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Aleena</dc:creator>
  <cp:lastModifiedBy>23JZBCS0238</cp:lastModifiedBy>
  <cp:revision>7</cp:revision>
  <cp:lastPrinted>2026-09-23T13:02:00Z</cp:lastPrinted>
  <dcterms:created xsi:type="dcterms:W3CDTF">2026-09-23T08:54:00Z</dcterms:created>
  <dcterms:modified xsi:type="dcterms:W3CDTF">2026-09-23T13:03:00Z</dcterms:modified>
</cp:coreProperties>
</file>