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2" w:before="0" w:after="200"/>
        <w:jc w:val="center"/>
        <w:rPr/>
      </w:pPr>
      <w:r>
        <w:rPr>
          <w:b/>
          <w:i w:val="false"/>
          <w:color w:val="000000"/>
          <w:sz w:val="34"/>
        </w:rPr>
        <w:t>Causal Prompt-Injection Detection Depends on a Liftable Target: A Stratified, Pre-Registered Evaluation in Tool-Integrated LLM Agents</w:t>
      </w:r>
    </w:p>
    <w:p>
      <w:pPr>
        <w:pStyle w:val="Normal"/>
        <w:spacing w:lineRule="auto" w:line="252" w:before="0" w:after="60"/>
        <w:jc w:val="center"/>
        <w:rPr/>
      </w:pPr>
      <w:r>
        <w:rPr>
          <w:b/>
          <w:i w:val="false"/>
          <w:color w:val="000000"/>
          <w:sz w:val="20"/>
        </w:rPr>
        <w:t>MUHAMMAD AHMAD KHAN</w:t>
      </w:r>
      <w:r>
        <w:rPr>
          <w:b w:val="false"/>
          <w:i w:val="false"/>
          <w:color w:val="000000"/>
          <w:sz w:val="20"/>
        </w:rPr>
        <w:t xml:space="preserve">¹, </w:t>
      </w:r>
      <w:r>
        <w:rPr>
          <w:b/>
          <w:i w:val="false"/>
          <w:color w:val="000000"/>
          <w:sz w:val="20"/>
        </w:rPr>
        <w:t>ALEENA KHAN</w:t>
      </w:r>
      <w:r>
        <w:rPr>
          <w:b w:val="false"/>
          <w:i w:val="false"/>
          <w:color w:val="000000"/>
          <w:sz w:val="20"/>
        </w:rPr>
        <w:t xml:space="preserve">¹, and </w:t>
      </w:r>
      <w:r>
        <w:rPr>
          <w:b/>
          <w:i w:val="false"/>
          <w:color w:val="000000"/>
          <w:sz w:val="20"/>
        </w:rPr>
        <w:t>LAEEQ AHMED</w:t>
      </w:r>
      <w:r>
        <w:rPr>
          <w:b w:val="false"/>
          <w:i w:val="false"/>
          <w:color w:val="000000"/>
          <w:sz w:val="20"/>
        </w:rPr>
        <w:t>¹</w:t>
      </w:r>
    </w:p>
    <w:p>
      <w:pPr>
        <w:pStyle w:val="Normal"/>
        <w:spacing w:lineRule="auto" w:line="252" w:before="0" w:after="60"/>
        <w:jc w:val="center"/>
        <w:rPr>
          <w:rFonts w:ascii="Times New Roman" w:hAnsi="Times New Roman"/>
          <w:b/>
          <w:b/>
          <w:i w:val="false"/>
          <w:i w:val="false"/>
          <w:color w:val="444A53"/>
          <w:sz w:val="19"/>
        </w:rPr>
      </w:pPr>
      <w:r>
        <w:rPr>
          <w:b w:val="false"/>
          <w:i w:val="false"/>
          <w:color w:val="000000"/>
          <w:sz w:val="19"/>
        </w:rPr>
        <w:t>¹Department of Computer Science, University of Engineering and Technology Peshawar, Jalozai Campus, Khyber Pakhtunkhwa, Pakistan</w:t>
      </w:r>
    </w:p>
    <w:p>
      <w:pPr>
        <w:pStyle w:val="Normal"/>
        <w:spacing w:lineRule="auto" w:line="252" w:before="120" w:after="80"/>
        <w:jc w:val="both"/>
        <w:rPr/>
      </w:pPr>
      <w:r>
        <w:rPr>
          <w:b/>
          <w:i w:val="false"/>
          <w:color w:val="000000"/>
          <w:sz w:val="20"/>
        </w:rPr>
        <w:t>Abstract</w:t>
      </w:r>
      <w:r>
        <w:rPr>
          <w:b w:val="false"/>
          <w:i w:val="false"/>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b w:val="false"/>
          <w:i/>
          <w:color w:val="000000"/>
          <w:sz w:val="20"/>
        </w:rPr>
        <w:t>changed because of</w:t>
      </w:r>
      <w:r>
        <w:rPr>
          <w:b w:val="false"/>
          <w:i w:val="false"/>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b w:val="false"/>
          <w:i/>
          <w:color w:val="000000"/>
          <w:sz w:val="20"/>
        </w:rPr>
        <w:t>p</w:t>
      </w:r>
      <w:r>
        <w:rPr>
          <w:b w:val="false"/>
          <w:i w:val="false"/>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b w:val="false"/>
          <w:i/>
          <w:color w:val="000000"/>
          <w:sz w:val="20"/>
        </w:rPr>
        <w:t>liftable target</w:t>
      </w:r>
      <w:r>
        <w:rPr>
          <w:b w:val="false"/>
          <w:i w:val="false"/>
          <w:color w:val="000000"/>
          <w:sz w:val="20"/>
        </w:rPr>
        <w:t>, an address or URL an action can name, and close to none otherwise. Every number reported here is regenerable by a committed command over a released artifact, and the two headline experiments were pre-registered.</w:t>
      </w:r>
    </w:p>
    <w:p>
      <w:pPr>
        <w:pStyle w:val="Normal"/>
        <w:spacing w:lineRule="auto" w:line="252" w:before="0" w:after="80"/>
        <w:jc w:val="both"/>
        <w:rPr/>
      </w:pPr>
      <w:r>
        <w:rPr>
          <w:b/>
          <w:i w:val="false"/>
          <w:color w:val="000000"/>
          <w:sz w:val="20"/>
        </w:rPr>
        <w:t>Index Terms</w:t>
      </w:r>
      <w:r>
        <w:rPr>
          <w:b w:val="false"/>
          <w:i w:val="false"/>
          <w:color w:val="000000"/>
          <w:sz w:val="20"/>
        </w:rPr>
        <w:t xml:space="preserve"> — indirect prompt injection, LLM agents, causal detection, security evaluation, negative results, tool-integrated language models, reproducibility.</w:t>
      </w:r>
    </w:p>
    <w:p>
      <w:pPr>
        <w:pStyle w:val="Normal"/>
        <w:spacing w:lineRule="auto" w:line="252" w:before="0" w:after="40"/>
        <w:jc w:val="both"/>
        <w:rPr/>
      </w:pPr>
      <w:r>
        <w:rPr/>
      </w:r>
    </w:p>
    <w:p>
      <w:pPr>
        <w:pStyle w:val="Normal"/>
        <w:spacing w:lineRule="auto" w:line="252" w:before="240" w:after="100"/>
        <w:jc w:val="left"/>
        <w:rPr/>
      </w:pPr>
      <w:r>
        <w:rPr>
          <w:b/>
          <w:i w:val="false"/>
          <w:color w:val="000000"/>
          <w:sz w:val="22"/>
        </w:rPr>
        <w:t>I. INTRODUCTION</w:t>
      </w:r>
    </w:p>
    <w:p>
      <w:pPr>
        <w:pStyle w:val="Normal"/>
        <w:spacing w:lineRule="auto" w:line="252" w:before="0" w:after="80"/>
        <w:jc w:val="both"/>
        <w:rPr/>
      </w:pPr>
      <w:r>
        <w:rPr>
          <w:b w:val="false"/>
          <w:i w:val="false"/>
          <w:color w:val="000000"/>
          <w:sz w:val="20"/>
        </w:rPr>
        <w:t xml:space="preserve">An LLM agent that reads tool output is reading untrusted text. When that text contains instructions, the model has no reliable way to distinguish </w:t>
      </w:r>
      <w:r>
        <w:rPr>
          <w:b w:val="false"/>
          <w:i/>
          <w:color w:val="000000"/>
          <w:sz w:val="20"/>
        </w:rPr>
        <w:t>content it was asked to process</w:t>
      </w:r>
      <w:r>
        <w:rPr>
          <w:b w:val="false"/>
          <w:i w:val="false"/>
          <w:color w:val="000000"/>
          <w:sz w:val="20"/>
        </w:rPr>
        <w:t xml:space="preserve"> from </w:t>
      </w:r>
      <w:r>
        <w:rPr>
          <w:b w:val="false"/>
          <w:i/>
          <w:color w:val="000000"/>
          <w:sz w:val="20"/>
        </w:rPr>
        <w:t>a command it was asked to follow</w:t>
      </w:r>
      <w:r>
        <w:rPr>
          <w:b w:val="false"/>
          <w:i w:val="false"/>
          <w:color w:val="000000"/>
          <w:sz w:val="20"/>
        </w:rPr>
        <w:t>. This is indirect prompt injection, and unlike a jailbreak it requires no access to the user: the attacker writes an email, a support ticket, or a build log, and waits for an agent to read it [5].</w:t>
      </w:r>
    </w:p>
    <w:p>
      <w:pPr>
        <w:pStyle w:val="Normal"/>
        <w:spacing w:lineRule="auto" w:line="252" w:before="0" w:after="80"/>
        <w:jc w:val="both"/>
        <w:rPr/>
      </w:pPr>
      <w:r>
        <w:rPr>
          <w:b w:val="false"/>
          <w:i w:val="false"/>
          <w:color w:val="000000"/>
          <w:sz w:val="20"/>
        </w:rPr>
        <w:t xml:space="preserve">Proposed defenses cluster into two families. </w:t>
      </w:r>
      <w:r>
        <w:rPr>
          <w:b/>
          <w:i w:val="false"/>
          <w:color w:val="000000"/>
          <w:sz w:val="20"/>
        </w:rPr>
        <w:t>Prompt-level</w:t>
      </w:r>
      <w:r>
        <w:rPr>
          <w:b w:val="false"/>
          <w:i w:val="false"/>
          <w:color w:val="000000"/>
          <w:sz w:val="20"/>
        </w:rPr>
        <w:t xml:space="preserve"> defenses mark the untrusted span and instruct the model to disregard instructions inside it [3]. </w:t>
      </w:r>
      <w:r>
        <w:rPr>
          <w:b/>
          <w:i w:val="false"/>
          <w:color w:val="000000"/>
          <w:sz w:val="20"/>
        </w:rPr>
        <w:t>Gate-level</w:t>
      </w:r>
      <w:r>
        <w:rPr>
          <w:b w:val="false"/>
          <w:i w:val="false"/>
          <w:color w:val="000000"/>
          <w:sz w:val="20"/>
        </w:rPr>
        <w:t xml:space="preserve"> defenses constrain what the agent may do afterwards — permission scopes, egress allowlists, sandboxes, tool filters [2]. A third and less-explored family asks a different question: not </w:t>
      </w:r>
      <w:r>
        <w:rPr>
          <w:b w:val="false"/>
          <w:i/>
          <w:color w:val="000000"/>
          <w:sz w:val="20"/>
        </w:rPr>
        <w:t>does this text look dangerous</w:t>
      </w:r>
      <w:r>
        <w:rPr>
          <w:b w:val="false"/>
          <w:i w:val="false"/>
          <w:color w:val="000000"/>
          <w:sz w:val="20"/>
        </w:rPr>
        <w:t xml:space="preserve">, but </w:t>
      </w:r>
      <w:r>
        <w:rPr>
          <w:b/>
          <w:i w:val="false"/>
          <w:color w:val="000000"/>
          <w:sz w:val="20"/>
        </w:rPr>
        <w:t>did the model's proposed action change because of it?</w:t>
      </w:r>
    </w:p>
    <w:p>
      <w:pPr>
        <w:pStyle w:val="Normal"/>
        <w:spacing w:lineRule="auto" w:line="252" w:before="0" w:after="80"/>
        <w:jc w:val="both"/>
        <w:rPr/>
      </w:pPr>
      <w:r>
        <w:rPr>
          <w:b w:val="false"/>
          <w:i w:val="false"/>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pStyle w:val="Normal"/>
        <w:spacing w:lineRule="auto" w:line="252" w:before="160" w:after="60"/>
        <w:jc w:val="left"/>
        <w:rPr/>
      </w:pPr>
      <w:r>
        <w:rPr>
          <w:b/>
          <w:i/>
          <w:color w:val="000000"/>
          <w:sz w:val="20"/>
        </w:rPr>
        <w:t>A. What we built and what we asked</w:t>
      </w:r>
    </w:p>
    <w:p>
      <w:pPr>
        <w:pStyle w:val="Normal"/>
        <w:spacing w:lineRule="auto" w:line="252" w:before="0" w:after="80"/>
        <w:jc w:val="both"/>
        <w:rPr/>
      </w:pPr>
      <w:r>
        <w:rPr>
          <w:b w:val="false"/>
          <w:i w:val="false"/>
          <w:color w:val="000000"/>
          <w:sz w:val="20"/>
        </w:rPr>
        <w:t xml:space="preserve">We implement a six-layer defensive pipeline whose distinguishing element is a causal sub-layer: it runs the model's action selection under four regimes that differ in what the model can see, and treats </w:t>
      </w:r>
      <w:r>
        <w:rPr>
          <w:b w:val="false"/>
          <w:i/>
          <w:color w:val="000000"/>
          <w:sz w:val="20"/>
        </w:rPr>
        <w:t>differences between those regimes</w:t>
      </w:r>
      <w:r>
        <w:rPr>
          <w:b w:val="false"/>
          <w:i w:val="false"/>
          <w:color w:val="000000"/>
          <w:sz w:val="20"/>
        </w:rPr>
        <w:t xml:space="preserve"> as evidence that untrusted content is driving the action. A separate adaptive component observes detection failures and proposes configuration changes for human approval.</w:t>
      </w:r>
    </w:p>
    <w:p>
      <w:pPr>
        <w:pStyle w:val="Normal"/>
        <w:spacing w:lineRule="auto" w:line="252" w:before="0" w:after="80"/>
        <w:jc w:val="both"/>
        <w:rPr/>
      </w:pPr>
      <w:r>
        <w:rPr>
          <w:b w:val="false"/>
          <w:i w:val="false"/>
          <w:color w:val="000000"/>
          <w:sz w:val="20"/>
        </w:rPr>
        <w:t>We then set out to measure it honestly, which turned out to mean measuring the instruments first.</w:t>
      </w:r>
    </w:p>
    <w:p>
      <w:pPr>
        <w:pStyle w:val="Normal"/>
        <w:spacing w:lineRule="auto" w:line="252" w:before="160" w:after="60"/>
        <w:jc w:val="left"/>
        <w:rPr/>
      </w:pPr>
      <w:r>
        <w:rPr>
          <w:b/>
          <w:i/>
          <w:color w:val="000000"/>
          <w:sz w:val="20"/>
        </w:rPr>
        <w:t>B. Contributions</w:t>
      </w:r>
    </w:p>
    <w:p>
      <w:pPr>
        <w:pStyle w:val="Normal"/>
        <w:spacing w:lineRule="auto" w:line="252" w:before="0" w:after="80"/>
        <w:jc w:val="both"/>
        <w:rPr/>
      </w:pPr>
      <w:r>
        <w:rPr>
          <w:b/>
          <w:i w:val="false"/>
          <w:color w:val="000000"/>
          <w:sz w:val="20"/>
        </w:rPr>
        <w:t>1) A component-wise ablation showing that four of six components change no outcome on our own corpus.</w:t>
      </w:r>
      <w:r>
        <w:rPr>
          <w:b w:val="false"/>
          <w:i w:val="false"/>
          <w:color w:val="000000"/>
          <w:sz w:val="20"/>
        </w:rPr>
        <w:t xml:space="preserve"> Ladder and leave-one-out ablations agree on every row: the causal analyzer moves detection (18/0 discordant, exact </w:t>
      </w:r>
      <w:r>
        <w:rPr>
          <w:b w:val="false"/>
          <w:i/>
          <w:color w:val="000000"/>
          <w:sz w:val="20"/>
        </w:rPr>
        <w:t>p</w:t>
      </w:r>
      <w:r>
        <w:rPr>
          <w:b w:val="false"/>
          <w:i w:val="false"/>
          <w:color w:val="000000"/>
          <w:sz w:val="20"/>
        </w:rPr>
        <w:t xml:space="preserve"> = 7.6 × 10⁻⁶), the sanitizer moves workflow continuation (18/0), and the tool-response screener, the policy engine, and both halves of the permission and egress layer are 0/0 with zero discordant pairs. Layer 4 is </w:t>
      </w:r>
      <w:r>
        <w:rPr>
          <w:b w:val="false"/>
          <w:i/>
          <w:color w:val="000000"/>
          <w:sz w:val="20"/>
        </w:rPr>
        <w:t>redundant</w:t>
      </w:r>
      <w:r>
        <w:rPr>
          <w:b w:val="false"/>
          <w:i w:val="false"/>
          <w:color w:val="000000"/>
          <w:sz w:val="20"/>
        </w:rPr>
        <w:t xml:space="preserve"> rather than contributing (§V).</w:t>
      </w:r>
    </w:p>
    <w:p>
      <w:pPr>
        <w:pStyle w:val="Normal"/>
        <w:spacing w:lineRule="auto" w:line="252" w:before="0" w:after="80"/>
        <w:jc w:val="both"/>
        <w:rPr/>
      </w:pPr>
      <w:r>
        <w:rPr>
          <w:b/>
          <w:i w:val="false"/>
          <w:color w:val="000000"/>
          <w:sz w:val="20"/>
        </w:rPr>
        <w:t>2) A measured comparison against a published prompt-level defense, which is a null.</w:t>
      </w:r>
      <w:r>
        <w:rPr>
          <w:b w:val="false"/>
          <w:i w:val="false"/>
          <w:color w:val="000000"/>
          <w:sz w:val="20"/>
        </w:rPr>
        <w:t xml:space="preserve"> Spotlighting moves the steering rate from 34.8% to 33.3%, McNemar </w:t>
      </w:r>
      <w:r>
        <w:rPr>
          <w:b w:val="false"/>
          <w:i/>
          <w:color w:val="000000"/>
          <w:sz w:val="20"/>
        </w:rPr>
        <w:t>p</w:t>
      </w:r>
      <w:r>
        <w:rPr>
          <w:b w:val="false"/>
          <w:i w:val="false"/>
          <w:color w:val="000000"/>
          <w:sz w:val="20"/>
        </w:rPr>
        <w:t xml:space="preserve"> = 1.00 — and the null decomposes into two per-family effects of opposite sign, because a transform that makes a thin payload more </w:t>
      </w:r>
      <w:r>
        <w:rPr>
          <w:b w:val="false"/>
          <w:i/>
          <w:color w:val="000000"/>
          <w:sz w:val="20"/>
        </w:rPr>
        <w:t>legible</w:t>
      </w:r>
      <w:r>
        <w:rPr>
          <w:b w:val="false"/>
          <w:i w:val="false"/>
          <w:color w:val="000000"/>
          <w:sz w:val="20"/>
        </w:rPr>
        <w:t xml:space="preserve"> can increase compliance with it (§VI).</w:t>
      </w:r>
    </w:p>
    <w:p>
      <w:pPr>
        <w:pStyle w:val="Normal"/>
        <w:spacing w:lineRule="auto" w:line="252" w:before="0" w:after="80"/>
        <w:jc w:val="both"/>
        <w:rPr/>
      </w:pPr>
      <w:r>
        <w:rPr>
          <w:b/>
          <w:i w:val="false"/>
          <w:color w:val="000000"/>
          <w:sz w:val="20"/>
        </w:rPr>
        <w:t>3) External validity, measured, at a cost.</w:t>
      </w:r>
      <w:r>
        <w:rPr>
          <w:b w:val="false"/>
          <w:i w:val="false"/>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pStyle w:val="Normal"/>
        <w:spacing w:lineRule="auto" w:line="252" w:before="0" w:after="80"/>
        <w:jc w:val="both"/>
        <w:rPr/>
      </w:pPr>
      <w:r>
        <w:rPr>
          <w:b/>
          <w:i w:val="false"/>
          <w:color w:val="000000"/>
          <w:sz w:val="20"/>
        </w:rPr>
        <w:t>4) A held-out test of the obvious repair, which generalizes about half.</w:t>
      </w:r>
      <w:r>
        <w:rPr>
          <w:b w:val="false"/>
          <w:i w:val="false"/>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pStyle w:val="Normal"/>
        <w:spacing w:lineRule="auto" w:line="252" w:before="0" w:after="80"/>
        <w:jc w:val="both"/>
        <w:rPr/>
      </w:pPr>
      <w:r>
        <w:rPr>
          <w:b/>
          <w:i w:val="false"/>
          <w:color w:val="000000"/>
          <w:sz w:val="20"/>
        </w:rPr>
        <w:t>5) The first evaluation of a temporal-drift rule whose parameters were formally unidentifiable, and a structural explanation of why it cannot fire.</w:t>
      </w:r>
      <w:r>
        <w:rPr>
          <w:b w:val="false"/>
          <w:i w:val="false"/>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pStyle w:val="Normal"/>
        <w:spacing w:lineRule="auto" w:line="252" w:before="0" w:after="80"/>
        <w:jc w:val="both"/>
        <w:rPr/>
      </w:pPr>
      <w:r>
        <w:rPr>
          <w:b/>
          <w:i w:val="false"/>
          <w:color w:val="000000"/>
          <w:sz w:val="20"/>
        </w:rPr>
        <w:t>6) Three negative results about adaptive security configuration</w:t>
      </w:r>
      <w:r>
        <w:rPr>
          <w:b w:val="false"/>
          <w:i w:val="false"/>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b w:val="false"/>
          <w:i/>
          <w:color w:val="000000"/>
          <w:sz w:val="20"/>
        </w:rPr>
        <w:t>recomputes</w:t>
      </w:r>
      <w:r>
        <w:rPr>
          <w:b w:val="false"/>
          <w:i w:val="false"/>
          <w:color w:val="000000"/>
          <w:sz w:val="20"/>
        </w:rPr>
        <w:t xml:space="preserve"> evidence rather than trusting a proposal (§X).</w:t>
      </w:r>
    </w:p>
    <w:p>
      <w:pPr>
        <w:pStyle w:val="Normal"/>
        <w:spacing w:lineRule="auto" w:line="252" w:before="160" w:after="60"/>
        <w:jc w:val="left"/>
        <w:rPr/>
      </w:pPr>
      <w:r>
        <w:rPr>
          <w:b/>
          <w:i/>
          <w:color w:val="000000"/>
          <w:sz w:val="20"/>
        </w:rPr>
        <w:t>C. The claim these converge on</w:t>
      </w:r>
    </w:p>
    <w:p>
      <w:pPr>
        <w:pStyle w:val="Normal"/>
        <w:spacing w:lineRule="auto" w:line="252" w:before="80" w:after="120"/>
        <w:ind w:left="504" w:hanging="0"/>
        <w:jc w:val="left"/>
        <w:rPr/>
      </w:pPr>
      <w:r>
        <w:rPr>
          <w:b/>
          <w:i/>
          <w:color w:val="000000"/>
          <w:sz w:val="20"/>
        </w:rPr>
        <w:t>The causal contrast carries discriminative signal when the injected content contains a liftable target — an address or URL the action can name — and close to none otherwise.</w:t>
      </w:r>
    </w:p>
    <w:p>
      <w:pPr>
        <w:pStyle w:val="Normal"/>
        <w:spacing w:lineRule="auto" w:line="252" w:before="0" w:after="80"/>
        <w:jc w:val="both"/>
        <w:rPr/>
      </w:pPr>
      <w:r>
        <w:rPr>
          <w:b w:val="false"/>
          <w:i w:val="false"/>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pStyle w:val="Normal"/>
        <w:spacing w:lineRule="auto" w:line="252" w:before="0" w:after="80"/>
        <w:jc w:val="both"/>
        <w:rPr/>
      </w:pPr>
      <w:r>
        <w:rPr>
          <w:b w:val="false"/>
          <w:i w:val="false"/>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b w:val="false"/>
          <w:i/>
          <w:color w:val="000000"/>
          <w:sz w:val="20"/>
        </w:rPr>
        <w:t>scorer</w:t>
      </w:r>
      <w:r>
        <w:rPr>
          <w:b w:val="false"/>
          <w:i w:val="false"/>
          <w:color w:val="000000"/>
          <w:sz w:val="20"/>
        </w:rPr>
        <w:t xml:space="preserve"> rather than of the causal idea.</w:t>
      </w:r>
    </w:p>
    <w:p>
      <w:pPr>
        <w:pStyle w:val="Normal"/>
        <w:spacing w:lineRule="auto" w:line="252" w:before="160" w:after="60"/>
        <w:jc w:val="left"/>
        <w:rPr/>
      </w:pPr>
      <w:r>
        <w:rPr>
          <w:b/>
          <w:i/>
          <w:color w:val="000000"/>
          <w:sz w:val="20"/>
        </w:rPr>
        <w:t>D. On negative results and instruments</w:t>
      </w:r>
    </w:p>
    <w:p>
      <w:pPr>
        <w:pStyle w:val="Normal"/>
        <w:spacing w:lineRule="auto" w:line="252" w:before="0" w:after="80"/>
        <w:jc w:val="both"/>
        <w:rPr/>
      </w:pPr>
      <w:r>
        <w:rPr>
          <w:b w:val="false"/>
          <w:i w:val="false"/>
          <w:color w:val="000000"/>
          <w:sz w:val="20"/>
        </w:rPr>
        <w:t xml:space="preserve">Six of the results above are negative, and three surfaced from instrumentation built to answer a different question. That is not incidental. Systems of this kind fail more often in their </w:t>
      </w:r>
      <w:r>
        <w:rPr>
          <w:b/>
          <w:i w:val="false"/>
          <w:color w:val="000000"/>
          <w:sz w:val="20"/>
        </w:rPr>
        <w:t>instruments</w:t>
      </w:r>
      <w:r>
        <w:rPr>
          <w:b w:val="false"/>
          <w:i w:val="false"/>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pStyle w:val="Normal"/>
        <w:spacing w:lineRule="auto" w:line="252" w:before="240" w:after="100"/>
        <w:jc w:val="left"/>
        <w:rPr/>
      </w:pPr>
      <w:r>
        <w:rPr>
          <w:b/>
          <w:i w:val="false"/>
          <w:color w:val="000000"/>
          <w:sz w:val="22"/>
        </w:rPr>
        <w:t>II. RELATED WORK</w:t>
      </w:r>
    </w:p>
    <w:p>
      <w:pPr>
        <w:pStyle w:val="Normal"/>
        <w:spacing w:lineRule="auto" w:line="252" w:before="0" w:after="80"/>
        <w:jc w:val="both"/>
        <w:rPr/>
      </w:pPr>
      <w:r>
        <w:rPr>
          <w:b/>
          <w:i w:val="false"/>
          <w:color w:val="000000"/>
          <w:sz w:val="20"/>
        </w:rPr>
        <w:t>Establishing the attack.</w:t>
      </w:r>
      <w:r>
        <w:rPr>
          <w:b w:val="false"/>
          <w:i w:val="false"/>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pStyle w:val="Normal"/>
        <w:spacing w:lineRule="auto" w:line="252" w:before="0" w:after="80"/>
        <w:jc w:val="both"/>
        <w:rPr/>
      </w:pPr>
      <w:r>
        <w:rPr>
          <w:b/>
          <w:i w:val="false"/>
          <w:color w:val="000000"/>
          <w:sz w:val="20"/>
        </w:rPr>
        <w:t>Benchmarks.</w:t>
      </w:r>
      <w:r>
        <w:rPr>
          <w:b w:val="false"/>
          <w:i w:val="false"/>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pStyle w:val="Normal"/>
        <w:spacing w:lineRule="auto" w:line="252" w:before="0" w:after="80"/>
        <w:jc w:val="both"/>
        <w:rPr/>
      </w:pPr>
      <w:r>
        <w:rPr>
          <w:b/>
          <w:i w:val="false"/>
          <w:color w:val="000000"/>
          <w:sz w:val="20"/>
        </w:rPr>
        <w:t>Prompt-level defenses.</w:t>
      </w:r>
      <w:r>
        <w:rPr>
          <w:b w:val="false"/>
          <w:i w:val="false"/>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pStyle w:val="Normal"/>
        <w:spacing w:lineRule="auto" w:line="252" w:before="0" w:after="80"/>
        <w:jc w:val="both"/>
        <w:rPr/>
      </w:pPr>
      <w:r>
        <w:rPr>
          <w:b/>
          <w:i w:val="false"/>
          <w:color w:val="000000"/>
          <w:sz w:val="20"/>
        </w:rPr>
        <w:t>Gate-level defenses.</w:t>
      </w:r>
      <w:r>
        <w:rPr>
          <w:b w:val="false"/>
          <w:i w:val="false"/>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pStyle w:val="Normal"/>
        <w:spacing w:lineRule="auto" w:line="252" w:before="0" w:after="80"/>
        <w:jc w:val="both"/>
        <w:rPr/>
      </w:pPr>
      <w:r>
        <w:rPr>
          <w:b/>
          <w:i w:val="false"/>
          <w:color w:val="000000"/>
          <w:sz w:val="20"/>
        </w:rPr>
        <w:t>Detector-based defenses.</w:t>
      </w:r>
      <w:r>
        <w:rPr>
          <w:b w:val="false"/>
          <w:i w:val="false"/>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b w:val="false"/>
          <w:i/>
          <w:color w:val="000000"/>
          <w:sz w:val="20"/>
        </w:rPr>
        <w:t>text prompt</w:t>
      </w:r>
      <w:r>
        <w:rPr>
          <w:b w:val="false"/>
          <w:i w:val="false"/>
          <w:color w:val="000000"/>
          <w:sz w:val="20"/>
        </w:rPr>
        <w:t xml:space="preserve">; ours classifies a </w:t>
      </w:r>
      <w:r>
        <w:rPr>
          <w:b w:val="false"/>
          <w:i/>
          <w:color w:val="000000"/>
          <w:sz w:val="20"/>
        </w:rPr>
        <w:t>turn of an agent loop</w:t>
      </w:r>
      <w:r>
        <w:rPr>
          <w:b w:val="false"/>
          <w:i w:val="false"/>
          <w:color w:val="000000"/>
          <w:sz w:val="20"/>
        </w:rPr>
        <w:t>, and its input is a behavioural contrast rather than the text itself. §XI positions our numbers against theirs and states precisely why the comparison is indicative rather than like-for-like.</w:t>
      </w:r>
    </w:p>
    <w:p>
      <w:pPr>
        <w:pStyle w:val="Normal"/>
        <w:spacing w:lineRule="auto" w:line="252" w:before="0" w:after="80"/>
        <w:jc w:val="both"/>
        <w:rPr/>
      </w:pPr>
      <w:r>
        <w:rPr>
          <w:b/>
          <w:i w:val="false"/>
          <w:color w:val="000000"/>
          <w:sz w:val="20"/>
        </w:rPr>
        <w:t>What is missing, and what this paper supplies.</w:t>
      </w:r>
      <w:r>
        <w:rPr>
          <w:b w:val="false"/>
          <w:i w:val="false"/>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pStyle w:val="Normal"/>
        <w:spacing w:lineRule="auto" w:line="252" w:before="0" w:after="80"/>
        <w:jc w:val="both"/>
        <w:rPr/>
      </w:pPr>
      <w:r>
        <w:rPr>
          <w:b/>
          <w:i w:val="false"/>
          <w:color w:val="000000"/>
          <w:sz w:val="20"/>
        </w:rPr>
        <w:t>[TO COMPLETE: the project's vault carries reviewed notes on AgentSentry, AutoMalTool, MCPSecBench, MCP-RiskCue, ETDI and a Model Context Protocol security survey, each of which motivates a specific layer of the architecture. Their full bibliographic entries are not yet transcribed and are marked in the reference list.]</w:t>
      </w:r>
    </w:p>
    <w:p>
      <w:pPr>
        <w:pStyle w:val="Normal"/>
        <w:spacing w:lineRule="auto" w:line="252" w:before="240" w:after="100"/>
        <w:jc w:val="left"/>
        <w:rPr/>
      </w:pPr>
      <w:r>
        <w:rPr>
          <w:b/>
          <w:i w:val="false"/>
          <w:color w:val="000000"/>
          <w:sz w:val="22"/>
        </w:rPr>
        <w:t>III. THREAT MODEL AND SYSTEM ARCHITECTURE</w:t>
      </w:r>
    </w:p>
    <w:p>
      <w:pPr>
        <w:pStyle w:val="Normal"/>
        <w:spacing w:lineRule="auto" w:line="252" w:before="160" w:after="60"/>
        <w:jc w:val="left"/>
        <w:rPr/>
      </w:pPr>
      <w:r>
        <w:rPr>
          <w:b/>
          <w:i/>
          <w:color w:val="000000"/>
          <w:sz w:val="20"/>
        </w:rPr>
        <w:t>A. Threat model</w:t>
      </w:r>
    </w:p>
    <w:p>
      <w:pPr>
        <w:pStyle w:val="Normal"/>
        <w:spacing w:lineRule="auto" w:line="252" w:before="0" w:after="80"/>
        <w:jc w:val="both"/>
        <w:rPr/>
      </w:pPr>
      <w:r>
        <w:rPr>
          <w:b/>
          <w:i w:val="false"/>
          <w:color w:val="000000"/>
          <w:sz w:val="20"/>
        </w:rPr>
        <w:t>The attacker</w:t>
      </w:r>
      <w:r>
        <w:rPr>
          <w:b w:val="false"/>
          <w:i w:val="false"/>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pStyle w:val="Normal"/>
        <w:spacing w:lineRule="auto" w:line="252" w:before="0" w:after="80"/>
        <w:jc w:val="both"/>
        <w:rPr/>
      </w:pPr>
      <w:r>
        <w:rPr>
          <w:b/>
          <w:i w:val="false"/>
          <w:color w:val="000000"/>
          <w:sz w:val="20"/>
        </w:rPr>
        <w:t>The mediator</w:t>
      </w:r>
      <w:r>
        <w:rPr>
          <w:b w:val="false"/>
          <w:i w:val="false"/>
          <w:color w:val="000000"/>
          <w:sz w:val="20"/>
        </w:rPr>
        <w:t xml:space="preserve"> is that untrusted span. Everything in this paper turns on boundaries where a mediator enters the agent's context and an action follows.</w:t>
      </w:r>
    </w:p>
    <w:p>
      <w:pPr>
        <w:pStyle w:val="Normal"/>
        <w:spacing w:lineRule="auto" w:line="252" w:before="0" w:after="80"/>
        <w:jc w:val="both"/>
        <w:rPr/>
      </w:pPr>
      <w:r>
        <w:rPr>
          <w:b/>
          <w:i w:val="false"/>
          <w:color w:val="000000"/>
          <w:sz w:val="20"/>
        </w:rPr>
        <w:t>Success</w:t>
      </w:r>
      <w:r>
        <w:rPr>
          <w:b w:val="false"/>
          <w:i w:val="false"/>
          <w:color w:val="000000"/>
          <w:sz w:val="20"/>
        </w:rPr>
        <w:t xml:space="preserve">, for the attacker, is the agent taking an action the user did not ask for and would not sanction — exfiltrating data, contacting a new recipient, enumerating credentials, changing a permission. We measure this as </w:t>
      </w:r>
      <w:r>
        <w:rPr>
          <w:b/>
          <w:i w:val="false"/>
          <w:color w:val="000000"/>
          <w:sz w:val="20"/>
        </w:rPr>
        <w:t>attack success rate (ASR)</w:t>
      </w:r>
      <w:r>
        <w:rPr>
          <w:b w:val="false"/>
          <w:i w:val="false"/>
          <w:color w:val="000000"/>
          <w:sz w:val="20"/>
        </w:rPr>
        <w:t xml:space="preserve"> at the point of tool invocation, after every gate.</w:t>
      </w:r>
    </w:p>
    <w:p>
      <w:pPr>
        <w:pStyle w:val="Normal"/>
        <w:spacing w:lineRule="auto" w:line="252" w:before="0" w:after="80"/>
        <w:jc w:val="both"/>
        <w:rPr/>
      </w:pPr>
      <w:r>
        <w:rPr>
          <w:b/>
          <w:i w:val="false"/>
          <w:color w:val="000000"/>
          <w:sz w:val="20"/>
        </w:rPr>
        <w:t>Two secondary outcomes</w:t>
      </w:r>
      <w:r>
        <w:rPr>
          <w:b w:val="false"/>
          <w:i w:val="false"/>
          <w:color w:val="000000"/>
          <w:sz w:val="20"/>
        </w:rPr>
        <w:t xml:space="preserve"> matter and are reported separately, because a defense optimising one while destroying the other is not a defense:</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Workflow continuation rate (WCR)</w:t>
      </w:r>
      <w:r>
        <w:rPr>
          <w:b w:val="false"/>
          <w:i w:val="false"/>
          <w:color w:val="000000"/>
          <w:sz w:val="20"/>
        </w:rPr>
        <w:t xml:space="preserve"> — the agent completes the user's genuine task despite the injection, rather than refusing wholesale. A defense that blocks everything scores ASR 0 and is useless.</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False positive rate (FPR)</w:t>
      </w:r>
      <w:r>
        <w:rPr>
          <w:b w:val="false"/>
          <w:i w:val="false"/>
          <w:color w:val="000000"/>
          <w:sz w:val="20"/>
        </w:rPr>
        <w:t xml:space="preserve"> — benign documents wrongly flagged, measured on externally-authored benign content rather than our own.</w:t>
      </w:r>
    </w:p>
    <w:p>
      <w:pPr>
        <w:pStyle w:val="Normal"/>
        <w:spacing w:lineRule="auto" w:line="252" w:before="0" w:after="80"/>
        <w:jc w:val="both"/>
        <w:rPr/>
      </w:pPr>
      <w:r>
        <w:rPr>
          <w:b/>
          <w:i w:val="false"/>
          <w:color w:val="000000"/>
          <w:sz w:val="20"/>
        </w:rPr>
        <w:t>Out of scope:</w:t>
      </w:r>
      <w:r>
        <w:rPr>
          <w:b w:val="false"/>
          <w:i w:val="false"/>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pStyle w:val="Normal"/>
        <w:spacing w:lineRule="auto" w:line="252" w:before="160" w:after="60"/>
        <w:jc w:val="left"/>
        <w:rPr/>
      </w:pPr>
      <w:r>
        <w:rPr>
          <w:b/>
          <w:i/>
          <w:color w:val="000000"/>
          <w:sz w:val="20"/>
        </w:rPr>
        <w:t>B. A distinction the evaluation forced</w:t>
      </w:r>
    </w:p>
    <w:p>
      <w:pPr>
        <w:pStyle w:val="Normal"/>
        <w:spacing w:lineRule="auto" w:line="252" w:before="0" w:after="80"/>
        <w:jc w:val="both"/>
        <w:rPr/>
      </w:pPr>
      <w:r>
        <w:rPr>
          <w:b w:val="false"/>
          <w:i w:val="false"/>
          <w:color w:val="000000"/>
          <w:sz w:val="20"/>
        </w:rPr>
        <w:t xml:space="preserve">Two experimental setups appear in this paper and </w:t>
      </w:r>
      <w:r>
        <w:rPr>
          <w:b/>
          <w:i w:val="false"/>
          <w:color w:val="000000"/>
          <w:sz w:val="20"/>
        </w:rPr>
        <w:t>must not be pooled</w:t>
      </w:r>
      <w:r>
        <w:rPr>
          <w:b w:val="false"/>
          <w:i w:val="false"/>
          <w:color w:val="000000"/>
          <w:sz w:val="20"/>
        </w:rPr>
        <w:t>:</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Supplied action</w:t>
      </w:r>
      <w:r>
        <w:rPr>
          <w:b w:val="false"/>
          <w:i w:val="false"/>
          <w:color w:val="000000"/>
          <w:sz w:val="20"/>
        </w:rPr>
        <w:t xml:space="preserve"> — the pipeline is handed a proposed action and judges it. This isolates the detector.</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Derived action</w:t>
      </w:r>
      <w:r>
        <w:rPr>
          <w:b w:val="false"/>
          <w:i w:val="false"/>
          <w:color w:val="000000"/>
          <w:sz w:val="20"/>
        </w:rPr>
        <w:t xml:space="preserve"> — the agent selects its own action from the user's goal and the mediator. This is required to evaluate any prompt-level defense, since those defend </w:t>
      </w:r>
      <w:r>
        <w:rPr>
          <w:b w:val="false"/>
          <w:i/>
          <w:color w:val="000000"/>
          <w:sz w:val="20"/>
        </w:rPr>
        <w:t>action selection</w:t>
      </w:r>
      <w:r>
        <w:rPr>
          <w:b w:val="false"/>
          <w:i w:val="false"/>
          <w:color w:val="000000"/>
          <w:sz w:val="20"/>
        </w:rPr>
        <w:t>, and there is nothing to defend when the action arrives pre-formed.</w:t>
      </w:r>
    </w:p>
    <w:p>
      <w:pPr>
        <w:pStyle w:val="Normal"/>
        <w:spacing w:lineRule="auto" w:line="252" w:before="0" w:after="80"/>
        <w:jc w:val="both"/>
        <w:rPr/>
      </w:pPr>
      <w:r>
        <w:rPr>
          <w:b w:val="false"/>
          <w:i w:val="false"/>
          <w:color w:val="000000"/>
          <w:sz w:val="20"/>
        </w:rPr>
        <w:t>ASR under the two is not comparable, and we never place them in one table. §VI's baseline comparison is derived-action; §V and §VII are supplied-action.</w:t>
      </w:r>
    </w:p>
    <w:p>
      <w:pPr>
        <w:pStyle w:val="Normal"/>
        <w:spacing w:lineRule="auto" w:line="252" w:before="160" w:after="60"/>
        <w:jc w:val="left"/>
        <w:rPr/>
      </w:pPr>
      <w:r>
        <w:rPr>
          <w:b/>
          <w:i/>
          <w:color w:val="000000"/>
          <w:sz w:val="20"/>
        </w:rPr>
        <w:t>C. Architecture</w:t>
      </w:r>
    </w:p>
    <w:p>
      <w:pPr>
        <w:pStyle w:val="Normal"/>
        <w:spacing w:before="160" w:after="60"/>
        <w:jc w:val="center"/>
        <w:rPr/>
      </w:pPr>
      <w:r>
        <w:rPr/>
        <w:drawing>
          <wp:inline distT="0" distB="0" distL="0" distR="0">
            <wp:extent cx="5417185" cy="28346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417185" cy="2834640"/>
                    </a:xfrm>
                    <a:prstGeom prst="rect">
                      <a:avLst/>
                    </a:prstGeom>
                  </pic:spPr>
                </pic:pic>
              </a:graphicData>
            </a:graphic>
          </wp:inline>
        </w:drawing>
      </w:r>
    </w:p>
    <w:p>
      <w:pPr>
        <w:pStyle w:val="Normal"/>
        <w:spacing w:lineRule="auto" w:line="252" w:before="0" w:after="180"/>
        <w:ind w:left="0" w:hanging="0"/>
        <w:jc w:val="left"/>
        <w:rPr/>
      </w:pPr>
      <w:r>
        <w:rPr>
          <w:b/>
          <w:i w:val="false"/>
          <w:color w:val="444A53"/>
          <w:sz w:val="17"/>
        </w:rPr>
        <w:t>Fig. 1.</w:t>
      </w:r>
      <w:r>
        <w:rPr>
          <w:b w:val="false"/>
          <w:i w:val="false"/>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pStyle w:val="Normal"/>
        <w:spacing w:lineRule="auto" w:line="252" w:before="0" w:after="80"/>
        <w:jc w:val="both"/>
        <w:rPr/>
      </w:pPr>
      <w:r>
        <w:rPr>
          <w:b w:val="false"/>
          <w:i w:val="false"/>
          <w:color w:val="000000"/>
          <w:sz w:val="20"/>
        </w:rPr>
        <w:t>Six layers compose the pipeline (Table I). Requests traverse the stack and each layer may refuse.</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188"/>
        <w:gridCol w:w="8171"/>
      </w:tblGrid>
      <w:tr>
        <w:trPr/>
        <w:tc>
          <w:tcPr>
            <w:tcW w:w="1188"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Layer</w:t>
            </w:r>
          </w:p>
        </w:tc>
        <w:tc>
          <w:tcPr>
            <w:tcW w:w="8171"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Role</w:t>
            </w:r>
          </w:p>
        </w:tc>
      </w:tr>
      <w:tr>
        <w:trPr/>
        <w:tc>
          <w:tcPr>
            <w:tcW w:w="118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0</w:t>
            </w:r>
          </w:p>
        </w:tc>
        <w:tc>
          <w:tcPr>
            <w:tcW w:w="817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Transport and server trust — registry, allowlist, rug-pull detection</w:t>
            </w:r>
          </w:p>
        </w:tc>
      </w:tr>
      <w:tr>
        <w:trPr/>
        <w:tc>
          <w:tcPr>
            <w:tcW w:w="118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1</w:t>
            </w:r>
          </w:p>
        </w:tc>
        <w:tc>
          <w:tcPr>
            <w:tcW w:w="817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Input and supply-chain screening — parsing, context assembly, provenance</w:t>
            </w:r>
          </w:p>
        </w:tc>
      </w:tr>
      <w:tr>
        <w:trPr/>
        <w:tc>
          <w:tcPr>
            <w:tcW w:w="118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2</w:t>
            </w:r>
          </w:p>
        </w:tc>
        <w:tc>
          <w:tcPr>
            <w:tcW w:w="817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Agent control plane, containing the security sub-layer 3A–3D</w:t>
            </w:r>
          </w:p>
        </w:tc>
      </w:tr>
      <w:tr>
        <w:trPr/>
        <w:tc>
          <w:tcPr>
            <w:tcW w:w="118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3</w:t>
            </w:r>
          </w:p>
        </w:tc>
        <w:tc>
          <w:tcPr>
            <w:tcW w:w="817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Tool execution plane and tool-response screener</w:t>
            </w:r>
          </w:p>
        </w:tc>
      </w:tr>
      <w:tr>
        <w:trPr/>
        <w:tc>
          <w:tcPr>
            <w:tcW w:w="118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4</w:t>
            </w:r>
          </w:p>
        </w:tc>
        <w:tc>
          <w:tcPr>
            <w:tcW w:w="817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Sandbox and isolation — permission scope, egress allowlist, container, telemetry</w:t>
            </w:r>
          </w:p>
        </w:tc>
      </w:tr>
      <w:tr>
        <w:trPr/>
        <w:tc>
          <w:tcPr>
            <w:tcW w:w="118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5</w:t>
            </w:r>
          </w:p>
        </w:tc>
        <w:tc>
          <w:tcPr>
            <w:tcW w:w="817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Human-in-the-loop review and observability</w:t>
            </w:r>
          </w:p>
        </w:tc>
      </w:tr>
    </w:tbl>
    <w:p>
      <w:pPr>
        <w:pStyle w:val="Normal"/>
        <w:spacing w:lineRule="auto" w:line="252" w:before="0" w:after="160"/>
        <w:jc w:val="left"/>
        <w:rPr/>
      </w:pPr>
      <w:r>
        <w:rPr>
          <w:b/>
          <w:i w:val="false"/>
          <w:color w:val="444A53"/>
          <w:sz w:val="17"/>
        </w:rPr>
        <w:t>Table I.</w:t>
      </w:r>
      <w:r>
        <w:rPr>
          <w:b w:val="false"/>
          <w:i w:val="false"/>
          <w:color w:val="444A53"/>
          <w:sz w:val="17"/>
        </w:rPr>
        <w:t xml:space="preserve"> The six layers. The contribution sits inside Layer 2.</w:t>
      </w:r>
    </w:p>
    <w:p>
      <w:pPr>
        <w:pStyle w:val="Normal"/>
        <w:spacing w:lineRule="auto" w:line="252" w:before="0" w:after="80"/>
        <w:jc w:val="both"/>
        <w:rPr/>
      </w:pPr>
      <w:r>
        <w:rPr>
          <w:b w:val="false"/>
          <w:i w:val="false"/>
          <w:color w:val="000000"/>
          <w:sz w:val="20"/>
        </w:rPr>
        <w:t>The security sub-layer inside Layer 2 contains four components:</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3A — policy engine.</w:t>
      </w:r>
      <w:r>
        <w:rPr>
          <w:b w:val="false"/>
          <w:i w:val="false"/>
          <w:color w:val="000000"/>
          <w:sz w:val="20"/>
        </w:rPr>
        <w:t xml:space="preserve"> Static pattern and tool-category rules; routes high-impact tools to causal evaluation.</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3B — causal analyzer.</w:t>
      </w:r>
      <w:r>
        <w:rPr>
          <w:b w:val="false"/>
          <w:i w:val="false"/>
          <w:color w:val="000000"/>
          <w:sz w:val="20"/>
        </w:rPr>
        <w:t xml:space="preserve"> The subject of this paper, described below.</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3C — context sanitizer.</w:t>
      </w:r>
      <w:r>
        <w:rPr>
          <w:b w:val="false"/>
          <w:i w:val="false"/>
          <w:color w:val="000000"/>
          <w:sz w:val="20"/>
        </w:rPr>
        <w:t xml:space="preserve"> Runs only </w:t>
      </w:r>
      <w:r>
        <w:rPr>
          <w:b w:val="false"/>
          <w:i/>
          <w:color w:val="000000"/>
          <w:sz w:val="20"/>
        </w:rPr>
        <w:t>after</w:t>
      </w:r>
      <w:r>
        <w:rPr>
          <w:b w:val="false"/>
          <w:i w:val="false"/>
          <w:color w:val="000000"/>
          <w:sz w:val="20"/>
        </w:rPr>
        <w:t xml:space="preserve"> a takeover verdict, converting a blanket block into a safe continuation. Its contribution is usability, not detection — which §V shows an ASR-only ablation cannot see.</w:t>
      </w:r>
    </w:p>
    <w:p>
      <w:pPr>
        <w:pStyle w:val="Normal"/>
        <w:spacing w:lineRule="auto" w:line="252" w:before="0" w:after="40"/>
        <w:ind w:left="360" w:hanging="216"/>
        <w:jc w:val="both"/>
        <w:rPr/>
      </w:pPr>
      <w:r>
        <w:rPr>
          <w:b w:val="false"/>
          <w:i w:val="false"/>
          <w:color w:val="000000"/>
          <w:sz w:val="20"/>
        </w:rPr>
        <w:t xml:space="preserve">— </w:t>
      </w:r>
      <w:r>
        <w:rPr>
          <w:b/>
          <w:i w:val="false"/>
          <w:color w:val="000000"/>
          <w:sz w:val="20"/>
        </w:rPr>
        <w:t>3D — adaptive threat model.</w:t>
      </w:r>
      <w:r>
        <w:rPr>
          <w:b w:val="false"/>
          <w:i w:val="false"/>
          <w:color w:val="000000"/>
          <w:sz w:val="20"/>
        </w:rPr>
        <w:t xml:space="preserve"> Observes labeled outcomes and proposes configuration changes. It never touches model weights; it tunes 3A's patterns and tool set and 3B's thresholds, and every proposal requires human approval.</w:t>
      </w:r>
    </w:p>
    <w:p>
      <w:pPr>
        <w:pStyle w:val="Normal"/>
        <w:spacing w:lineRule="auto" w:line="252" w:before="160" w:after="60"/>
        <w:jc w:val="left"/>
        <w:rPr/>
      </w:pPr>
      <w:r>
        <w:rPr>
          <w:b/>
          <w:i/>
          <w:color w:val="000000"/>
          <w:sz w:val="20"/>
        </w:rPr>
        <w:t>D. Inside the causal analyzer</w:t>
      </w:r>
    </w:p>
    <w:p>
      <w:pPr>
        <w:pStyle w:val="Normal"/>
        <w:spacing w:lineRule="auto" w:line="252" w:before="0" w:after="80"/>
        <w:jc w:val="both"/>
        <w:rPr/>
      </w:pPr>
      <w:r>
        <w:rPr>
          <w:b w:val="false"/>
          <w:i w:val="false"/>
          <w:color w:val="000000"/>
          <w:sz w:val="20"/>
        </w:rPr>
        <w:t xml:space="preserve">For each boundary, the model's action selection is run under </w:t>
      </w:r>
      <w:r>
        <w:rPr>
          <w:b/>
          <w:i w:val="false"/>
          <w:color w:val="000000"/>
          <w:sz w:val="20"/>
        </w:rPr>
        <w:t>four regimes</w:t>
      </w:r>
      <w:r>
        <w:rPr>
          <w:b w:val="false"/>
          <w:i w:val="false"/>
          <w:color w:val="000000"/>
          <w:sz w:val="20"/>
        </w:rPr>
        <w:t xml:space="preserve"> differing only in what the model can see, each sampled </w:t>
      </w:r>
      <w:r>
        <w:rPr>
          <w:b w:val="false"/>
          <w:i/>
          <w:color w:val="000000"/>
          <w:sz w:val="20"/>
        </w:rPr>
        <w:t>k</w:t>
      </w:r>
      <w:r>
        <w:rPr>
          <w:b w:val="false"/>
          <w:i w:val="false"/>
          <w:color w:val="000000"/>
          <w:sz w:val="20"/>
        </w:rPr>
        <w:t xml:space="preserve"> times and scored on {0, 1, 2} (Table II).</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3119"/>
        <w:gridCol w:w="4369"/>
      </w:tblGrid>
      <w:tr>
        <w:trPr/>
        <w:tc>
          <w:tcPr>
            <w:tcW w:w="1872"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Regime</w:t>
            </w:r>
          </w:p>
        </w:tc>
        <w:tc>
          <w:tcPr>
            <w:tcW w:w="3119"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Sees</w:t>
            </w:r>
          </w:p>
        </w:tc>
        <w:tc>
          <w:tcPr>
            <w:tcW w:w="4369"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Purpose</w:t>
            </w:r>
          </w:p>
        </w:tc>
      </w:tr>
      <w:tr>
        <w:trPr/>
        <w:tc>
          <w:tcPr>
            <w:tcW w:w="1872" w:type="dxa"/>
            <w:tcBorders/>
          </w:tcPr>
          <w:p>
            <w:pPr>
              <w:pStyle w:val="Normal"/>
              <w:widowControl/>
              <w:spacing w:lineRule="auto" w:line="240" w:before="20" w:after="20"/>
              <w:jc w:val="left"/>
              <w:rPr>
                <w:rFonts w:cs=""/>
                <w:kern w:val="0"/>
                <w:szCs w:val="22"/>
                <w:lang w:val="en-US" w:eastAsia="en-US" w:bidi="ar-SA"/>
              </w:rPr>
            </w:pPr>
            <w:r>
              <w:rPr>
                <w:rFonts w:cs="" w:ascii="Consolas" w:hAnsi="Consolas"/>
                <w:b w:val="false"/>
                <w:i w:val="false"/>
                <w:color w:val="000000"/>
                <w:kern w:val="0"/>
                <w:sz w:val="16"/>
                <w:szCs w:val="22"/>
                <w:lang w:val="en-US" w:eastAsia="en-US" w:bidi="ar-SA"/>
              </w:rPr>
              <w:t>orig</w:t>
            </w:r>
          </w:p>
        </w:tc>
        <w:tc>
          <w:tcPr>
            <w:tcW w:w="311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user goal + mediator</w:t>
            </w:r>
          </w:p>
        </w:tc>
        <w:tc>
          <w:tcPr>
            <w:tcW w:w="436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baseline behaviour</w:t>
            </w:r>
          </w:p>
        </w:tc>
      </w:tr>
      <w:tr>
        <w:trPr/>
        <w:tc>
          <w:tcPr>
            <w:tcW w:w="1872" w:type="dxa"/>
            <w:tcBorders/>
          </w:tcPr>
          <w:p>
            <w:pPr>
              <w:pStyle w:val="Normal"/>
              <w:widowControl/>
              <w:spacing w:lineRule="auto" w:line="240" w:before="20" w:after="20"/>
              <w:jc w:val="left"/>
              <w:rPr>
                <w:rFonts w:cs=""/>
                <w:kern w:val="0"/>
                <w:szCs w:val="22"/>
                <w:lang w:val="en-US" w:eastAsia="en-US" w:bidi="ar-SA"/>
              </w:rPr>
            </w:pPr>
            <w:r>
              <w:rPr>
                <w:rFonts w:cs="" w:ascii="Consolas" w:hAnsi="Consolas"/>
                <w:b w:val="false"/>
                <w:i w:val="false"/>
                <w:color w:val="000000"/>
                <w:kern w:val="0"/>
                <w:sz w:val="16"/>
                <w:szCs w:val="22"/>
                <w:lang w:val="en-US" w:eastAsia="en-US" w:bidi="ar-SA"/>
              </w:rPr>
              <w:t>masked</w:t>
            </w:r>
          </w:p>
        </w:tc>
        <w:tc>
          <w:tcPr>
            <w:tcW w:w="311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mediator only</w:t>
            </w:r>
          </w:p>
        </w:tc>
        <w:tc>
          <w:tcPr>
            <w:tcW w:w="436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compliance tendency with no competing task</w:t>
            </w:r>
          </w:p>
        </w:tc>
      </w:tr>
      <w:tr>
        <w:trPr/>
        <w:tc>
          <w:tcPr>
            <w:tcW w:w="1872" w:type="dxa"/>
            <w:tcBorders/>
          </w:tcPr>
          <w:p>
            <w:pPr>
              <w:pStyle w:val="Normal"/>
              <w:widowControl/>
              <w:spacing w:lineRule="auto" w:line="240" w:before="20" w:after="20"/>
              <w:jc w:val="left"/>
              <w:rPr>
                <w:rFonts w:cs=""/>
                <w:kern w:val="0"/>
                <w:szCs w:val="22"/>
                <w:lang w:val="en-US" w:eastAsia="en-US" w:bidi="ar-SA"/>
              </w:rPr>
            </w:pPr>
            <w:r>
              <w:rPr>
                <w:rFonts w:cs="" w:ascii="Consolas" w:hAnsi="Consolas"/>
                <w:b w:val="false"/>
                <w:i w:val="false"/>
                <w:color w:val="000000"/>
                <w:kern w:val="0"/>
                <w:sz w:val="16"/>
                <w:szCs w:val="22"/>
                <w:lang w:val="en-US" w:eastAsia="en-US" w:bidi="ar-SA"/>
              </w:rPr>
              <w:t>masked_sanitized</w:t>
            </w:r>
          </w:p>
        </w:tc>
        <w:tc>
          <w:tcPr>
            <w:tcW w:w="311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sanitized mediator only</w:t>
            </w:r>
          </w:p>
        </w:tc>
        <w:tc>
          <w:tcPr>
            <w:tcW w:w="436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compliance after sanitisation</w:t>
            </w:r>
          </w:p>
        </w:tc>
      </w:tr>
      <w:tr>
        <w:trPr/>
        <w:tc>
          <w:tcPr>
            <w:tcW w:w="1872" w:type="dxa"/>
            <w:tcBorders/>
          </w:tcPr>
          <w:p>
            <w:pPr>
              <w:pStyle w:val="Normal"/>
              <w:widowControl/>
              <w:spacing w:lineRule="auto" w:line="240" w:before="20" w:after="20"/>
              <w:jc w:val="left"/>
              <w:rPr>
                <w:rFonts w:cs=""/>
                <w:kern w:val="0"/>
                <w:szCs w:val="22"/>
                <w:lang w:val="en-US" w:eastAsia="en-US" w:bidi="ar-SA"/>
              </w:rPr>
            </w:pPr>
            <w:r>
              <w:rPr>
                <w:rFonts w:cs="" w:ascii="Consolas" w:hAnsi="Consolas"/>
                <w:b w:val="false"/>
                <w:i w:val="false"/>
                <w:color w:val="000000"/>
                <w:kern w:val="0"/>
                <w:sz w:val="16"/>
                <w:szCs w:val="22"/>
                <w:lang w:val="en-US" w:eastAsia="en-US" w:bidi="ar-SA"/>
              </w:rPr>
              <w:t>orig_sanitized</w:t>
            </w:r>
          </w:p>
        </w:tc>
        <w:tc>
          <w:tcPr>
            <w:tcW w:w="311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user goal + sanitized mediator</w:t>
            </w:r>
          </w:p>
        </w:tc>
        <w:tc>
          <w:tcPr>
            <w:tcW w:w="436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task behaviour after sanitisation</w:t>
            </w:r>
          </w:p>
        </w:tc>
      </w:tr>
    </w:tbl>
    <w:p>
      <w:pPr>
        <w:pStyle w:val="Normal"/>
        <w:spacing w:lineRule="auto" w:line="252" w:before="0" w:after="160"/>
        <w:jc w:val="left"/>
        <w:rPr/>
      </w:pPr>
      <w:r>
        <w:rPr>
          <w:b/>
          <w:i w:val="false"/>
          <w:color w:val="444A53"/>
          <w:sz w:val="17"/>
        </w:rPr>
        <w:t>Table II.</w:t>
      </w:r>
      <w:r>
        <w:rPr>
          <w:b w:val="false"/>
          <w:i w:val="false"/>
          <w:color w:val="444A53"/>
          <w:sz w:val="17"/>
        </w:rPr>
        <w:t xml:space="preserve"> The four regimes. Two contrasts drive detection: ACE = </w:t>
      </w:r>
      <w:r>
        <w:rPr>
          <w:rFonts w:ascii="Consolas" w:hAnsi="Consolas"/>
          <w:b w:val="false"/>
          <w:i w:val="false"/>
          <w:color w:val="444A53"/>
          <w:sz w:val="16"/>
        </w:rPr>
        <w:t>orig</w:t>
      </w:r>
      <w:r>
        <w:rPr>
          <w:b w:val="false"/>
          <w:i w:val="false"/>
          <w:color w:val="444A53"/>
          <w:sz w:val="17"/>
        </w:rPr>
        <w:t xml:space="preserve"> − </w:t>
      </w:r>
      <w:r>
        <w:rPr>
          <w:rFonts w:ascii="Consolas" w:hAnsi="Consolas"/>
          <w:b w:val="false"/>
          <w:i w:val="false"/>
          <w:color w:val="444A53"/>
          <w:sz w:val="16"/>
        </w:rPr>
        <w:t>masked</w:t>
      </w:r>
      <w:r>
        <w:rPr>
          <w:b w:val="false"/>
          <w:i w:val="false"/>
          <w:color w:val="444A53"/>
          <w:sz w:val="17"/>
        </w:rPr>
        <w:t xml:space="preserve"> and IE = </w:t>
      </w:r>
      <w:r>
        <w:rPr>
          <w:rFonts w:ascii="Consolas" w:hAnsi="Consolas"/>
          <w:b w:val="false"/>
          <w:i w:val="false"/>
          <w:color w:val="444A53"/>
          <w:sz w:val="16"/>
        </w:rPr>
        <w:t>masked</w:t>
      </w:r>
      <w:r>
        <w:rPr>
          <w:b w:val="false"/>
          <w:i w:val="false"/>
          <w:color w:val="444A53"/>
          <w:sz w:val="17"/>
        </w:rPr>
        <w:t xml:space="preserve"> − </w:t>
      </w:r>
      <w:r>
        <w:rPr>
          <w:rFonts w:ascii="Consolas" w:hAnsi="Consolas"/>
          <w:b w:val="false"/>
          <w:i w:val="false"/>
          <w:color w:val="444A53"/>
          <w:sz w:val="16"/>
        </w:rPr>
        <w:t>masked_sanitized</w:t>
      </w:r>
      <w:r>
        <w:rPr>
          <w:b w:val="false"/>
          <w:i w:val="false"/>
          <w:color w:val="444A53"/>
          <w:sz w:val="17"/>
        </w:rPr>
        <w:t>.</w:t>
      </w:r>
    </w:p>
    <w:p>
      <w:pPr>
        <w:pStyle w:val="Normal"/>
        <w:spacing w:lineRule="auto" w:line="252" w:before="0" w:after="80"/>
        <w:jc w:val="both"/>
        <w:rPr/>
      </w:pPr>
      <w:r>
        <w:rPr>
          <w:b/>
          <w:i w:val="false"/>
          <w:color w:val="000000"/>
          <w:sz w:val="20"/>
        </w:rPr>
        <w:t>Severity is scored at 2</w:t>
      </w:r>
      <w:r>
        <w:rPr>
          <w:b w:val="false"/>
          <w:i w:val="false"/>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pStyle w:val="Normal"/>
        <w:spacing w:lineRule="auto" w:line="252" w:before="0" w:after="80"/>
        <w:jc w:val="both"/>
        <w:rPr/>
      </w:pPr>
      <w:r>
        <w:rPr>
          <w:b/>
          <w:i w:val="false"/>
          <w:color w:val="000000"/>
          <w:sz w:val="20"/>
        </w:rPr>
        <w:t>Takeover fires on any of three rules:</w:t>
      </w:r>
    </w:p>
    <w:p>
      <w:pPr>
        <w:pStyle w:val="Normal"/>
        <w:spacing w:lineRule="auto" w:line="252" w:before="0" w:after="40"/>
        <w:ind w:left="360" w:hanging="360"/>
        <w:jc w:val="both"/>
        <w:rPr/>
      </w:pPr>
      <w:r>
        <w:rPr>
          <w:b w:val="false"/>
          <w:i w:val="false"/>
          <w:color w:val="000000"/>
          <w:sz w:val="20"/>
        </w:rPr>
        <w:t xml:space="preserve">1) </w:t>
      </w:r>
      <w:r>
        <w:rPr>
          <w:b/>
          <w:i w:val="false"/>
          <w:color w:val="000000"/>
          <w:sz w:val="20"/>
        </w:rPr>
        <w:t>IE rule</w:t>
      </w:r>
      <w:r>
        <w:rPr>
          <w:b w:val="false"/>
          <w:i w:val="false"/>
          <w:color w:val="000000"/>
          <w:sz w:val="20"/>
        </w:rPr>
        <w:t xml:space="preserve"> — IE ≥ threshold, </w:t>
      </w:r>
      <w:r>
        <w:rPr>
          <w:rFonts w:ascii="Consolas" w:hAnsi="Consolas"/>
          <w:b w:val="false"/>
          <w:i w:val="false"/>
          <w:color w:val="000000"/>
          <w:sz w:val="19"/>
        </w:rPr>
        <w:t>masked</w:t>
      </w:r>
      <w:r>
        <w:rPr>
          <w:b w:val="false"/>
          <w:i w:val="false"/>
          <w:color w:val="000000"/>
          <w:sz w:val="20"/>
        </w:rPr>
        <w:t xml:space="preserve"> ≥ 1, and the separation consistent across samples.</w:t>
      </w:r>
    </w:p>
    <w:p>
      <w:pPr>
        <w:pStyle w:val="Normal"/>
        <w:spacing w:lineRule="auto" w:line="252" w:before="0" w:after="40"/>
        <w:ind w:left="360" w:hanging="360"/>
        <w:jc w:val="both"/>
        <w:rPr/>
      </w:pPr>
      <w:r>
        <w:rPr>
          <w:b w:val="false"/>
          <w:i w:val="false"/>
          <w:color w:val="000000"/>
          <w:sz w:val="20"/>
        </w:rPr>
        <w:t xml:space="preserve">2) </w:t>
      </w:r>
      <w:r>
        <w:rPr>
          <w:b/>
          <w:i w:val="false"/>
          <w:color w:val="000000"/>
          <w:sz w:val="20"/>
        </w:rPr>
        <w:t>Standalone rule</w:t>
      </w:r>
      <w:r>
        <w:rPr>
          <w:b w:val="false"/>
          <w:i w:val="false"/>
          <w:color w:val="000000"/>
          <w:sz w:val="20"/>
        </w:rPr>
        <w:t xml:space="preserve"> — </w:t>
      </w:r>
      <w:r>
        <w:rPr>
          <w:rFonts w:ascii="Consolas" w:hAnsi="Consolas"/>
          <w:b w:val="false"/>
          <w:i w:val="false"/>
          <w:color w:val="000000"/>
          <w:sz w:val="19"/>
        </w:rPr>
        <w:t>masked</w:t>
      </w:r>
      <w:r>
        <w:rPr>
          <w:b w:val="false"/>
          <w:i w:val="false"/>
          <w:color w:val="000000"/>
          <w:sz w:val="20"/>
        </w:rPr>
        <w:t xml:space="preserve"> ≥ 2, independent of IE. Necessary because the IE rule reads a </w:t>
      </w:r>
      <w:r>
        <w:rPr>
          <w:b w:val="false"/>
          <w:i/>
          <w:color w:val="000000"/>
          <w:sz w:val="20"/>
        </w:rPr>
        <w:t>difference</w:t>
      </w:r>
      <w:r>
        <w:rPr>
          <w:b w:val="false"/>
          <w:i w:val="false"/>
          <w:color w:val="000000"/>
          <w:sz w:val="20"/>
        </w:rPr>
        <w:t xml:space="preserve"> and silently inverts when sanitisation fails: both regimes comply, the severities cancel to IE = 0, and an attack that survived sanitisation reads as safe.</w:t>
      </w:r>
    </w:p>
    <w:p>
      <w:pPr>
        <w:pStyle w:val="Normal"/>
        <w:spacing w:lineRule="auto" w:line="252" w:before="0" w:after="40"/>
        <w:ind w:left="360" w:hanging="360"/>
        <w:jc w:val="both"/>
        <w:rPr/>
      </w:pPr>
      <w:r>
        <w:rPr>
          <w:b w:val="false"/>
          <w:i w:val="false"/>
          <w:color w:val="000000"/>
          <w:sz w:val="20"/>
        </w:rPr>
        <w:t xml:space="preserve">3) </w:t>
      </w:r>
      <w:r>
        <w:rPr>
          <w:b/>
          <w:i w:val="false"/>
          <w:color w:val="000000"/>
          <w:sz w:val="20"/>
        </w:rPr>
        <w:t>Drift rule</w:t>
      </w:r>
      <w:r>
        <w:rPr>
          <w:b w:val="false"/>
          <w:i w:val="false"/>
          <w:color w:val="000000"/>
          <w:sz w:val="20"/>
        </w:rPr>
        <w:t xml:space="preserve"> — a falling ACE or rising IE slope across a per-session window, gated on </w:t>
      </w:r>
      <w:r>
        <w:rPr>
          <w:rFonts w:ascii="Consolas" w:hAnsi="Consolas"/>
          <w:b w:val="false"/>
          <w:i w:val="false"/>
          <w:color w:val="000000"/>
          <w:sz w:val="19"/>
        </w:rPr>
        <w:t>masked</w:t>
      </w:r>
      <w:r>
        <w:rPr>
          <w:b w:val="false"/>
          <w:i w:val="false"/>
          <w:color w:val="000000"/>
          <w:sz w:val="20"/>
        </w:rPr>
        <w:t xml:space="preserve"> ≥ 1 so that "nothing observed" can never mean takeover.</w:t>
      </w:r>
    </w:p>
    <w:p>
      <w:pPr>
        <w:pStyle w:val="Normal"/>
        <w:spacing w:lineRule="auto" w:line="252" w:before="0" w:after="80"/>
        <w:jc w:val="both"/>
        <w:rPr/>
      </w:pPr>
      <w:r>
        <w:rPr>
          <w:b w:val="false"/>
          <w:i w:val="false"/>
          <w:color w:val="000000"/>
          <w:sz w:val="20"/>
        </w:rPr>
        <w:t xml:space="preserve">Rules 1 and 3 both consume </w:t>
      </w:r>
      <w:r>
        <w:rPr>
          <w:b w:val="false"/>
          <w:i/>
          <w:color w:val="000000"/>
          <w:sz w:val="20"/>
        </w:rPr>
        <w:t>contrasts</w:t>
      </w:r>
      <w:r>
        <w:rPr>
          <w:b w:val="false"/>
          <w:i w:val="false"/>
          <w:color w:val="000000"/>
          <w:sz w:val="20"/>
        </w:rPr>
        <w:t>; rule 2 consumes an absolute severity. The paper's central finding is that the contrasts are near zero on content without a liftable target, which determines what rules 1 and 3 can do and leaves rule 2 carrying the system.</w:t>
      </w:r>
    </w:p>
    <w:p>
      <w:pPr>
        <w:pStyle w:val="Normal"/>
        <w:spacing w:lineRule="auto" w:line="252" w:before="160" w:after="60"/>
        <w:jc w:val="left"/>
        <w:rPr/>
      </w:pPr>
      <w:r>
        <w:rPr>
          <w:b/>
          <w:i/>
          <w:color w:val="000000"/>
          <w:sz w:val="20"/>
        </w:rPr>
        <w:t>E. Implementation</w:t>
      </w:r>
    </w:p>
    <w:p>
      <w:pPr>
        <w:pStyle w:val="Normal"/>
        <w:spacing w:lineRule="auto" w:line="252" w:before="0" w:after="80"/>
        <w:jc w:val="both"/>
        <w:rPr/>
      </w:pPr>
      <w:r>
        <w:rPr>
          <w:b w:val="false"/>
          <w:i w:val="false"/>
          <w:color w:val="000000"/>
          <w:sz w:val="20"/>
        </w:rPr>
        <w:t xml:space="preserve">The pipeline runs locally against small open models — a 4B model for the causal probe, a 3B model for sanitisation and planning — deliberately, because the causal probe requires a model that </w:t>
      </w:r>
      <w:r>
        <w:rPr>
          <w:b w:val="false"/>
          <w:i/>
          <w:color w:val="000000"/>
          <w:sz w:val="20"/>
        </w:rPr>
        <w:t>complies</w:t>
      </w:r>
      <w:r>
        <w:rPr>
          <w:b w:val="false"/>
          <w:i w:val="false"/>
          <w:color w:val="000000"/>
          <w:sz w:val="20"/>
        </w:rPr>
        <w:t xml:space="preserve"> under the masked regime. A more refusal-prone model returns no signal to measure, which is a real constraint on deploying this approach and is stated as a limitation in §XII rather than hidden.</w:t>
      </w:r>
    </w:p>
    <w:p>
      <w:pPr>
        <w:pStyle w:val="Normal"/>
        <w:spacing w:lineRule="auto" w:line="252" w:before="0" w:after="80"/>
        <w:jc w:val="both"/>
        <w:rPr/>
      </w:pPr>
      <w:r>
        <w:rPr>
          <w:b w:val="false"/>
          <w:i w:val="false"/>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pStyle w:val="Normal"/>
        <w:spacing w:lineRule="auto" w:line="252" w:before="240" w:after="100"/>
        <w:jc w:val="left"/>
        <w:rPr/>
      </w:pPr>
      <w:r>
        <w:rPr>
          <w:b/>
          <w:i w:val="false"/>
          <w:color w:val="000000"/>
          <w:sz w:val="22"/>
        </w:rPr>
        <w:t>IV. EXPERIMENTAL METHODOLOGY</w:t>
      </w:r>
    </w:p>
    <w:p>
      <w:pPr>
        <w:pStyle w:val="Normal"/>
        <w:spacing w:lineRule="auto" w:line="252" w:before="0" w:after="80"/>
        <w:jc w:val="both"/>
        <w:rPr/>
      </w:pPr>
      <w:r>
        <w:rPr>
          <w:b w:val="false"/>
          <w:i w:val="false"/>
          <w:color w:val="000000"/>
          <w:sz w:val="20"/>
        </w:rPr>
        <w:t>Because the majority of our results are negative, the discipline that produced them is part of the contribution. Six rules govern every number in this paper.</w:t>
      </w:r>
    </w:p>
    <w:p>
      <w:pPr>
        <w:pStyle w:val="Normal"/>
        <w:spacing w:lineRule="auto" w:line="252" w:before="0" w:after="80"/>
        <w:jc w:val="both"/>
        <w:rPr/>
      </w:pPr>
      <w:r>
        <w:rPr>
          <w:b/>
          <w:i w:val="false"/>
          <w:color w:val="000000"/>
          <w:sz w:val="20"/>
        </w:rPr>
        <w:t>1) No headline figure without n, the named corpus, and a 95% interval.</w:t>
      </w:r>
      <w:r>
        <w:rPr>
          <w:b w:val="false"/>
          <w:i w:val="false"/>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pStyle w:val="Normal"/>
        <w:spacing w:lineRule="auto" w:line="252" w:before="0" w:after="80"/>
        <w:jc w:val="both"/>
        <w:rPr/>
      </w:pPr>
      <w:r>
        <w:rPr>
          <w:b/>
          <w:i w:val="false"/>
          <w:color w:val="000000"/>
          <w:sz w:val="20"/>
        </w:rPr>
        <w:t>2) Cohorts of different provenance are never pooled.</w:t>
      </w:r>
      <w:r>
        <w:rPr>
          <w:b w:val="false"/>
          <w:i w:val="false"/>
          <w:color w:val="000000"/>
          <w:sz w:val="20"/>
        </w:rPr>
        <w:t xml:space="preserve"> Our hand-written benign controls and the externally-authored benign documents are separate cohorts, always. Pooling them is what once made a 4/8 count look like a false-positive rate.</w:t>
      </w:r>
    </w:p>
    <w:p>
      <w:pPr>
        <w:pStyle w:val="Normal"/>
        <w:spacing w:lineRule="auto" w:line="252" w:before="0" w:after="80"/>
        <w:jc w:val="both"/>
        <w:rPr/>
      </w:pPr>
      <w:r>
        <w:rPr>
          <w:b/>
          <w:i w:val="false"/>
          <w:color w:val="000000"/>
          <w:sz w:val="20"/>
        </w:rPr>
        <w:t>3) Every arm shares one code path.</w:t>
      </w:r>
      <w:r>
        <w:rPr>
          <w:b w:val="false"/>
          <w:i w:val="false"/>
          <w:color w:val="000000"/>
          <w:sz w:val="20"/>
        </w:rPr>
        <w:t xml:space="preserve"> Ablation arms are configuration values inside the pipeline, never a forked script. An ablation that runs different code is a different system.</w:t>
      </w:r>
    </w:p>
    <w:p>
      <w:pPr>
        <w:pStyle w:val="Normal"/>
        <w:spacing w:lineRule="auto" w:line="252" w:before="0" w:after="80"/>
        <w:jc w:val="both"/>
        <w:rPr/>
      </w:pPr>
      <w:r>
        <w:rPr>
          <w:b/>
          <w:i w:val="false"/>
          <w:color w:val="000000"/>
          <w:sz w:val="20"/>
        </w:rPr>
        <w:t>4) At least two comparison arms besides the full system</w:t>
      </w:r>
      <w:r>
        <w:rPr>
          <w:b w:val="false"/>
          <w:i w:val="false"/>
          <w:color w:val="000000"/>
          <w:sz w:val="20"/>
        </w:rPr>
        <w:t xml:space="preserve"> — an undefended floor and a published prompt-level defense — on the same corpus, seeds and model tags. An ablation of our own system does not discharge this requirement.</w:t>
      </w:r>
    </w:p>
    <w:p>
      <w:pPr>
        <w:pStyle w:val="Normal"/>
        <w:spacing w:lineRule="auto" w:line="252" w:before="0" w:after="80"/>
        <w:jc w:val="both"/>
        <w:rPr/>
      </w:pPr>
      <w:r>
        <w:rPr>
          <w:b/>
          <w:i w:val="false"/>
          <w:color w:val="000000"/>
          <w:sz w:val="20"/>
        </w:rPr>
        <w:t>5) Every number is regenerable by one committed command</w:t>
      </w:r>
      <w:r>
        <w:rPr>
          <w:b w:val="false"/>
          <w:i w:val="false"/>
          <w:color w:val="000000"/>
          <w:sz w:val="20"/>
        </w:rPr>
        <w:t xml:space="preserve"> whose artifact is committed with a run manifest recording commit SHA, working-tree cleanliness, model tags, corpus version and GPU state. A table that cannot be regenerated is not claimed.</w:t>
      </w:r>
    </w:p>
    <w:p>
      <w:pPr>
        <w:pStyle w:val="Normal"/>
        <w:spacing w:lineRule="auto" w:line="252" w:before="0" w:after="80"/>
        <w:jc w:val="both"/>
        <w:rPr/>
      </w:pPr>
      <w:r>
        <w:rPr>
          <w:b/>
          <w:i w:val="false"/>
          <w:color w:val="000000"/>
          <w:sz w:val="20"/>
        </w:rPr>
        <w:t>6) A statistic is a result, not arithmetic.</w:t>
      </w:r>
      <w:r>
        <w:rPr>
          <w:b w:val="false"/>
          <w:i w:val="false"/>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pStyle w:val="Normal"/>
        <w:spacing w:lineRule="auto" w:line="252" w:before="0" w:after="80"/>
        <w:jc w:val="both"/>
        <w:rPr/>
      </w:pPr>
      <w:r>
        <w:rPr>
          <w:b/>
          <w:i w:val="false"/>
          <w:color w:val="000000"/>
          <w:sz w:val="20"/>
        </w:rPr>
        <w:t>Paired arms receive a paired test.</w:t>
      </w:r>
      <w:r>
        <w:rPr>
          <w:b w:val="false"/>
          <w:i w:val="false"/>
          <w:color w:val="000000"/>
          <w:sz w:val="20"/>
        </w:rPr>
        <w:t xml:space="preserve"> Arms see identical cases, so outcomes are compared with McNemar's test [8], exact below roughly 25 discordant pairs, rather than by inspecting whether two Wilson intervals overlap.</w:t>
      </w:r>
    </w:p>
    <w:p>
      <w:pPr>
        <w:pStyle w:val="Normal"/>
        <w:spacing w:lineRule="auto" w:line="252" w:before="0" w:after="80"/>
        <w:jc w:val="both"/>
        <w:rPr/>
      </w:pPr>
      <w:r>
        <w:rPr>
          <w:b/>
          <w:i w:val="false"/>
          <w:color w:val="000000"/>
          <w:sz w:val="20"/>
        </w:rPr>
        <w:t>Determinism.</w:t>
      </w:r>
      <w:r>
        <w:rPr>
          <w:b w:val="false"/>
          <w:i w:val="false"/>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pStyle w:val="Normal"/>
        <w:spacing w:lineRule="auto" w:line="252" w:before="160" w:after="60"/>
        <w:jc w:val="left"/>
        <w:rPr/>
      </w:pPr>
      <w:r>
        <w:rPr>
          <w:b/>
          <w:i/>
          <w:color w:val="000000"/>
          <w:sz w:val="20"/>
        </w:rPr>
        <w:t>A. Corpora</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01"/>
        <w:gridCol w:w="706"/>
        <w:gridCol w:w="2296"/>
        <w:gridCol w:w="4856"/>
      </w:tblGrid>
      <w:tr>
        <w:trPr/>
        <w:tc>
          <w:tcPr>
            <w:tcW w:w="1501"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Cohort</w:t>
            </w:r>
          </w:p>
        </w:tc>
        <w:tc>
          <w:tcPr>
            <w:tcW w:w="706"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n</w:t>
            </w:r>
          </w:p>
        </w:tc>
        <w:tc>
          <w:tcPr>
            <w:tcW w:w="2296"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Provenance</w:t>
            </w:r>
          </w:p>
        </w:tc>
        <w:tc>
          <w:tcPr>
            <w:tcW w:w="4856"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Role</w:t>
            </w:r>
          </w:p>
        </w:tc>
      </w:tr>
      <w:tr>
        <w:trPr/>
        <w:tc>
          <w:tcPr>
            <w:tcW w:w="150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Campaign (ours)</w:t>
            </w:r>
          </w:p>
        </w:tc>
        <w:tc>
          <w:tcPr>
            <w:tcW w:w="70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188</w:t>
            </w:r>
          </w:p>
        </w:tc>
        <w:tc>
          <w:tcPr>
            <w:tcW w:w="229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authored by us</w:t>
            </w:r>
          </w:p>
        </w:tc>
        <w:tc>
          <w:tcPr>
            <w:tcW w:w="485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120 malicious, 68 benign; development and the in-corpus headline</w:t>
            </w:r>
          </w:p>
        </w:tc>
      </w:tr>
      <w:tr>
        <w:trPr/>
        <w:tc>
          <w:tcPr>
            <w:tcW w:w="150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AgentDojo benign</w:t>
            </w:r>
          </w:p>
        </w:tc>
        <w:tc>
          <w:tcPr>
            <w:tcW w:w="70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60</w:t>
            </w:r>
          </w:p>
        </w:tc>
        <w:tc>
          <w:tcPr>
            <w:tcW w:w="229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AgentDojo v0.1.35, MIT [2]</w:t>
            </w:r>
          </w:p>
        </w:tc>
        <w:tc>
          <w:tcPr>
            <w:tcW w:w="485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the false-positive rate of record</w:t>
            </w:r>
          </w:p>
        </w:tc>
      </w:tr>
      <w:tr>
        <w:trPr/>
        <w:tc>
          <w:tcPr>
            <w:tcW w:w="150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AgentDojo attacks</w:t>
            </w:r>
          </w:p>
        </w:tc>
        <w:tc>
          <w:tcPr>
            <w:tcW w:w="70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60</w:t>
            </w:r>
          </w:p>
        </w:tc>
        <w:tc>
          <w:tcPr>
            <w:tcW w:w="229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AgentDojo v0.1.35, MIT [2]</w:t>
            </w:r>
          </w:p>
        </w:tc>
        <w:tc>
          <w:tcPr>
            <w:tcW w:w="485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holdout, imported after the harm lexicon was frozen</w:t>
            </w:r>
          </w:p>
        </w:tc>
      </w:tr>
      <w:tr>
        <w:trPr/>
        <w:tc>
          <w:tcPr>
            <w:tcW w:w="150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InjecAgent</w:t>
            </w:r>
          </w:p>
        </w:tc>
        <w:tc>
          <w:tcPr>
            <w:tcW w:w="70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60</w:t>
            </w:r>
          </w:p>
        </w:tc>
        <w:tc>
          <w:tcPr>
            <w:tcW w:w="229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InjecAgent, MIT [1]</w:t>
            </w:r>
          </w:p>
        </w:tc>
        <w:tc>
          <w:tcPr>
            <w:tcW w:w="485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direct-harm split, drawn 30/30 across two strata</w:t>
            </w:r>
          </w:p>
        </w:tc>
      </w:tr>
    </w:tbl>
    <w:p>
      <w:pPr>
        <w:pStyle w:val="Normal"/>
        <w:spacing w:lineRule="auto" w:line="252" w:before="0" w:after="160"/>
        <w:jc w:val="left"/>
        <w:rPr/>
      </w:pPr>
      <w:r>
        <w:rPr>
          <w:b/>
          <w:i w:val="false"/>
          <w:color w:val="444A53"/>
          <w:sz w:val="17"/>
        </w:rPr>
        <w:t>Table III.</w:t>
      </w:r>
      <w:r>
        <w:rPr>
          <w:b w:val="false"/>
          <w:i w:val="false"/>
          <w:color w:val="444A53"/>
          <w:sz w:val="17"/>
        </w:rPr>
        <w:t xml:space="preserve"> Evaluation corpora. Provenance and version are stated for every external corpus; strata are never pooled.</w:t>
      </w:r>
    </w:p>
    <w:p>
      <w:pPr>
        <w:pStyle w:val="Normal"/>
        <w:spacing w:lineRule="auto" w:line="252" w:before="0" w:after="80"/>
        <w:jc w:val="both"/>
        <w:rPr/>
      </w:pPr>
      <w:r>
        <w:rPr>
          <w:b w:val="false"/>
          <w:i w:val="false"/>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pStyle w:val="Normal"/>
        <w:spacing w:lineRule="auto" w:line="252" w:before="240" w:after="100"/>
        <w:jc w:val="left"/>
        <w:rPr/>
      </w:pPr>
      <w:r>
        <w:rPr>
          <w:b/>
          <w:i w:val="false"/>
          <w:color w:val="000000"/>
          <w:sz w:val="22"/>
        </w:rPr>
        <w:t>V. PER-COMPONENT ABLATION: ONLY TWO COMPONENTS DO ANYTHING</w:t>
      </w:r>
    </w:p>
    <w:p>
      <w:pPr>
        <w:pStyle w:val="Normal"/>
        <w:spacing w:lineRule="auto" w:line="252" w:before="0" w:after="120"/>
        <w:jc w:val="left"/>
        <w:rPr/>
      </w:pPr>
      <w:r>
        <w:rPr>
          <w:b w:val="false"/>
          <w:i/>
          <w:color w:val="444A53"/>
          <w:sz w:val="17"/>
        </w:rPr>
        <w:t>Artifacts: `results/phase11/`, `results/phase11_loo/`. 54 cases per arm (21 malicious, 33 benign).</w:t>
      </w:r>
    </w:p>
    <w:p>
      <w:pPr>
        <w:pStyle w:val="Normal"/>
        <w:spacing w:lineRule="auto" w:line="252" w:before="0" w:after="80"/>
        <w:jc w:val="both"/>
        <w:rPr/>
      </w:pPr>
      <w:r>
        <w:rPr>
          <w:b w:val="false"/>
          <w:i w:val="false"/>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pStyle w:val="Normal"/>
        <w:spacing w:lineRule="auto" w:line="252" w:before="160" w:after="60"/>
        <w:jc w:val="left"/>
        <w:rPr/>
      </w:pPr>
      <w:r>
        <w:rPr>
          <w:b/>
          <w:i/>
          <w:color w:val="000000"/>
          <w:sz w:val="20"/>
        </w:rPr>
        <w:t>A. Design</w:t>
      </w:r>
    </w:p>
    <w:p>
      <w:pPr>
        <w:pStyle w:val="Normal"/>
        <w:spacing w:lineRule="auto" w:line="252" w:before="0" w:after="80"/>
        <w:jc w:val="both"/>
        <w:rPr/>
      </w:pPr>
      <w:r>
        <w:rPr>
          <w:b w:val="false"/>
          <w:i w:val="false"/>
          <w:color w:val="000000"/>
          <w:sz w:val="20"/>
        </w:rPr>
        <w:t xml:space="preserve">Two ablations, run independently and compared. A </w:t>
      </w:r>
      <w:r>
        <w:rPr>
          <w:b/>
          <w:i w:val="false"/>
          <w:color w:val="000000"/>
          <w:sz w:val="20"/>
        </w:rPr>
        <w:t>cumulative ladder</w:t>
      </w:r>
      <w:r>
        <w:rPr>
          <w:b w:val="false"/>
          <w:i w:val="false"/>
          <w:color w:val="000000"/>
          <w:sz w:val="20"/>
        </w:rPr>
        <w:t xml:space="preserve"> of seven arms, each adding exactly one component in pipeline order; and a </w:t>
      </w:r>
      <w:r>
        <w:rPr>
          <w:b/>
          <w:i w:val="false"/>
          <w:color w:val="000000"/>
          <w:sz w:val="20"/>
        </w:rPr>
        <w:t>leave-one-out</w:t>
      </w:r>
      <w:r>
        <w:rPr>
          <w:b w:val="false"/>
          <w:i w:val="false"/>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pStyle w:val="Normal"/>
        <w:spacing w:lineRule="auto" w:line="252" w:before="160" w:after="60"/>
        <w:jc w:val="left"/>
        <w:rPr/>
      </w:pPr>
      <w:r>
        <w:rPr>
          <w:b/>
          <w:i/>
          <w:color w:val="000000"/>
          <w:sz w:val="20"/>
        </w:rPr>
        <w:t>B. Result</w:t>
      </w:r>
    </w:p>
    <w:tbl>
      <w:tblPr>
        <w:tblStyle w:val="TableGrid"/>
        <w:tblW w:w="936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52"/>
        <w:gridCol w:w="3405"/>
        <w:gridCol w:w="1844"/>
        <w:gridCol w:w="1559"/>
      </w:tblGrid>
      <w:tr>
        <w:trPr/>
        <w:tc>
          <w:tcPr>
            <w:tcW w:w="2552"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Outcome</w:t>
            </w:r>
          </w:p>
        </w:tc>
        <w:tc>
          <w:tcPr>
            <w:tcW w:w="3405"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The only rung that moves</w:t>
            </w:r>
          </w:p>
        </w:tc>
        <w:tc>
          <w:tcPr>
            <w:tcW w:w="1844"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helped / hurt</w:t>
            </w:r>
          </w:p>
        </w:tc>
        <w:tc>
          <w:tcPr>
            <w:tcW w:w="1559" w:type="dxa"/>
            <w:tcBorders/>
            <w:shd w:fill="EDF1F5" w:val="clear"/>
          </w:tcPr>
          <w:p>
            <w:pPr>
              <w:pStyle w:val="Normal"/>
              <w:widowControl/>
              <w:spacing w:lineRule="auto" w:line="240" w:before="20" w:after="20"/>
              <w:jc w:val="left"/>
              <w:rPr>
                <w:rFonts w:cs=""/>
                <w:kern w:val="0"/>
                <w:szCs w:val="22"/>
                <w:lang w:val="en-US" w:eastAsia="en-US" w:bidi="ar-SA"/>
              </w:rPr>
            </w:pPr>
            <w:r>
              <w:rPr>
                <w:rFonts w:cs=""/>
                <w:b/>
                <w:i/>
                <w:color w:val="000000"/>
                <w:kern w:val="0"/>
                <w:sz w:val="17"/>
                <w:szCs w:val="22"/>
                <w:lang w:val="en-US" w:eastAsia="en-US" w:bidi="ar-SA"/>
              </w:rPr>
              <w:t>p</w:t>
            </w:r>
            <w:r>
              <w:rPr>
                <w:rFonts w:cs=""/>
                <w:b/>
                <w:i w:val="false"/>
                <w:color w:val="000000"/>
                <w:kern w:val="0"/>
                <w:sz w:val="17"/>
                <w:szCs w:val="22"/>
                <w:lang w:val="en-US" w:eastAsia="en-US" w:bidi="ar-SA"/>
              </w:rPr>
              <w:t xml:space="preserve"> (exact)</w:t>
            </w:r>
          </w:p>
        </w:tc>
      </w:tr>
      <w:tr>
        <w:trPr/>
        <w:tc>
          <w:tcPr>
            <w:tcW w:w="2552"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attack stopped</w:t>
            </w:r>
          </w:p>
        </w:tc>
        <w:tc>
          <w:tcPr>
            <w:tcW w:w="3405"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3B, causal analyzer</w:t>
            </w:r>
          </w:p>
        </w:tc>
        <w:tc>
          <w:tcPr>
            <w:tcW w:w="1844"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18 / 0</w:t>
            </w:r>
          </w:p>
        </w:tc>
        <w:tc>
          <w:tcPr>
            <w:tcW w:w="155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7.6 × 10⁻⁶</w:t>
            </w:r>
          </w:p>
        </w:tc>
      </w:tr>
      <w:tr>
        <w:trPr/>
        <w:tc>
          <w:tcPr>
            <w:tcW w:w="2552"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workflow continued</w:t>
            </w:r>
          </w:p>
        </w:tc>
        <w:tc>
          <w:tcPr>
            <w:tcW w:w="3405"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3C, context sanitizer</w:t>
            </w:r>
          </w:p>
        </w:tc>
        <w:tc>
          <w:tcPr>
            <w:tcW w:w="1844"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18 / 0</w:t>
            </w:r>
          </w:p>
        </w:tc>
        <w:tc>
          <w:tcPr>
            <w:tcW w:w="155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7.6 × 10⁻⁶</w:t>
            </w:r>
          </w:p>
        </w:tc>
      </w:tr>
    </w:tbl>
    <w:p>
      <w:pPr>
        <w:pStyle w:val="Normal"/>
        <w:spacing w:lineRule="auto" w:line="252" w:before="0" w:after="160"/>
        <w:jc w:val="left"/>
        <w:rPr/>
      </w:pPr>
      <w:r>
        <w:rPr>
          <w:b/>
          <w:i w:val="false"/>
          <w:color w:val="444A53"/>
          <w:sz w:val="17"/>
        </w:rPr>
        <w:t>Table IV.</w:t>
      </w:r>
      <w:r>
        <w:rPr>
          <w:b w:val="false"/>
          <w:i w:val="false"/>
          <w:color w:val="444A53"/>
          <w:sz w:val="17"/>
        </w:rPr>
        <w:t xml:space="preserve"> Ablation outcomes. Every other rung — tool-response screener, policy engine, permission control, egress allowlist — is 0 helped / 0 hurt with zero discordant pairs.</w:t>
      </w:r>
    </w:p>
    <w:p>
      <w:pPr>
        <w:pStyle w:val="Normal"/>
        <w:spacing w:before="160" w:after="60"/>
        <w:jc w:val="center"/>
        <w:rPr/>
      </w:pPr>
      <w:r>
        <w:rPr/>
        <w:drawing>
          <wp:inline distT="0" distB="0" distL="0" distR="0">
            <wp:extent cx="4707890" cy="28346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707890" cy="2834640"/>
                    </a:xfrm>
                    <a:prstGeom prst="rect">
                      <a:avLst/>
                    </a:prstGeom>
                  </pic:spPr>
                </pic:pic>
              </a:graphicData>
            </a:graphic>
          </wp:inline>
        </w:drawing>
      </w:r>
    </w:p>
    <w:p>
      <w:pPr>
        <w:pStyle w:val="Normal"/>
        <w:spacing w:lineRule="auto" w:line="252" w:before="0" w:after="180"/>
        <w:ind w:left="0" w:hanging="0"/>
        <w:jc w:val="left"/>
        <w:rPr/>
      </w:pPr>
      <w:r>
        <w:rPr>
          <w:b/>
          <w:i w:val="false"/>
          <w:color w:val="444A53"/>
          <w:sz w:val="17"/>
        </w:rPr>
        <w:t>Fig. 2.</w:t>
      </w:r>
      <w:r>
        <w:rPr>
          <w:b w:val="false"/>
          <w:i w:val="false"/>
          <w:color w:val="444A53"/>
          <w:sz w:val="17"/>
        </w:rPr>
        <w:t xml:space="preserve"> Cumulative component ablation over the seven-arm ladder (21 attacks, 33 benign). Attack-stopped rate rises only at the causal analyzer and workflow-continued rate only at the sanitizer; every other rung is flat.</w:t>
      </w:r>
    </w:p>
    <w:p>
      <w:pPr>
        <w:pStyle w:val="Normal"/>
        <w:spacing w:lineRule="auto" w:line="252" w:before="0" w:after="80"/>
        <w:jc w:val="both"/>
        <w:rPr/>
      </w:pPr>
      <w:r>
        <w:rPr>
          <w:b w:val="false"/>
          <w:i w:val="false"/>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pStyle w:val="Normal"/>
        <w:spacing w:lineRule="auto" w:line="252" w:before="160" w:after="60"/>
        <w:jc w:val="left"/>
        <w:rPr/>
      </w:pPr>
      <w:r>
        <w:rPr>
          <w:b/>
          <w:i/>
          <w:color w:val="000000"/>
          <w:sz w:val="20"/>
        </w:rPr>
        <w:t>C. Two results that cut against the architecture</w:t>
      </w:r>
    </w:p>
    <w:p>
      <w:pPr>
        <w:pStyle w:val="Normal"/>
        <w:spacing w:lineRule="auto" w:line="252" w:before="0" w:after="80"/>
        <w:jc w:val="both"/>
        <w:rPr/>
      </w:pPr>
      <w:r>
        <w:rPr>
          <w:b/>
          <w:i w:val="false"/>
          <w:color w:val="000000"/>
          <w:sz w:val="20"/>
        </w:rPr>
        <w:t>Layer 4 is redundant, not contributing.</w:t>
      </w:r>
      <w:r>
        <w:rPr>
          <w:b w:val="false"/>
          <w:i w:val="false"/>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b w:val="false"/>
          <w:i/>
          <w:color w:val="000000"/>
          <w:sz w:val="20"/>
        </w:rPr>
        <w:t>for</w:t>
      </w:r>
      <w:r>
        <w:rPr>
          <w:b w:val="false"/>
          <w:i w:val="false"/>
          <w:color w:val="000000"/>
          <w:sz w:val="20"/>
        </w:rPr>
        <w:t xml:space="preserve"> the layer and we do not present it as such.</w:t>
      </w:r>
    </w:p>
    <w:p>
      <w:pPr>
        <w:pStyle w:val="Normal"/>
        <w:spacing w:lineRule="auto" w:line="252" w:before="0" w:after="80"/>
        <w:jc w:val="both"/>
        <w:rPr/>
      </w:pPr>
      <w:r>
        <w:rPr>
          <w:b/>
          <w:i w:val="false"/>
          <w:color w:val="000000"/>
          <w:sz w:val="20"/>
        </w:rPr>
        <w:t>False positives moved where no p-value could see them.</w:t>
      </w:r>
      <w:r>
        <w:rPr>
          <w:b w:val="false"/>
          <w:i w:val="false"/>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pStyle w:val="Normal"/>
        <w:spacing w:lineRule="auto" w:line="252" w:before="160" w:after="60"/>
        <w:jc w:val="left"/>
        <w:rPr/>
      </w:pPr>
      <w:r>
        <w:rPr>
          <w:b/>
          <w:i/>
          <w:color w:val="000000"/>
          <w:sz w:val="20"/>
        </w:rPr>
        <w:t>D. A measurement defect worth reporting</w:t>
      </w:r>
    </w:p>
    <w:p>
      <w:pPr>
        <w:pStyle w:val="Normal"/>
        <w:spacing w:lineRule="auto" w:line="252" w:before="0" w:after="80"/>
        <w:jc w:val="both"/>
        <w:rPr/>
      </w:pPr>
      <w:r>
        <w:rPr>
          <w:b w:val="false"/>
          <w:i w:val="false"/>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pStyle w:val="Normal"/>
        <w:spacing w:lineRule="auto" w:line="252" w:before="160" w:after="60"/>
        <w:jc w:val="left"/>
        <w:rPr/>
      </w:pPr>
      <w:r>
        <w:rPr>
          <w:b/>
          <w:i/>
          <w:color w:val="000000"/>
          <w:sz w:val="20"/>
        </w:rPr>
        <w:t>E. Scope</w:t>
      </w:r>
    </w:p>
    <w:p>
      <w:pPr>
        <w:pStyle w:val="Normal"/>
        <w:spacing w:lineRule="auto" w:line="252" w:before="0" w:after="80"/>
        <w:jc w:val="both"/>
        <w:rPr/>
      </w:pPr>
      <w:r>
        <w:rPr>
          <w:b w:val="false"/>
          <w:i w:val="false"/>
          <w:color w:val="000000"/>
          <w:sz w:val="20"/>
        </w:rPr>
        <w:t xml:space="preserve">This establishes that the screener, policy engine and Layer 4 have nothing to do </w:t>
      </w:r>
      <w:r>
        <w:rPr>
          <w:b/>
          <w:i w:val="false"/>
          <w:color w:val="000000"/>
          <w:sz w:val="20"/>
        </w:rPr>
        <w:t>on this corpus</w:t>
      </w:r>
      <w:r>
        <w:rPr>
          <w:b w:val="false"/>
          <w:i w:val="false"/>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b w:val="false"/>
          <w:i/>
          <w:color w:val="000000"/>
          <w:sz w:val="20"/>
        </w:rPr>
        <w:t>responses</w:t>
      </w:r>
      <w:r>
        <w:rPr>
          <w:b w:val="false"/>
          <w:i w:val="false"/>
          <w:color w:val="000000"/>
          <w:sz w:val="20"/>
        </w:rPr>
        <w:t xml:space="preserve"> rather than manifests.</w:t>
      </w:r>
    </w:p>
    <w:p>
      <w:pPr>
        <w:pStyle w:val="Normal"/>
        <w:spacing w:lineRule="auto" w:line="252" w:before="240" w:after="100"/>
        <w:jc w:val="left"/>
        <w:rPr/>
      </w:pPr>
      <w:r>
        <w:rPr>
          <w:b/>
          <w:i w:val="false"/>
          <w:color w:val="000000"/>
          <w:sz w:val="22"/>
        </w:rPr>
        <w:t>VI. COMPARISON AGAINST A PUBLISHED PROMPT-LEVEL DEFENSE</w:t>
      </w:r>
    </w:p>
    <w:p>
      <w:pPr>
        <w:pStyle w:val="Normal"/>
        <w:spacing w:lineRule="auto" w:line="252" w:before="0" w:after="120"/>
        <w:jc w:val="left"/>
        <w:rPr/>
      </w:pPr>
      <w:r>
        <w:rPr>
          <w:b w:val="false"/>
          <w:i/>
          <w:color w:val="444A53"/>
          <w:sz w:val="17"/>
        </w:rPr>
        <w:t>Artifact: `results/phase10/`. 86 cases per arm; 66 malicious pairs on the primary outcome.</w:t>
      </w:r>
    </w:p>
    <w:p>
      <w:pPr>
        <w:pStyle w:val="Normal"/>
        <w:spacing w:lineRule="auto" w:line="252" w:before="0" w:after="80"/>
        <w:jc w:val="both"/>
        <w:rPr/>
      </w:pPr>
      <w:r>
        <w:rPr>
          <w:b w:val="false"/>
          <w:i w:val="false"/>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b/>
          <w:i w:val="false"/>
          <w:color w:val="000000"/>
          <w:sz w:val="20"/>
        </w:rPr>
        <w:t>undefended floor</w:t>
      </w:r>
      <w:r>
        <w:rPr>
          <w:b w:val="false"/>
          <w:i w:val="false"/>
          <w:color w:val="000000"/>
          <w:sz w:val="20"/>
        </w:rPr>
        <w:t xml:space="preserve"> at ASR 100% [84.5%, 100%] over 21 malicious cases, and </w:t>
      </w:r>
      <w:r>
        <w:rPr>
          <w:b/>
          <w:i w:val="false"/>
          <w:color w:val="000000"/>
          <w:sz w:val="20"/>
        </w:rPr>
        <w:t>spotlighting</w:t>
      </w:r>
      <w:r>
        <w:rPr>
          <w:b w:val="false"/>
          <w:i w:val="false"/>
          <w:color w:val="000000"/>
          <w:sz w:val="20"/>
        </w:rPr>
        <w:t xml:space="preserve"> (datamarking) after Hines et al. [3], implemented as a configuration arm sharing one code path with every other arm and kept outside the layer tree by a test that fails if any layer imports it.</w:t>
      </w:r>
    </w:p>
    <w:p>
      <w:pPr>
        <w:pStyle w:val="Normal"/>
        <w:spacing w:lineRule="auto" w:line="252" w:before="160" w:after="60"/>
        <w:jc w:val="left"/>
        <w:rPr/>
      </w:pPr>
      <w:r>
        <w:rPr>
          <w:b/>
          <w:i/>
          <w:color w:val="000000"/>
          <w:sz w:val="20"/>
        </w:rPr>
        <w:t>A. Result: a null</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19"/>
        <w:gridCol w:w="1664"/>
        <w:gridCol w:w="1665"/>
        <w:gridCol w:w="2911"/>
      </w:tblGrid>
      <w:tr>
        <w:trPr/>
        <w:tc>
          <w:tcPr>
            <w:tcW w:w="3119"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Arm</w:t>
            </w:r>
          </w:p>
        </w:tc>
        <w:tc>
          <w:tcPr>
            <w:tcW w:w="1664"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steered</w:t>
            </w:r>
          </w:p>
        </w:tc>
        <w:tc>
          <w:tcPr>
            <w:tcW w:w="1665"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rate</w:t>
            </w:r>
          </w:p>
        </w:tc>
        <w:tc>
          <w:tcPr>
            <w:tcW w:w="2911"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95% Wilson</w:t>
            </w:r>
          </w:p>
        </w:tc>
      </w:tr>
      <w:tr>
        <w:trPr/>
        <w:tc>
          <w:tcPr>
            <w:tcW w:w="311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derived control</w:t>
            </w:r>
          </w:p>
        </w:tc>
        <w:tc>
          <w:tcPr>
            <w:tcW w:w="1664"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23/66</w:t>
            </w:r>
          </w:p>
        </w:tc>
        <w:tc>
          <w:tcPr>
            <w:tcW w:w="1665"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34.8%</w:t>
            </w:r>
          </w:p>
        </w:tc>
        <w:tc>
          <w:tcPr>
            <w:tcW w:w="291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[24.5%, 46.9%]</w:t>
            </w:r>
          </w:p>
        </w:tc>
      </w:tr>
      <w:tr>
        <w:trPr/>
        <w:tc>
          <w:tcPr>
            <w:tcW w:w="311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spotlighting</w:t>
            </w:r>
          </w:p>
        </w:tc>
        <w:tc>
          <w:tcPr>
            <w:tcW w:w="1664"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22/66</w:t>
            </w:r>
          </w:p>
        </w:tc>
        <w:tc>
          <w:tcPr>
            <w:tcW w:w="1665"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33.3%</w:t>
            </w:r>
          </w:p>
        </w:tc>
        <w:tc>
          <w:tcPr>
            <w:tcW w:w="291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[23.2%, 45.3%]</w:t>
            </w:r>
          </w:p>
        </w:tc>
      </w:tr>
    </w:tbl>
    <w:p>
      <w:pPr>
        <w:pStyle w:val="Normal"/>
        <w:spacing w:lineRule="auto" w:line="252" w:before="0" w:after="160"/>
        <w:jc w:val="left"/>
        <w:rPr/>
      </w:pPr>
      <w:r>
        <w:rPr>
          <w:b/>
          <w:i w:val="false"/>
          <w:color w:val="444A53"/>
          <w:sz w:val="17"/>
        </w:rPr>
        <w:t>Table V.</w:t>
      </w:r>
      <w:r>
        <w:rPr>
          <w:b w:val="false"/>
          <w:i w:val="false"/>
          <w:color w:val="444A53"/>
          <w:sz w:val="17"/>
        </w:rPr>
        <w:t xml:space="preserve"> Spotlighting on our harness. Paired McNemar </w:t>
      </w:r>
      <w:r>
        <w:rPr>
          <w:b w:val="false"/>
          <w:i/>
          <w:color w:val="444A53"/>
          <w:sz w:val="17"/>
        </w:rPr>
        <w:t>p</w:t>
      </w:r>
      <w:r>
        <w:rPr>
          <w:b w:val="false"/>
          <w:i w:val="false"/>
          <w:color w:val="444A53"/>
          <w:sz w:val="17"/>
        </w:rPr>
        <w:t xml:space="preserve"> = 1.00, 8 helped / 7 hurt.</w:t>
      </w:r>
    </w:p>
    <w:p>
      <w:pPr>
        <w:pStyle w:val="Normal"/>
        <w:spacing w:lineRule="auto" w:line="252" w:before="0" w:after="80"/>
        <w:jc w:val="both"/>
        <w:rPr/>
      </w:pPr>
      <w:r>
        <w:rPr>
          <w:b/>
          <w:i w:val="false"/>
          <w:color w:val="000000"/>
          <w:sz w:val="20"/>
        </w:rPr>
        <w:t>The null is not indifference.</w:t>
      </w:r>
      <w:r>
        <w:rPr>
          <w:b w:val="false"/>
          <w:i w:val="false"/>
          <w:color w:val="000000"/>
          <w:sz w:val="20"/>
        </w:rPr>
        <w:t xml:space="preserve"> It decomposes into two per-family effects of opposite sign: one attack family improves from 8 to 5 while another degrades from 0 to 3. A transform that makes a thin payload more </w:t>
      </w:r>
      <w:r>
        <w:rPr>
          <w:b w:val="false"/>
          <w:i/>
          <w:color w:val="000000"/>
          <w:sz w:val="20"/>
        </w:rPr>
        <w:t>legible</w:t>
      </w:r>
      <w:r>
        <w:rPr>
          <w:b w:val="false"/>
          <w:i w:val="false"/>
          <w:color w:val="000000"/>
          <w:sz w:val="20"/>
        </w:rPr>
        <w:t xml:space="preserve"> can increase compliance with it. We report the decomposition rather than the pooled null, because the pooled number invites the wrong conclusion.</w:t>
      </w:r>
    </w:p>
    <w:p>
      <w:pPr>
        <w:pStyle w:val="Normal"/>
        <w:spacing w:lineRule="auto" w:line="252" w:before="160" w:after="60"/>
        <w:jc w:val="left"/>
        <w:rPr/>
      </w:pPr>
      <w:r>
        <w:rPr>
          <w:b/>
          <w:i/>
          <w:color w:val="000000"/>
          <w:sz w:val="20"/>
        </w:rPr>
        <w:t>B. Three qualifiers that travel with this number</w:t>
      </w:r>
    </w:p>
    <w:p>
      <w:pPr>
        <w:pStyle w:val="Normal"/>
        <w:spacing w:lineRule="auto" w:line="252" w:before="0" w:after="80"/>
        <w:jc w:val="both"/>
        <w:rPr/>
      </w:pPr>
      <w:r>
        <w:rPr>
          <w:b w:val="false"/>
          <w:i w:val="false"/>
          <w:color w:val="000000"/>
          <w:sz w:val="20"/>
        </w:rPr>
        <w:t xml:space="preserve">First, </w:t>
      </w:r>
      <w:r>
        <w:rPr>
          <w:b/>
          <w:i w:val="false"/>
          <w:color w:val="000000"/>
          <w:sz w:val="20"/>
        </w:rPr>
        <w:t>the steering rate is the outcome, not ASR.</w:t>
      </w:r>
      <w:r>
        <w:rPr>
          <w:b w:val="false"/>
          <w:i w:val="false"/>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b/>
          <w:i w:val="false"/>
          <w:color w:val="000000"/>
          <w:sz w:val="20"/>
        </w:rPr>
        <w:t>these arms derive their own action</w:t>
      </w:r>
      <w:r>
        <w:rPr>
          <w:b w:val="false"/>
          <w:i w:val="false"/>
          <w:color w:val="000000"/>
          <w:sz w:val="20"/>
        </w:rPr>
        <w:t xml:space="preserve">, and are therefore not comparable with §V's supplied-action arms. Third, </w:t>
      </w:r>
      <w:r>
        <w:rPr>
          <w:b/>
          <w:i w:val="false"/>
          <w:color w:val="000000"/>
          <w:sz w:val="20"/>
        </w:rPr>
        <w:t>both arms run the agent at temperature 0</w:t>
      </w:r>
      <w:r>
        <w:rPr>
          <w:b w:val="false"/>
          <w:i w:val="false"/>
          <w:color w:val="000000"/>
          <w:sz w:val="20"/>
        </w:rPr>
        <w:t>; the planner had inherited the inference server's default of 0.8 while the analyzer ran at 0, so a deliberately byte-identical prompt was not the same agent, and fixing it moved the undefended floor on its own.</w:t>
      </w:r>
    </w:p>
    <w:p>
      <w:pPr>
        <w:pStyle w:val="Normal"/>
        <w:spacing w:lineRule="auto" w:line="252" w:before="160" w:after="60"/>
        <w:jc w:val="left"/>
        <w:rPr/>
      </w:pPr>
      <w:r>
        <w:rPr>
          <w:b/>
          <w:i/>
          <w:color w:val="000000"/>
          <w:sz w:val="20"/>
        </w:rPr>
        <w:t>C. The defect that had reversed the sign</w:t>
      </w:r>
    </w:p>
    <w:p>
      <w:pPr>
        <w:pStyle w:val="Normal"/>
        <w:spacing w:lineRule="auto" w:line="252" w:before="0" w:after="80"/>
        <w:jc w:val="both"/>
        <w:rPr/>
      </w:pPr>
      <w:r>
        <w:rPr>
          <w:b w:val="false"/>
          <w:i w:val="false"/>
          <w:color w:val="000000"/>
          <w:sz w:val="20"/>
        </w:rPr>
        <w:t xml:space="preserve">The first run reported spotlighting as 17 points </w:t>
      </w:r>
      <w:r>
        <w:rPr>
          <w:b w:val="false"/>
          <w:i/>
          <w:color w:val="000000"/>
          <w:sz w:val="20"/>
        </w:rPr>
        <w:t>worse</w:t>
      </w:r>
      <w:r>
        <w:rPr>
          <w:b w:val="false"/>
          <w:i w:val="false"/>
          <w:color w:val="000000"/>
          <w:sz w:val="20"/>
        </w:rPr>
        <w:t xml:space="preserve"> (39.4% to 56.1%). It was not. Sixteen of 37 apparently-steered cases were </w:t>
      </w:r>
      <w:r>
        <w:rPr>
          <w:b w:val="false"/>
          <w:i/>
          <w:color w:val="000000"/>
          <w:sz w:val="20"/>
        </w:rPr>
        <w:t>refusals</w:t>
      </w:r>
      <w:r>
        <w:rPr>
          <w:b w:val="false"/>
          <w:i w:val="false"/>
          <w:color w:val="000000"/>
          <w:sz w:val="20"/>
        </w:rPr>
        <w:t xml:space="preserve"> that named the attacker's address while declining to act, and the keyword scorer had no negation handling. Spotlighting's own instruction inflated the metric judging it, </w:t>
      </w:r>
      <w:r>
        <w:rPr>
          <w:b/>
          <w:i w:val="false"/>
          <w:color w:val="000000"/>
          <w:sz w:val="20"/>
        </w:rPr>
        <w:t>in proportion to how clearly it worked</w:t>
      </w:r>
      <w:r>
        <w:rPr>
          <w:b w:val="false"/>
          <w:i w:val="false"/>
          <w:color w:val="000000"/>
          <w:sz w:val="20"/>
        </w:rPr>
        <w:t>.</w:t>
      </w:r>
    </w:p>
    <w:p>
      <w:pPr>
        <w:pStyle w:val="Normal"/>
        <w:spacing w:lineRule="auto" w:line="252" w:before="0" w:after="80"/>
        <w:jc w:val="both"/>
        <w:rPr/>
      </w:pPr>
      <w:r>
        <w:rPr>
          <w:b w:val="false"/>
          <w:i w:val="false"/>
          <w:color w:val="000000"/>
          <w:sz w:val="20"/>
        </w:rPr>
        <w:t xml:space="preserve">The fix is clause-scoped negation detection in the action scorer. We report the withdrawn figure because the failure is general: a defense that changes the </w:t>
      </w:r>
      <w:r>
        <w:rPr>
          <w:b w:val="false"/>
          <w:i/>
          <w:color w:val="000000"/>
          <w:sz w:val="20"/>
        </w:rPr>
        <w:t>shape</w:t>
      </w:r>
      <w:r>
        <w:rPr>
          <w:b w:val="false"/>
          <w:i w:val="false"/>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pStyle w:val="Normal"/>
        <w:spacing w:lineRule="auto" w:line="252" w:before="240" w:after="100"/>
        <w:jc w:val="left"/>
        <w:rPr/>
      </w:pPr>
      <w:r>
        <w:rPr>
          <w:b/>
          <w:i w:val="false"/>
          <w:color w:val="000000"/>
          <w:sz w:val="22"/>
        </w:rPr>
        <w:t>VII. EXTERNAL VALIDITY: DETECTION FALLS FROM 96.7% TO ≈18%</w:t>
      </w:r>
    </w:p>
    <w:p>
      <w:pPr>
        <w:pStyle w:val="Normal"/>
        <w:spacing w:lineRule="auto" w:line="252" w:before="0" w:after="120"/>
        <w:jc w:val="left"/>
        <w:rPr/>
      </w:pPr>
      <w:r>
        <w:rPr>
          <w:b w:val="false"/>
          <w:i/>
          <w:color w:val="444A53"/>
          <w:sz w:val="17"/>
        </w:rPr>
        <w:t>Artifacts: `results/phase12/`, `results/noise_floor/injecagent.json`. 60 cases per arm, 30 per stratum.</w:t>
      </w:r>
    </w:p>
    <w:p>
      <w:pPr>
        <w:pStyle w:val="Normal"/>
        <w:spacing w:lineRule="auto" w:line="252" w:before="0" w:after="80"/>
        <w:jc w:val="both"/>
        <w:rPr/>
      </w:pPr>
      <w:r>
        <w:rPr>
          <w:b w:val="false"/>
          <w:i w:val="false"/>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b w:val="false"/>
          <w:i/>
          <w:color w:val="000000"/>
          <w:sz w:val="20"/>
        </w:rPr>
        <w:t>attacks</w:t>
      </w:r>
      <w:r>
        <w:rPr>
          <w:b w:val="false"/>
          <w:i w:val="false"/>
          <w:color w:val="000000"/>
          <w:sz w:val="20"/>
        </w:rPr>
        <w:t xml:space="preserve"> are also written by someone else.</w:t>
      </w:r>
    </w:p>
    <w:p>
      <w:pPr>
        <w:pStyle w:val="Normal"/>
        <w:spacing w:lineRule="auto" w:line="252" w:before="160" w:after="60"/>
        <w:jc w:val="left"/>
        <w:rPr/>
      </w:pPr>
      <w:r>
        <w:rPr>
          <w:b/>
          <w:i/>
          <w:color w:val="000000"/>
          <w:sz w:val="20"/>
        </w:rPr>
        <w:t>A. Result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51"/>
        <w:gridCol w:w="2095"/>
        <w:gridCol w:w="1257"/>
        <w:gridCol w:w="1956"/>
      </w:tblGrid>
      <w:tr>
        <w:trPr/>
        <w:tc>
          <w:tcPr>
            <w:tcW w:w="4051"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Stratum</w:t>
            </w:r>
          </w:p>
        </w:tc>
        <w:tc>
          <w:tcPr>
            <w:tcW w:w="2095"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share of corpus</w:t>
            </w:r>
          </w:p>
        </w:tc>
        <w:tc>
          <w:tcPr>
            <w:tcW w:w="1257"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detection</w:t>
            </w:r>
          </w:p>
        </w:tc>
        <w:tc>
          <w:tcPr>
            <w:tcW w:w="1956"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95% Wilson</w:t>
            </w:r>
          </w:p>
        </w:tc>
      </w:tr>
      <w:tr>
        <w:trPr/>
        <w:tc>
          <w:tcPr>
            <w:tcW w:w="405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target-match path fires</w:t>
            </w:r>
          </w:p>
        </w:tc>
        <w:tc>
          <w:tcPr>
            <w:tcW w:w="2095"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w:t>
            </w:r>
            <w:r>
              <w:rPr>
                <w:rFonts w:cs=""/>
                <w:b w:val="false"/>
                <w:i w:val="false"/>
                <w:color w:val="000000"/>
                <w:kern w:val="0"/>
                <w:sz w:val="17"/>
                <w:szCs w:val="22"/>
                <w:lang w:val="en-US" w:eastAsia="en-US" w:bidi="ar-SA"/>
              </w:rPr>
              <w:t>10%</w:t>
            </w:r>
          </w:p>
        </w:tc>
        <w:tc>
          <w:tcPr>
            <w:tcW w:w="1257"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96.7%</w:t>
            </w:r>
          </w:p>
        </w:tc>
        <w:tc>
          <w:tcPr>
            <w:tcW w:w="195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[83.3%, 99.4%]</w:t>
            </w:r>
          </w:p>
        </w:tc>
      </w:tr>
      <w:tr>
        <w:trPr/>
        <w:tc>
          <w:tcPr>
            <w:tcW w:w="4051"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target-match path cannot fire</w:t>
            </w:r>
          </w:p>
        </w:tc>
        <w:tc>
          <w:tcPr>
            <w:tcW w:w="2095"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w:t>
            </w:r>
            <w:r>
              <w:rPr>
                <w:rFonts w:cs=""/>
                <w:b w:val="false"/>
                <w:i w:val="false"/>
                <w:color w:val="000000"/>
                <w:kern w:val="0"/>
                <w:sz w:val="17"/>
                <w:szCs w:val="22"/>
                <w:lang w:val="en-US" w:eastAsia="en-US" w:bidi="ar-SA"/>
              </w:rPr>
              <w:t>90%</w:t>
            </w:r>
          </w:p>
        </w:tc>
        <w:tc>
          <w:tcPr>
            <w:tcW w:w="1257"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10.0%</w:t>
            </w:r>
          </w:p>
        </w:tc>
        <w:tc>
          <w:tcPr>
            <w:tcW w:w="195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[3.5%, 25.6%]</w:t>
            </w:r>
          </w:p>
        </w:tc>
      </w:tr>
    </w:tbl>
    <w:p>
      <w:pPr>
        <w:pStyle w:val="Normal"/>
        <w:spacing w:lineRule="auto" w:line="252" w:before="0" w:after="160"/>
        <w:jc w:val="left"/>
        <w:rPr/>
      </w:pPr>
      <w:r>
        <w:rPr>
          <w:b/>
          <w:i w:val="false"/>
          <w:color w:val="444A53"/>
          <w:sz w:val="17"/>
        </w:rPr>
        <w:t>Table VI.</w:t>
      </w:r>
      <w:r>
        <w:rPr>
          <w:b w:val="false"/>
          <w:i w:val="false"/>
          <w:color w:val="444A53"/>
          <w:sz w:val="17"/>
        </w:rPr>
        <w:t xml:space="preserve"> Detection on InjecAgent by stratum, median of three recordings. End-to-end, the complete system's ASR on this corpus is 29/60 = 48.3%, against 60/60 for both undefended and static-rule arms.</w:t>
      </w:r>
    </w:p>
    <w:p>
      <w:pPr>
        <w:pStyle w:val="Normal"/>
        <w:spacing w:before="160" w:after="60"/>
        <w:jc w:val="center"/>
        <w:rPr/>
      </w:pPr>
      <w:r>
        <w:rPr/>
        <w:drawing>
          <wp:inline distT="0" distB="0" distL="0" distR="0">
            <wp:extent cx="3797935" cy="28346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3797935" cy="2834640"/>
                    </a:xfrm>
                    <a:prstGeom prst="rect">
                      <a:avLst/>
                    </a:prstGeom>
                  </pic:spPr>
                </pic:pic>
              </a:graphicData>
            </a:graphic>
          </wp:inline>
        </w:drawing>
      </w:r>
    </w:p>
    <w:p>
      <w:pPr>
        <w:pStyle w:val="Normal"/>
        <w:spacing w:lineRule="auto" w:line="252" w:before="0" w:after="180"/>
        <w:ind w:left="0" w:hanging="0"/>
        <w:jc w:val="left"/>
        <w:rPr/>
      </w:pPr>
      <w:r>
        <w:rPr>
          <w:b/>
          <w:i w:val="false"/>
          <w:color w:val="444A53"/>
          <w:sz w:val="17"/>
        </w:rPr>
        <w:t>Fig. 3.</w:t>
      </w:r>
      <w:r>
        <w:rPr>
          <w:b w:val="false"/>
          <w:i w:val="false"/>
          <w:color w:val="444A53"/>
          <w:sz w:val="17"/>
        </w:rPr>
        <w:t xml:space="preserve"> Detection on externally-authored attacks, split by whether the target-match path can fire. Dots are the three independent recordings; the pooled figure is wrong for the population by 33 points.</w:t>
      </w:r>
    </w:p>
    <w:p>
      <w:pPr>
        <w:pStyle w:val="Normal"/>
        <w:spacing w:lineRule="auto" w:line="252" w:before="0" w:after="80"/>
        <w:jc w:val="both"/>
        <w:rPr/>
      </w:pPr>
      <w:r>
        <w:rPr>
          <w:b/>
          <w:i w:val="false"/>
          <w:color w:val="000000"/>
          <w:sz w:val="20"/>
        </w:rPr>
        <w:t>The strata must not be pooled.</w:t>
      </w:r>
      <w:r>
        <w:rPr>
          <w:b w:val="false"/>
          <w:i w:val="false"/>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pStyle w:val="Normal"/>
        <w:spacing w:lineRule="auto" w:line="252" w:before="160" w:after="60"/>
        <w:jc w:val="left"/>
        <w:rPr/>
      </w:pPr>
      <w:r>
        <w:rPr>
          <w:b/>
          <w:i/>
          <w:color w:val="000000"/>
          <w:sz w:val="20"/>
        </w:rPr>
        <w:t>B. Why detection collapses</w:t>
      </w:r>
    </w:p>
    <w:p>
      <w:pPr>
        <w:pStyle w:val="Normal"/>
        <w:spacing w:lineRule="auto" w:line="252" w:before="0" w:after="80"/>
        <w:jc w:val="both"/>
        <w:rPr/>
      </w:pPr>
      <w:r>
        <w:rPr>
          <w:b w:val="false"/>
          <w:i w:val="false"/>
          <w:color w:val="000000"/>
          <w:sz w:val="20"/>
        </w:rPr>
        <w:t xml:space="preserve">The detector's severity scorer was built around a data-movement vocabulary — </w:t>
      </w:r>
      <w:r>
        <w:rPr>
          <w:b w:val="false"/>
          <w:i/>
          <w:color w:val="000000"/>
          <w:sz w:val="20"/>
        </w:rPr>
        <w:t>forward, exfiltrate, upload, delete, post, send, write</w:t>
      </w:r>
      <w:r>
        <w:rPr>
          <w:b w:val="false"/>
          <w:i w:val="false"/>
          <w:color w:val="000000"/>
          <w:sz w:val="20"/>
        </w:rPr>
        <w:t>. It measures that shape well. InjecAgent's attacks mostly do not have it.</w:t>
      </w:r>
    </w:p>
    <w:p>
      <w:pPr>
        <w:pStyle w:val="Normal"/>
        <w:spacing w:lineRule="auto" w:line="252" w:before="0" w:after="80"/>
        <w:jc w:val="both"/>
        <w:rPr/>
      </w:pPr>
      <w:r>
        <w:rPr>
          <w:b w:val="false"/>
          <w:i w:val="false"/>
          <w:color w:val="000000"/>
          <w:sz w:val="20"/>
        </w:rPr>
        <w:t xml:space="preserve">The recorded probe transcripts show the failure is </w:t>
      </w:r>
      <w:r>
        <w:rPr>
          <w:b/>
          <w:i w:val="false"/>
          <w:color w:val="000000"/>
          <w:sz w:val="20"/>
        </w:rPr>
        <w:t>not</w:t>
      </w:r>
      <w:r>
        <w:rPr>
          <w:b w:val="false"/>
          <w:i w:val="false"/>
          <w:color w:val="000000"/>
          <w:sz w:val="20"/>
        </w:rPr>
        <w:t xml:space="preserve"> in the probe. Shown the injected content, the model reports the action faithfully and verbatim: </w:t>
      </w:r>
      <w:r>
        <w:rPr>
          <w:b w:val="false"/>
          <w:i/>
          <w:color w:val="000000"/>
          <w:sz w:val="20"/>
        </w:rPr>
        <w:t>"grant permanent access to guest_amy01 on the August Smart Lock system"</w:t>
      </w:r>
      <w:r>
        <w:rPr>
          <w:b w:val="false"/>
          <w:i w:val="false"/>
          <w:color w:val="000000"/>
          <w:sz w:val="20"/>
        </w:rPr>
        <w:t xml:space="preserve">, </w:t>
      </w:r>
      <w:r>
        <w:rPr>
          <w:b w:val="false"/>
          <w:i/>
          <w:color w:val="000000"/>
          <w:sz w:val="20"/>
        </w:rPr>
        <w:t>"transfer $3,000 to account number 123-1234-1234"</w:t>
      </w:r>
      <w:r>
        <w:rPr>
          <w:b w:val="false"/>
          <w:i w:val="false"/>
          <w:color w:val="000000"/>
          <w:sz w:val="20"/>
        </w:rPr>
        <w:t xml:space="preserve">, </w:t>
      </w:r>
      <w:r>
        <w:rPr>
          <w:b w:val="false"/>
          <w:i/>
          <w:color w:val="000000"/>
          <w:sz w:val="20"/>
        </w:rPr>
        <w:t>"unlock the front door"</w:t>
      </w:r>
      <w:r>
        <w:rPr>
          <w:b w:val="false"/>
          <w:i w:val="false"/>
          <w:color w:val="000000"/>
          <w:sz w:val="20"/>
        </w:rPr>
        <w:t xml:space="preserve">. The scorer then reads those correct transcriptions, finds no data-movement verb, and returns 0. </w:t>
      </w:r>
      <w:r>
        <w:rPr>
          <w:b/>
          <w:i w:val="false"/>
          <w:color w:val="000000"/>
          <w:sz w:val="20"/>
        </w:rPr>
        <w:t>23 of 26</w:t>
      </w:r>
      <w:r>
        <w:rPr>
          <w:b w:val="false"/>
          <w:i w:val="false"/>
          <w:color w:val="000000"/>
          <w:sz w:val="20"/>
        </w:rPr>
        <w:t xml:space="preserve"> recorded address-free cases score (0, 0) with a perfectly correct transcription sitting in the log.</w:t>
      </w:r>
    </w:p>
    <w:p>
      <w:pPr>
        <w:pStyle w:val="Normal"/>
        <w:spacing w:lineRule="auto" w:line="252" w:before="0" w:after="80"/>
        <w:jc w:val="both"/>
        <w:rPr/>
      </w:pPr>
      <w:r>
        <w:rPr>
          <w:b w:val="false"/>
          <w:i w:val="false"/>
          <w:color w:val="000000"/>
          <w:sz w:val="20"/>
        </w:rPr>
        <w:t xml:space="preserve">Severity 0 is below </w:t>
      </w:r>
      <w:r>
        <w:rPr>
          <w:b w:val="false"/>
          <w:i/>
          <w:color w:val="000000"/>
          <w:sz w:val="20"/>
        </w:rPr>
        <w:t>both</w:t>
      </w:r>
      <w:r>
        <w:rPr>
          <w:b w:val="false"/>
          <w:i w:val="false"/>
          <w:color w:val="000000"/>
          <w:sz w:val="20"/>
        </w:rPr>
        <w:t xml:space="preserve"> detection rules at once — the standalone rule requires 2, the indirect-effect rule requires at least 1 — so no threshold setting could have reached these cases. The deficiency is a </w:t>
      </w:r>
      <w:r>
        <w:rPr>
          <w:b/>
          <w:i w:val="false"/>
          <w:color w:val="000000"/>
          <w:sz w:val="20"/>
        </w:rPr>
        <w:t>harm taxonomy that names one kind of harm</w:t>
      </w:r>
      <w:r>
        <w:rPr>
          <w:b w:val="false"/>
          <w:i w:val="false"/>
          <w:color w:val="000000"/>
          <w:sz w:val="20"/>
        </w:rPr>
        <w:t>, not a threshold that sits too high. §VIII is the attempt to widen it.</w:t>
      </w:r>
    </w:p>
    <w:p>
      <w:pPr>
        <w:pStyle w:val="Normal"/>
        <w:spacing w:lineRule="auto" w:line="252" w:before="160" w:after="60"/>
        <w:jc w:val="left"/>
        <w:rPr/>
      </w:pPr>
      <w:r>
        <w:rPr>
          <w:b/>
          <w:i/>
          <w:color w:val="000000"/>
          <w:sz w:val="20"/>
        </w:rPr>
        <w:t>C. What replicates</w:t>
      </w:r>
    </w:p>
    <w:p>
      <w:pPr>
        <w:pStyle w:val="Normal"/>
        <w:spacing w:lineRule="auto" w:line="252" w:before="0" w:after="80"/>
        <w:jc w:val="both"/>
        <w:rPr/>
      </w:pPr>
      <w:r>
        <w:rPr>
          <w:b w:val="false"/>
          <w:i w:val="false"/>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b/>
          <w:i w:val="false"/>
          <w:color w:val="000000"/>
          <w:sz w:val="20"/>
        </w:rPr>
        <w:t>the causal sub-layer is the only component that detects anything, and what it detects is attacks shaped like the ones it was built against.</w:t>
      </w:r>
    </w:p>
    <w:p>
      <w:pPr>
        <w:pStyle w:val="Normal"/>
        <w:spacing w:lineRule="auto" w:line="252" w:before="160" w:after="60"/>
        <w:jc w:val="left"/>
        <w:rPr/>
      </w:pPr>
      <w:r>
        <w:rPr>
          <w:b/>
          <w:i/>
          <w:color w:val="000000"/>
          <w:sz w:val="20"/>
        </w:rPr>
        <w:t>D. Stability of the collapse</w:t>
      </w:r>
    </w:p>
    <w:p>
      <w:pPr>
        <w:pStyle w:val="Normal"/>
        <w:spacing w:lineRule="auto" w:line="252" w:before="0" w:after="80"/>
        <w:jc w:val="both"/>
        <w:rPr/>
      </w:pPr>
      <w:r>
        <w:rPr>
          <w:b w:val="false"/>
          <w:i w:val="false"/>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35"/>
        <w:gridCol w:w="1153"/>
        <w:gridCol w:w="1152"/>
        <w:gridCol w:w="1151"/>
        <w:gridCol w:w="1152"/>
        <w:gridCol w:w="2016"/>
      </w:tblGrid>
      <w:tr>
        <w:trPr/>
        <w:tc>
          <w:tcPr>
            <w:tcW w:w="2735"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Stratum</w:t>
            </w:r>
          </w:p>
        </w:tc>
        <w:tc>
          <w:tcPr>
            <w:tcW w:w="1153"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run 0</w:t>
            </w:r>
          </w:p>
        </w:tc>
        <w:tc>
          <w:tcPr>
            <w:tcW w:w="1152"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run 1</w:t>
            </w:r>
          </w:p>
        </w:tc>
        <w:tc>
          <w:tcPr>
            <w:tcW w:w="1151"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run 2</w:t>
            </w:r>
          </w:p>
        </w:tc>
        <w:tc>
          <w:tcPr>
            <w:tcW w:w="1152"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spread</w:t>
            </w:r>
          </w:p>
        </w:tc>
        <w:tc>
          <w:tcPr>
            <w:tcW w:w="2016"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unstable cases</w:t>
            </w:r>
          </w:p>
        </w:tc>
      </w:tr>
      <w:tr>
        <w:trPr/>
        <w:tc>
          <w:tcPr>
            <w:tcW w:w="2735"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target-match fires</w:t>
            </w:r>
          </w:p>
        </w:tc>
        <w:tc>
          <w:tcPr>
            <w:tcW w:w="1153"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96.7%</w:t>
            </w:r>
          </w:p>
        </w:tc>
        <w:tc>
          <w:tcPr>
            <w:tcW w:w="1152"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96.7%</w:t>
            </w:r>
          </w:p>
        </w:tc>
        <w:tc>
          <w:tcPr>
            <w:tcW w:w="115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96.7%</w:t>
            </w:r>
          </w:p>
        </w:tc>
        <w:tc>
          <w:tcPr>
            <w:tcW w:w="1152"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0</w:t>
            </w:r>
          </w:p>
        </w:tc>
        <w:tc>
          <w:tcPr>
            <w:tcW w:w="201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0 / 30</w:t>
            </w:r>
          </w:p>
        </w:tc>
      </w:tr>
      <w:tr>
        <w:trPr/>
        <w:tc>
          <w:tcPr>
            <w:tcW w:w="2735"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target-match cannot</w:t>
            </w:r>
          </w:p>
        </w:tc>
        <w:tc>
          <w:tcPr>
            <w:tcW w:w="1153"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13.3%</w:t>
            </w:r>
          </w:p>
        </w:tc>
        <w:tc>
          <w:tcPr>
            <w:tcW w:w="1152"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10.0%</w:t>
            </w:r>
          </w:p>
        </w:tc>
        <w:tc>
          <w:tcPr>
            <w:tcW w:w="115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10.0%</w:t>
            </w:r>
          </w:p>
        </w:tc>
        <w:tc>
          <w:tcPr>
            <w:tcW w:w="1152"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1 case</w:t>
            </w:r>
          </w:p>
        </w:tc>
        <w:tc>
          <w:tcPr>
            <w:tcW w:w="201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 / 30</w:t>
            </w:r>
          </w:p>
        </w:tc>
      </w:tr>
    </w:tbl>
    <w:p>
      <w:pPr>
        <w:pStyle w:val="Normal"/>
        <w:spacing w:lineRule="auto" w:line="252" w:before="0" w:after="160"/>
        <w:jc w:val="left"/>
        <w:rPr/>
      </w:pPr>
      <w:r>
        <w:rPr>
          <w:b/>
          <w:i w:val="false"/>
          <w:color w:val="444A53"/>
          <w:sz w:val="17"/>
        </w:rPr>
        <w:t>Table VII.</w:t>
      </w:r>
      <w:r>
        <w:rPr>
          <w:b w:val="false"/>
          <w:i w:val="false"/>
          <w:color w:val="444A53"/>
          <w:sz w:val="17"/>
        </w:rPr>
        <w:t xml:space="preserve"> Repeat stability. The gap between strata is ≈86 points; run-to-run variation is at most one case, or 3.3 points.</w:t>
      </w:r>
    </w:p>
    <w:p>
      <w:pPr>
        <w:pStyle w:val="Normal"/>
        <w:spacing w:lineRule="auto" w:line="252" w:before="0" w:after="80"/>
        <w:jc w:val="both"/>
        <w:rPr/>
      </w:pPr>
      <w:r>
        <w:rPr>
          <w:b w:val="false"/>
          <w:i w:val="false"/>
          <w:color w:val="000000"/>
          <w:sz w:val="20"/>
        </w:rPr>
        <w:t xml:space="preserve">The target-match stratum is </w:t>
      </w:r>
      <w:r>
        <w:rPr>
          <w:b w:val="false"/>
          <w:i/>
          <w:color w:val="000000"/>
          <w:sz w:val="20"/>
        </w:rPr>
        <w:t>perfectly</w:t>
      </w:r>
      <w:r>
        <w:rPr>
          <w:b w:val="false"/>
          <w:i w:val="false"/>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pStyle w:val="Normal"/>
        <w:spacing w:lineRule="auto" w:line="252" w:before="240" w:after="100"/>
        <w:jc w:val="left"/>
        <w:rPr/>
      </w:pPr>
      <w:r>
        <w:rPr>
          <w:b/>
          <w:i w:val="false"/>
          <w:color w:val="000000"/>
          <w:sz w:val="22"/>
        </w:rPr>
        <w:t>VIII. A HARM TAXONOMY GENERALIZES ABOUT HALF</w:t>
      </w:r>
    </w:p>
    <w:p>
      <w:pPr>
        <w:pStyle w:val="Normal"/>
        <w:spacing w:lineRule="auto" w:line="252" w:before="0" w:after="120"/>
        <w:jc w:val="left"/>
        <w:rPr/>
      </w:pPr>
      <w:r>
        <w:rPr>
          <w:b w:val="false"/>
          <w:i/>
          <w:color w:val="444A53"/>
          <w:sz w:val="17"/>
        </w:rPr>
        <w:t>Artifacts: `results/severity/rescore.json`, `results/severity/rescore_holdout.json`.</w:t>
      </w:r>
    </w:p>
    <w:p>
      <w:pPr>
        <w:pStyle w:val="Normal"/>
        <w:spacing w:lineRule="auto" w:line="252" w:before="0" w:after="80"/>
        <w:jc w:val="both"/>
        <w:rPr/>
      </w:pPr>
      <w:r>
        <w:rPr>
          <w:b w:val="false"/>
          <w:i w:val="false"/>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pStyle w:val="Normal"/>
        <w:spacing w:lineRule="auto" w:line="252" w:before="0" w:after="80"/>
        <w:jc w:val="both"/>
        <w:rPr/>
      </w:pPr>
      <w:r>
        <w:rPr>
          <w:b w:val="false"/>
          <w:i w:val="false"/>
          <w:color w:val="000000"/>
          <w:sz w:val="20"/>
        </w:rPr>
        <w:t xml:space="preserve">The protocol was therefore fixed in advance. The candidate harm class, a verb–resource conjunction over capability misuse, was written and </w:t>
      </w:r>
      <w:r>
        <w:rPr>
          <w:b/>
          <w:i w:val="false"/>
          <w:color w:val="000000"/>
          <w:sz w:val="20"/>
        </w:rPr>
        <w:t>frozen at a named commit</w:t>
      </w:r>
      <w:r>
        <w:rPr>
          <w:b w:val="false"/>
          <w:i w:val="false"/>
          <w:color w:val="000000"/>
          <w:sz w:val="20"/>
        </w:rPr>
        <w:t xml:space="preserve">. A second external attack corpus — AgentDojo's attack side, stratified on the detector's own predicate — was imported and </w:t>
      </w:r>
      <w:r>
        <w:rPr>
          <w:b/>
          <w:i w:val="false"/>
          <w:color w:val="000000"/>
          <w:sz w:val="20"/>
        </w:rPr>
        <w:t>committed afterwards</w:t>
      </w:r>
      <w:r>
        <w:rPr>
          <w:b w:val="false"/>
          <w:i w:val="false"/>
          <w:color w:val="000000"/>
          <w:sz w:val="20"/>
        </w:rPr>
        <w:t xml:space="preserve"> as a holdout. Only then was the holdout scored. The freeze commit is recorded in the payload and asserted by a test, so the ordering is verifiable rather than asserted.</w:t>
      </w:r>
    </w:p>
    <w:p>
      <w:pPr>
        <w:pStyle w:val="Normal"/>
        <w:spacing w:lineRule="auto" w:line="252" w:before="160" w:after="60"/>
        <w:jc w:val="left"/>
        <w:rPr/>
      </w:pPr>
      <w:r>
        <w:rPr>
          <w:b/>
          <w:i/>
          <w:color w:val="000000"/>
          <w:sz w:val="20"/>
        </w:rPr>
        <w:t>A. Result</w:t>
      </w:r>
    </w:p>
    <w:tbl>
      <w:tblPr>
        <w:tblStyle w:val="TableGrid"/>
        <w:tblW w:w="935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66"/>
        <w:gridCol w:w="1589"/>
        <w:gridCol w:w="4237"/>
        <w:gridCol w:w="1766"/>
      </w:tblGrid>
      <w:tr>
        <w:trPr/>
        <w:tc>
          <w:tcPr>
            <w:tcW w:w="1766"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Arm</w:t>
            </w:r>
          </w:p>
        </w:tc>
        <w:tc>
          <w:tcPr>
            <w:tcW w:w="1589"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in-sample</w:t>
            </w:r>
          </w:p>
        </w:tc>
        <w:tc>
          <w:tcPr>
            <w:tcW w:w="4237"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holdout</w:t>
            </w:r>
          </w:p>
        </w:tc>
        <w:tc>
          <w:tcPr>
            <w:tcW w:w="1766"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benign FPR</w:t>
            </w:r>
          </w:p>
        </w:tc>
      </w:tr>
      <w:tr>
        <w:trPr/>
        <w:tc>
          <w:tcPr>
            <w:tcW w:w="176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baseline</w:t>
            </w:r>
          </w:p>
        </w:tc>
        <w:tc>
          <w:tcPr>
            <w:tcW w:w="15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13.3%</w:t>
            </w:r>
          </w:p>
        </w:tc>
        <w:tc>
          <w:tcPr>
            <w:tcW w:w="4237"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30.0%</w:t>
            </w:r>
          </w:p>
        </w:tc>
        <w:tc>
          <w:tcPr>
            <w:tcW w:w="176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3.3%</w:t>
            </w:r>
          </w:p>
        </w:tc>
      </w:tr>
      <w:tr>
        <w:trPr/>
        <w:tc>
          <w:tcPr>
            <w:tcW w:w="176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capability</w:t>
            </w:r>
          </w:p>
        </w:tc>
        <w:tc>
          <w:tcPr>
            <w:tcW w:w="15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90.0%</w:t>
            </w:r>
          </w:p>
        </w:tc>
        <w:tc>
          <w:tcPr>
            <w:tcW w:w="4237"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 xml:space="preserve">43.3% (4/0, </w:t>
            </w:r>
            <w:r>
              <w:rPr>
                <w:rFonts w:cs=""/>
                <w:b w:val="false"/>
                <w:i/>
                <w:color w:val="000000"/>
                <w:kern w:val="0"/>
                <w:sz w:val="17"/>
                <w:szCs w:val="22"/>
                <w:lang w:val="en-US" w:eastAsia="en-US" w:bidi="ar-SA"/>
              </w:rPr>
              <w:t>p</w:t>
            </w:r>
            <w:r>
              <w:rPr>
                <w:rFonts w:cs=""/>
                <w:b w:val="false"/>
                <w:i w:val="false"/>
                <w:color w:val="000000"/>
                <w:kern w:val="0"/>
                <w:sz w:val="17"/>
                <w:szCs w:val="22"/>
                <w:lang w:val="en-US" w:eastAsia="en-US" w:bidi="ar-SA"/>
              </w:rPr>
              <w:t xml:space="preserve"> = 0.125)</w:t>
            </w:r>
          </w:p>
        </w:tc>
        <w:tc>
          <w:tcPr>
            <w:tcW w:w="176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5.0%</w:t>
            </w:r>
          </w:p>
        </w:tc>
      </w:tr>
      <w:tr>
        <w:trPr/>
        <w:tc>
          <w:tcPr>
            <w:tcW w:w="176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schemeless</w:t>
            </w:r>
          </w:p>
        </w:tc>
        <w:tc>
          <w:tcPr>
            <w:tcW w:w="15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26.7%</w:t>
            </w:r>
          </w:p>
        </w:tc>
        <w:tc>
          <w:tcPr>
            <w:tcW w:w="4237"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36.7%</w:t>
            </w:r>
          </w:p>
        </w:tc>
        <w:tc>
          <w:tcPr>
            <w:tcW w:w="176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8.3%</w:t>
            </w:r>
          </w:p>
        </w:tc>
      </w:tr>
      <w:tr>
        <w:trPr/>
        <w:tc>
          <w:tcPr>
            <w:tcW w:w="1766"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both</w:t>
            </w:r>
          </w:p>
        </w:tc>
        <w:tc>
          <w:tcPr>
            <w:tcW w:w="15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90.0%</w:t>
            </w:r>
          </w:p>
        </w:tc>
        <w:tc>
          <w:tcPr>
            <w:tcW w:w="4237"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 xml:space="preserve">50.0% (6/0, </w:t>
            </w:r>
            <w:r>
              <w:rPr>
                <w:rFonts w:cs=""/>
                <w:b w:val="false"/>
                <w:i/>
                <w:color w:val="000000"/>
                <w:kern w:val="0"/>
                <w:sz w:val="17"/>
                <w:szCs w:val="22"/>
                <w:lang w:val="en-US" w:eastAsia="en-US" w:bidi="ar-SA"/>
              </w:rPr>
              <w:t>p</w:t>
            </w:r>
            <w:r>
              <w:rPr>
                <w:rFonts w:cs=""/>
                <w:b w:val="false"/>
                <w:i w:val="false"/>
                <w:color w:val="000000"/>
                <w:kern w:val="0"/>
                <w:sz w:val="17"/>
                <w:szCs w:val="22"/>
                <w:lang w:val="en-US" w:eastAsia="en-US" w:bidi="ar-SA"/>
              </w:rPr>
              <w:t xml:space="preserve"> = 0.031)</w:t>
            </w:r>
          </w:p>
        </w:tc>
        <w:tc>
          <w:tcPr>
            <w:tcW w:w="1766"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10.0%</w:t>
            </w:r>
          </w:p>
        </w:tc>
      </w:tr>
    </w:tbl>
    <w:p>
      <w:pPr>
        <w:pStyle w:val="Normal"/>
        <w:spacing w:lineRule="auto" w:line="252" w:before="0" w:after="160"/>
        <w:jc w:val="left"/>
        <w:rPr/>
      </w:pPr>
      <w:r>
        <w:rPr>
          <w:b/>
          <w:i w:val="false"/>
          <w:color w:val="444A53"/>
          <w:sz w:val="17"/>
        </w:rPr>
        <w:t>Table VIII.</w:t>
      </w:r>
      <w:r>
        <w:rPr>
          <w:b w:val="false"/>
          <w:i w:val="false"/>
          <w:color w:val="444A53"/>
          <w:sz w:val="17"/>
        </w:rPr>
        <w:t xml:space="preserve"> In-sample 90.0% [74.4%, 96.5%] against holdout 43.3% [27.4%, 60.8%]. The intervals do not overlap. The diagnosis survives; the effect size does not.</w:t>
      </w:r>
    </w:p>
    <w:p>
      <w:pPr>
        <w:pStyle w:val="Normal"/>
        <w:spacing w:before="160" w:after="60"/>
        <w:jc w:val="center"/>
        <w:rPr/>
      </w:pPr>
      <w:r>
        <w:rPr/>
        <w:drawing>
          <wp:inline distT="0" distB="0" distL="0" distR="0">
            <wp:extent cx="3844290" cy="28346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3844290" cy="2834640"/>
                    </a:xfrm>
                    <a:prstGeom prst="rect">
                      <a:avLst/>
                    </a:prstGeom>
                  </pic:spPr>
                </pic:pic>
              </a:graphicData>
            </a:graphic>
          </wp:inline>
        </w:drawing>
      </w:r>
    </w:p>
    <w:p>
      <w:pPr>
        <w:pStyle w:val="Normal"/>
        <w:spacing w:lineRule="auto" w:line="252" w:before="0" w:after="180"/>
        <w:ind w:left="0" w:hanging="0"/>
        <w:jc w:val="left"/>
        <w:rPr/>
      </w:pPr>
      <w:r>
        <w:rPr>
          <w:b/>
          <w:i w:val="false"/>
          <w:color w:val="444A53"/>
          <w:sz w:val="17"/>
        </w:rPr>
        <w:t>Fig. 4.</w:t>
      </w:r>
      <w:r>
        <w:rPr>
          <w:b w:val="false"/>
          <w:i w:val="false"/>
          <w:color w:val="444A53"/>
          <w:sz w:val="17"/>
        </w:rPr>
        <w:t xml:space="preserve"> Address-free detection for the capability lexicon, in-sample versus holdout. Error bars are Wilson 95% intervals and do not overlap.</w:t>
      </w:r>
    </w:p>
    <w:p>
      <w:pPr>
        <w:pStyle w:val="Normal"/>
        <w:spacing w:lineRule="auto" w:line="252" w:before="0" w:after="80"/>
        <w:jc w:val="both"/>
        <w:rPr/>
      </w:pPr>
      <w:r>
        <w:rPr>
          <w:b w:val="false"/>
          <w:i w:val="false"/>
          <w:color w:val="000000"/>
          <w:sz w:val="20"/>
        </w:rPr>
        <w:t xml:space="preserve">The in-sample figure overstated generalization by roughly 47 points, and the holdout gain is not statistically significant. A harm taxonomy assembled from one corpus's nouns is substantially </w:t>
      </w:r>
      <w:r>
        <w:rPr>
          <w:b/>
          <w:i w:val="false"/>
          <w:color w:val="000000"/>
          <w:sz w:val="20"/>
        </w:rPr>
        <w:t>that corpus's nouns</w:t>
      </w:r>
      <w:r>
        <w:rPr>
          <w:b w:val="false"/>
          <w:i w:val="false"/>
          <w:color w:val="000000"/>
          <w:sz w:val="20"/>
        </w:rPr>
        <w:t>. We report this as the section's finding, not as a disappointing detail attached to a fix.</w:t>
      </w:r>
    </w:p>
    <w:p>
      <w:pPr>
        <w:pStyle w:val="Normal"/>
        <w:spacing w:lineRule="auto" w:line="252" w:before="160" w:after="60"/>
        <w:jc w:val="left"/>
        <w:rPr/>
      </w:pPr>
      <w:r>
        <w:rPr>
          <w:b/>
          <w:i/>
          <w:color w:val="000000"/>
          <w:sz w:val="20"/>
        </w:rPr>
        <w:t>B. Where the remaining misses go</w:t>
      </w:r>
    </w:p>
    <w:p>
      <w:pPr>
        <w:pStyle w:val="Normal"/>
        <w:spacing w:lineRule="auto" w:line="252" w:before="0" w:after="80"/>
        <w:jc w:val="both"/>
        <w:rPr/>
      </w:pPr>
      <w:r>
        <w:rPr>
          <w:b w:val="false"/>
          <w:i w:val="false"/>
          <w:color w:val="000000"/>
          <w:sz w:val="20"/>
        </w:rPr>
        <w:t xml:space="preserve">Seventeen holdout misses decompose cleanly, and the decomposition is what makes the null informative. Ten are </w:t>
      </w:r>
      <w:r>
        <w:rPr>
          <w:b w:val="false"/>
          <w:i/>
          <w:color w:val="000000"/>
          <w:sz w:val="20"/>
        </w:rPr>
        <w:t>travel</w:t>
      </w:r>
      <w:r>
        <w:rPr>
          <w:b w:val="false"/>
          <w:i w:val="false"/>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pStyle w:val="Normal"/>
        <w:spacing w:lineRule="auto" w:line="252" w:before="160" w:after="60"/>
        <w:jc w:val="left"/>
        <w:rPr/>
      </w:pPr>
      <w:r>
        <w:rPr>
          <w:b/>
          <w:i/>
          <w:color w:val="000000"/>
          <w:sz w:val="20"/>
        </w:rPr>
        <w:t>C. A defect fixed and deliberately left switched off</w:t>
      </w:r>
    </w:p>
    <w:p>
      <w:pPr>
        <w:pStyle w:val="Normal"/>
        <w:spacing w:lineRule="auto" w:line="252" w:before="0" w:after="80"/>
        <w:jc w:val="both"/>
        <w:rPr/>
      </w:pPr>
      <w:r>
        <w:rPr>
          <w:b w:val="false"/>
          <w:i w:val="false"/>
          <w:color w:val="000000"/>
          <w:sz w:val="20"/>
        </w:rPr>
        <w:t xml:space="preserve">Target extraction matched </w:t>
      </w:r>
      <w:r>
        <w:rPr>
          <w:rFonts w:ascii="Consolas" w:hAnsi="Consolas"/>
          <w:b w:val="false"/>
          <w:i w:val="false"/>
          <w:color w:val="000000"/>
          <w:sz w:val="19"/>
        </w:rPr>
        <w:t>https?://</w:t>
      </w:r>
      <w:r>
        <w:rPr>
          <w:b w:val="false"/>
          <w:i w:val="false"/>
          <w:color w:val="000000"/>
          <w:sz w:val="20"/>
        </w:rPr>
        <w:t xml:space="preserve"> only, so a bare host in body text concealed an attacker-controlled destination in plain sight. The fix buys </w:t>
      </w:r>
      <w:r>
        <w:rPr>
          <w:b/>
          <w:i w:val="false"/>
          <w:color w:val="000000"/>
          <w:sz w:val="20"/>
        </w:rPr>
        <w:t>2 detections for 3 false positives</w:t>
      </w:r>
      <w:r>
        <w:rPr>
          <w:b w:val="false"/>
          <w:i w:val="false"/>
          <w:color w:val="000000"/>
          <w:sz w:val="20"/>
        </w:rPr>
        <w:t xml:space="preserve">, and all three false positives are benign workplace chat containing a bare host — which is also the benchmark's own phishing </w:t>
      </w:r>
      <w:r>
        <w:rPr>
          <w:b w:val="false"/>
          <w:i/>
          <w:color w:val="000000"/>
          <w:sz w:val="20"/>
        </w:rPr>
        <w:t>attack</w:t>
      </w:r>
      <w:r>
        <w:rPr>
          <w:b w:val="false"/>
          <w:i w:val="false"/>
          <w:color w:val="000000"/>
          <w:sz w:val="20"/>
        </w:rPr>
        <w:t xml:space="preserve">. At the level this detector observes, the benign case and the attack are the same sentence. We ship the fix behind a flag defaulting to off, and report it as a </w:t>
      </w:r>
      <w:r>
        <w:rPr>
          <w:b/>
          <w:i w:val="false"/>
          <w:color w:val="000000"/>
          <w:sz w:val="20"/>
        </w:rPr>
        <w:t>boundary rather than a tuning problem</w:t>
      </w:r>
      <w:r>
        <w:rPr>
          <w:b w:val="false"/>
          <w:i w:val="false"/>
          <w:color w:val="000000"/>
          <w:sz w:val="20"/>
        </w:rPr>
        <w:t>.</w:t>
      </w:r>
    </w:p>
    <w:p>
      <w:pPr>
        <w:pStyle w:val="Normal"/>
        <w:spacing w:lineRule="auto" w:line="252" w:before="160" w:after="60"/>
        <w:jc w:val="left"/>
        <w:rPr/>
      </w:pPr>
      <w:r>
        <w:rPr>
          <w:b/>
          <w:i/>
          <w:color w:val="000000"/>
          <w:sz w:val="20"/>
        </w:rPr>
        <w:t>D. The measurement has a floor its own size</w:t>
      </w:r>
    </w:p>
    <w:p>
      <w:pPr>
        <w:pStyle w:val="Normal"/>
        <w:spacing w:lineRule="auto" w:line="252" w:before="0" w:after="80"/>
        <w:jc w:val="both"/>
        <w:rPr/>
      </w:pPr>
      <w:r>
        <w:rPr>
          <w:b w:val="false"/>
          <w:i w:val="false"/>
          <w:color w:val="000000"/>
          <w:sz w:val="20"/>
        </w:rPr>
        <w:t xml:space="preserve">Three independent recordings of the same 60 benign documents give three identical rates: 2/60 = 3.3% each time. </w:t>
      </w:r>
      <w:r>
        <w:rPr>
          <w:b/>
          <w:i w:val="false"/>
          <w:color w:val="000000"/>
          <w:sz w:val="20"/>
        </w:rPr>
        <w:t>The count does not move; the membership does.</w:t>
      </w:r>
      <w:r>
        <w:rPr>
          <w:b w:val="false"/>
          <w:i w:val="false"/>
          <w:color w:val="000000"/>
          <w:sz w:val="20"/>
        </w:rPr>
        <w:t xml:space="preserve"> Per-document stability across the three runs is 1 always, 57 never, 2 unstable — one stable false positive plus exactly one of two borderline documents firing per run.</w:t>
      </w:r>
    </w:p>
    <w:p>
      <w:pPr>
        <w:pStyle w:val="Normal"/>
        <w:spacing w:lineRule="auto" w:line="252" w:before="80" w:after="120"/>
        <w:ind w:left="504" w:hanging="0"/>
        <w:jc w:val="left"/>
        <w:rPr/>
      </w:pPr>
      <w:r>
        <w:rPr>
          <w:b/>
          <w:i/>
          <w:color w:val="000000"/>
          <w:sz w:val="20"/>
        </w:rPr>
        <w:t>The FPR reproduces as a rate; the set of documents producing it does not.</w:t>
      </w:r>
    </w:p>
    <w:p>
      <w:pPr>
        <w:pStyle w:val="Normal"/>
        <w:spacing w:lineRule="auto" w:line="252" w:before="0" w:after="80"/>
        <w:jc w:val="both"/>
        <w:rPr/>
      </w:pPr>
      <w:r>
        <w:rPr>
          <w:b w:val="false"/>
          <w:i w:val="false"/>
          <w:color w:val="000000"/>
          <w:sz w:val="20"/>
        </w:rPr>
        <w:t xml:space="preserve">A claim of the form "this configuration adds one false positive" is therefore not supported by a single run, because it may be reporting churn in the borderline pool. This bounds Table VIII directly: the capability arm's apparent FPR cost is one case in 60, precisely the magnitude that churns, so the defensible statement is </w:t>
      </w:r>
      <w:r>
        <w:rPr>
          <w:b/>
          <w:i w:val="false"/>
          <w:color w:val="000000"/>
          <w:sz w:val="20"/>
        </w:rPr>
        <w:t>no measurable FPR change</w:t>
      </w:r>
      <w:r>
        <w:rPr>
          <w:b w:val="false"/>
          <w:i w:val="false"/>
          <w:color w:val="000000"/>
          <w:sz w:val="20"/>
        </w:rPr>
        <w:t>, not "+1.7 points".</w:t>
      </w:r>
    </w:p>
    <w:p>
      <w:pPr>
        <w:pStyle w:val="Normal"/>
        <w:spacing w:lineRule="auto" w:line="252" w:before="240" w:after="100"/>
        <w:jc w:val="left"/>
        <w:rPr/>
      </w:pPr>
      <w:r>
        <w:rPr>
          <w:b/>
          <w:i w:val="false"/>
          <w:color w:val="000000"/>
          <w:sz w:val="22"/>
        </w:rPr>
        <w:t>IX. THE ADAPTIVE LAYER AND THE TEMPORAL-DRIFT RULE</w:t>
      </w:r>
    </w:p>
    <w:p>
      <w:pPr>
        <w:pStyle w:val="Normal"/>
        <w:spacing w:lineRule="auto" w:line="252" w:before="0" w:after="120"/>
        <w:jc w:val="left"/>
        <w:rPr/>
      </w:pPr>
      <w:r>
        <w:rPr>
          <w:b w:val="false"/>
          <w:i/>
          <w:color w:val="444A53"/>
          <w:sz w:val="17"/>
        </w:rPr>
        <w:t>Artifacts: `results/phase15/multiturn_r1.json`, `multiturn_r2.json`.</w:t>
      </w:r>
    </w:p>
    <w:p>
      <w:pPr>
        <w:pStyle w:val="Normal"/>
        <w:spacing w:lineRule="auto" w:line="252" w:before="0" w:after="80"/>
        <w:jc w:val="both"/>
        <w:rPr/>
      </w:pPr>
      <w:r>
        <w:rPr>
          <w:b w:val="false"/>
          <w:i w:val="false"/>
          <w:color w:val="000000"/>
          <w:sz w:val="20"/>
        </w:rPr>
        <w:t>The adaptive component observes detection failures and proposes configuration changes for human approval. This section reports what it does, and the answer has three parts that must be read together.</w:t>
      </w:r>
    </w:p>
    <w:p>
      <w:pPr>
        <w:pStyle w:val="Normal"/>
        <w:spacing w:lineRule="auto" w:line="252" w:before="160" w:after="60"/>
        <w:jc w:val="left"/>
        <w:rPr/>
      </w:pPr>
      <w:r>
        <w:rPr>
          <w:b/>
          <w:i/>
          <w:color w:val="000000"/>
          <w:sz w:val="20"/>
        </w:rPr>
        <w:t>A. The loop closes a constructed gap, and the fix generalizes</w:t>
      </w:r>
    </w:p>
    <w:p>
      <w:pPr>
        <w:pStyle w:val="Normal"/>
        <w:spacing w:lineRule="auto" w:line="252" w:before="0" w:after="80"/>
        <w:jc w:val="both"/>
        <w:rPr/>
      </w:pPr>
      <w:r>
        <w:rPr>
          <w:b w:val="false"/>
          <w:i w:val="false"/>
          <w:color w:val="000000"/>
          <w:sz w:val="20"/>
        </w:rPr>
        <w:t xml:space="preserve">Given an injection missed because one threshold sits too high, the component observes the miss, proposes a threshold change carrying no memorized literal, applies it, and the attack is then caught. Critically, a </w:t>
      </w:r>
      <w:r>
        <w:rPr>
          <w:b/>
          <w:i w:val="false"/>
          <w:color w:val="000000"/>
          <w:sz w:val="20"/>
        </w:rPr>
        <w:t>held-out attacker address the component never saw</w:t>
      </w:r>
      <w:r>
        <w:rPr>
          <w:b w:val="false"/>
          <w:i w:val="false"/>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pStyle w:val="Normal"/>
        <w:spacing w:lineRule="auto" w:line="252" w:before="160" w:after="60"/>
        <w:jc w:val="left"/>
        <w:rPr/>
      </w:pPr>
      <w:r>
        <w:rPr>
          <w:b/>
          <w:i/>
          <w:color w:val="000000"/>
          <w:sz w:val="20"/>
        </w:rPr>
        <w:t>B. It proposes nothing on every natural corpus</w:t>
      </w:r>
    </w:p>
    <w:p>
      <w:pPr>
        <w:pStyle w:val="Normal"/>
        <w:spacing w:lineRule="auto" w:line="252" w:before="0" w:after="80"/>
        <w:jc w:val="both"/>
        <w:rPr/>
      </w:pPr>
      <w:r>
        <w:rPr>
          <w:b w:val="false"/>
          <w:i w:val="false"/>
          <w:color w:val="000000"/>
          <w:sz w:val="20"/>
        </w:rPr>
        <w:t xml:space="preserve">Across an expanded campaign of 118 labeled episodes, replaying the reward across the entire threshold grid catches </w:t>
      </w:r>
      <w:r>
        <w:rPr>
          <w:b/>
          <w:i w:val="false"/>
          <w:color w:val="000000"/>
          <w:sz w:val="20"/>
        </w:rPr>
        <w:t>zero</w:t>
      </w:r>
      <w:r>
        <w:rPr>
          <w:b w:val="false"/>
          <w:i w:val="false"/>
          <w:color w:val="000000"/>
          <w:sz w:val="20"/>
        </w:rPr>
        <w:t xml:space="preserve"> additional attacks. The residual misses all score 0 on the masked probe, which is below both detection rules simultaneously and therefore </w:t>
      </w:r>
      <w:r>
        <w:rPr>
          <w:b/>
          <w:i w:val="false"/>
          <w:color w:val="000000"/>
          <w:sz w:val="20"/>
        </w:rPr>
        <w:t>unreachable by the threshold the component controls</w:t>
      </w:r>
      <w:r>
        <w:rPr>
          <w:b w:val="false"/>
          <w:i w:val="false"/>
          <w:color w:val="000000"/>
          <w:sz w:val="20"/>
        </w:rPr>
        <w:t>. An independent benchmark agrees: all of its residual attack successes are the address-free vector, none a threshold failure. The component correctly proposes a no-op, and we report the no-op as the result.</w:t>
      </w:r>
    </w:p>
    <w:p>
      <w:pPr>
        <w:pStyle w:val="Normal"/>
        <w:spacing w:lineRule="auto" w:line="252" w:before="160" w:after="60"/>
        <w:jc w:val="left"/>
        <w:rPr/>
      </w:pPr>
      <w:r>
        <w:rPr>
          <w:b/>
          <w:i/>
          <w:color w:val="000000"/>
          <w:sz w:val="20"/>
        </w:rPr>
        <w:t>C. The temporal rule: two pre-registered attempts</w:t>
      </w:r>
    </w:p>
    <w:p>
      <w:pPr>
        <w:pStyle w:val="Normal"/>
        <w:spacing w:lineRule="auto" w:line="252" w:before="0" w:after="80"/>
        <w:jc w:val="both"/>
        <w:rPr/>
      </w:pPr>
      <w:r>
        <w:rPr>
          <w:b w:val="false"/>
          <w:i w:val="false"/>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b w:val="false"/>
          <w:i/>
          <w:color w:val="000000"/>
          <w:sz w:val="20"/>
        </w:rPr>
        <w:t>unidentifiable</w:t>
      </w:r>
      <w:r>
        <w:rPr>
          <w:b w:val="false"/>
          <w:i w:val="false"/>
          <w:color w:val="000000"/>
          <w:sz w:val="20"/>
        </w:rPr>
        <w:t>.</w:t>
      </w:r>
    </w:p>
    <w:p>
      <w:pPr>
        <w:pStyle w:val="Normal"/>
        <w:spacing w:lineRule="auto" w:line="252" w:before="0" w:after="80"/>
        <w:jc w:val="both"/>
        <w:rPr/>
      </w:pPr>
      <w:r>
        <w:rPr>
          <w:b w:val="false"/>
          <w:i w:val="false"/>
          <w:color w:val="000000"/>
          <w:sz w:val="20"/>
        </w:rPr>
        <w:t xml:space="preserve">We built the first multi-turn cohort that could exercise it: five three-turn conversations sharing a session, with the success criterion, the target severity trajectories, and the guard </w:t>
      </w:r>
      <w:r>
        <w:rPr>
          <w:b/>
          <w:i w:val="false"/>
          <w:color w:val="000000"/>
          <w:sz w:val="20"/>
        </w:rPr>
        <w:t>registered and committed before the run</w:t>
      </w:r>
      <w:r>
        <w:rPr>
          <w:b w:val="false"/>
          <w:i w:val="false"/>
          <w:color w:val="000000"/>
          <w:sz w:val="20"/>
        </w:rPr>
        <w:t>.</w:t>
      </w:r>
    </w:p>
    <w:p>
      <w:pPr>
        <w:pStyle w:val="Normal"/>
        <w:spacing w:lineRule="auto" w:line="252" w:before="0" w:after="80"/>
        <w:jc w:val="both"/>
        <w:rPr/>
      </w:pPr>
      <w:r>
        <w:rPr>
          <w:b/>
          <w:i w:val="false"/>
          <w:color w:val="000000"/>
          <w:sz w:val="20"/>
        </w:rPr>
        <w:t>Result: no drift-only detection, in either of two runs.</w:t>
      </w:r>
      <w:r>
        <w:rPr>
          <w:b w:val="false"/>
          <w:i w:val="false"/>
          <w:color w:val="000000"/>
          <w:sz w:val="20"/>
        </w:rPr>
        <w:t xml:space="preserve"> After the first null we diagnosed three content defects, repaired them under a second pre-registration that records having been written </w:t>
      </w:r>
      <w:r>
        <w:rPr>
          <w:b w:val="false"/>
          <w:i/>
          <w:color w:val="000000"/>
          <w:sz w:val="20"/>
        </w:rPr>
        <w:t>after</w:t>
      </w:r>
      <w:r>
        <w:rPr>
          <w:b w:val="false"/>
          <w:i w:val="false"/>
          <w:color w:val="000000"/>
          <w:sz w:val="20"/>
        </w:rPr>
        <w:t xml:space="preserve"> seeing the first run's trajectories, and re-ran. The repair demonstrably worked where it was diagnosed, and the primary criterion was still not met.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882"/>
        <w:gridCol w:w="3477"/>
      </w:tblGrid>
      <w:tr>
        <w:trPr/>
        <w:tc>
          <w:tcPr>
            <w:tcW w:w="5882"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Across 30 scored turns</w:t>
            </w:r>
          </w:p>
        </w:tc>
        <w:tc>
          <w:tcPr>
            <w:tcW w:w="3477"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count</w:t>
            </w:r>
          </w:p>
        </w:tc>
      </w:tr>
      <w:tr>
        <w:trPr/>
        <w:tc>
          <w:tcPr>
            <w:tcW w:w="5882" w:type="dxa"/>
            <w:tcBorders/>
          </w:tcPr>
          <w:p>
            <w:pPr>
              <w:pStyle w:val="Normal"/>
              <w:widowControl/>
              <w:spacing w:lineRule="auto" w:line="240" w:before="20" w:after="20"/>
              <w:jc w:val="left"/>
              <w:rPr>
                <w:rFonts w:cs=""/>
                <w:kern w:val="0"/>
                <w:szCs w:val="22"/>
                <w:lang w:val="en-US" w:eastAsia="en-US" w:bidi="ar-SA"/>
              </w:rPr>
            </w:pPr>
            <w:r>
              <w:rPr>
                <w:rFonts w:cs="" w:ascii="Consolas" w:hAnsi="Consolas"/>
                <w:b w:val="false"/>
                <w:i w:val="false"/>
                <w:color w:val="000000"/>
                <w:kern w:val="0"/>
                <w:sz w:val="16"/>
                <w:szCs w:val="22"/>
                <w:lang w:val="en-US" w:eastAsia="en-US" w:bidi="ar-SA"/>
              </w:rPr>
              <w:t>orig</w:t>
            </w:r>
            <w:r>
              <w:rPr>
                <w:rFonts w:cs=""/>
                <w:b w:val="false"/>
                <w:i w:val="false"/>
                <w:color w:val="000000"/>
                <w:kern w:val="0"/>
                <w:sz w:val="17"/>
                <w:szCs w:val="22"/>
                <w:lang w:val="en-US" w:eastAsia="en-US" w:bidi="ar-SA"/>
              </w:rPr>
              <w:t xml:space="preserve"> equals </w:t>
            </w:r>
            <w:r>
              <w:rPr>
                <w:rFonts w:cs="" w:ascii="Consolas" w:hAnsi="Consolas"/>
                <w:b w:val="false"/>
                <w:i w:val="false"/>
                <w:color w:val="000000"/>
                <w:kern w:val="0"/>
                <w:sz w:val="16"/>
                <w:szCs w:val="22"/>
                <w:lang w:val="en-US" w:eastAsia="en-US" w:bidi="ar-SA"/>
              </w:rPr>
              <w:t>masked</w:t>
            </w:r>
          </w:p>
        </w:tc>
        <w:tc>
          <w:tcPr>
            <w:tcW w:w="3477"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24 / 30 (80%)</w:t>
            </w:r>
          </w:p>
        </w:tc>
      </w:tr>
      <w:tr>
        <w:trPr/>
        <w:tc>
          <w:tcPr>
            <w:tcW w:w="5882"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ACE = 0</w:t>
            </w:r>
          </w:p>
        </w:tc>
        <w:tc>
          <w:tcPr>
            <w:tcW w:w="3477"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24 / 30 (80%)</w:t>
            </w:r>
          </w:p>
        </w:tc>
      </w:tr>
      <w:tr>
        <w:trPr/>
        <w:tc>
          <w:tcPr>
            <w:tcW w:w="5882"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IE = 0</w:t>
            </w:r>
          </w:p>
        </w:tc>
        <w:tc>
          <w:tcPr>
            <w:tcW w:w="3477"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29 / 30 (97%)</w:t>
            </w:r>
          </w:p>
        </w:tc>
      </w:tr>
    </w:tbl>
    <w:p>
      <w:pPr>
        <w:pStyle w:val="Normal"/>
        <w:spacing w:lineRule="auto" w:line="252" w:before="0" w:after="160"/>
        <w:jc w:val="left"/>
        <w:rPr/>
      </w:pPr>
      <w:r>
        <w:rPr>
          <w:b/>
          <w:i w:val="false"/>
          <w:color w:val="444A53"/>
          <w:sz w:val="17"/>
        </w:rPr>
        <w:t>Table IX.</w:t>
      </w:r>
      <w:r>
        <w:rPr>
          <w:b w:val="false"/>
          <w:i w:val="false"/>
          <w:color w:val="444A53"/>
          <w:sz w:val="17"/>
        </w:rPr>
        <w:t xml:space="preserve"> The causal contrast across both pre-registered runs.</w:t>
      </w:r>
    </w:p>
    <w:p>
      <w:pPr>
        <w:pStyle w:val="Normal"/>
        <w:spacing w:before="160" w:after="60"/>
        <w:jc w:val="center"/>
        <w:rPr/>
      </w:pPr>
      <w:r>
        <w:rPr/>
        <w:drawing>
          <wp:inline distT="0" distB="0" distL="0" distR="0">
            <wp:extent cx="2712720" cy="283464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2712720" cy="2834640"/>
                    </a:xfrm>
                    <a:prstGeom prst="rect">
                      <a:avLst/>
                    </a:prstGeom>
                  </pic:spPr>
                </pic:pic>
              </a:graphicData>
            </a:graphic>
          </wp:inline>
        </w:drawing>
      </w:r>
    </w:p>
    <w:p>
      <w:pPr>
        <w:pStyle w:val="Normal"/>
        <w:spacing w:lineRule="auto" w:line="252" w:before="0" w:after="180"/>
        <w:ind w:left="0" w:hanging="0"/>
        <w:jc w:val="left"/>
        <w:rPr/>
      </w:pPr>
      <w:r>
        <w:rPr>
          <w:b/>
          <w:i w:val="false"/>
          <w:color w:val="444A53"/>
          <w:sz w:val="17"/>
        </w:rPr>
        <w:t>Fig. 5.</w:t>
      </w:r>
      <w:r>
        <w:rPr>
          <w:b w:val="false"/>
          <w:i w:val="false"/>
          <w:color w:val="444A53"/>
          <w:sz w:val="17"/>
        </w:rPr>
        <w:t xml:space="preserve"> Unmasked against masked severity for every scored turn of both runs. Points on the diagonal have zero causal contrast; 24 of 30 turns lie there, malicious and benign alike.</w:t>
      </w:r>
    </w:p>
    <w:p>
      <w:pPr>
        <w:pStyle w:val="Normal"/>
        <w:spacing w:lineRule="auto" w:line="252" w:before="0" w:after="80"/>
        <w:jc w:val="both"/>
        <w:rPr/>
      </w:pPr>
      <w:r>
        <w:rPr>
          <w:b w:val="false"/>
          <w:i w:val="false"/>
          <w:color w:val="000000"/>
          <w:sz w:val="20"/>
        </w:rPr>
        <w:t xml:space="preserve">The drift score is a weighted sum of a falling ACE and a rising IE. </w:t>
      </w:r>
      <w:r>
        <w:rPr>
          <w:b/>
          <w:i w:val="false"/>
          <w:color w:val="000000"/>
          <w:sz w:val="20"/>
        </w:rPr>
        <w:t>With both quantities zero almost everywhere, the score is zero for any threshold, on any content, however the conversation escalates.</w:t>
      </w:r>
      <w:r>
        <w:rPr>
          <w:b w:val="false"/>
          <w:i w:val="false"/>
          <w:color w:val="000000"/>
          <w:sz w:val="20"/>
        </w:rPr>
        <w:t xml:space="preserve"> The masked and unmasked probes </w:t>
      </w:r>
      <w:r>
        <w:rPr>
          <w:b w:val="false"/>
          <w:i/>
          <w:color w:val="000000"/>
          <w:sz w:val="20"/>
        </w:rPr>
        <w:t>agree with each other</w:t>
      </w:r>
      <w:r>
        <w:rPr>
          <w:b w:val="false"/>
          <w:i w:val="false"/>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pStyle w:val="Normal"/>
        <w:spacing w:lineRule="auto" w:line="252" w:before="0" w:after="80"/>
        <w:jc w:val="both"/>
        <w:rPr/>
      </w:pPr>
      <w:r>
        <w:rPr>
          <w:b w:val="false"/>
          <w:i w:val="false"/>
          <w:color w:val="000000"/>
          <w:sz w:val="20"/>
        </w:rPr>
        <w:t>We stopped after two attempts, as pre-registered, because a third would have been indistinguishable from tuning a corpus until it fired.</w:t>
      </w:r>
    </w:p>
    <w:p>
      <w:pPr>
        <w:pStyle w:val="Normal"/>
        <w:spacing w:lineRule="auto" w:line="252" w:before="240" w:after="100"/>
        <w:jc w:val="left"/>
        <w:rPr/>
      </w:pPr>
      <w:r>
        <w:rPr>
          <w:b/>
          <w:i w:val="false"/>
          <w:color w:val="000000"/>
          <w:sz w:val="22"/>
        </w:rPr>
        <w:t>X. NEGATIVE RESULTS AND THE CASE FOR A HUMAN GATE</w:t>
      </w:r>
    </w:p>
    <w:p>
      <w:pPr>
        <w:pStyle w:val="Normal"/>
        <w:spacing w:lineRule="auto" w:line="252" w:before="0" w:after="80"/>
        <w:jc w:val="both"/>
        <w:rPr/>
      </w:pPr>
      <w:r>
        <w:rPr>
          <w:b w:val="false"/>
          <w:i w:val="false"/>
          <w:color w:val="000000"/>
          <w:sz w:val="20"/>
        </w:rPr>
        <w:t>Three results about adaptive security configuration are reported here because each is invisible from inside the component that produced it.</w:t>
      </w:r>
    </w:p>
    <w:p>
      <w:pPr>
        <w:pStyle w:val="Normal"/>
        <w:spacing w:lineRule="auto" w:line="252" w:before="0" w:after="80"/>
        <w:jc w:val="both"/>
        <w:rPr/>
      </w:pPr>
      <w:r>
        <w:rPr>
          <w:b/>
          <w:i w:val="false"/>
          <w:color w:val="000000"/>
          <w:sz w:val="20"/>
        </w:rPr>
        <w:t>1) A learned policy proposed a change its own reward scored lower.</w:t>
      </w:r>
      <w:r>
        <w:rPr>
          <w:b w:val="false"/>
          <w:i w:val="false"/>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b/>
          <w:i w:val="false"/>
          <w:color w:val="000000"/>
          <w:sz w:val="20"/>
        </w:rPr>
        <w:t>a learned policy's argmax is not a guarantee about the objective.</w:t>
      </w:r>
    </w:p>
    <w:p>
      <w:pPr>
        <w:pStyle w:val="Normal"/>
        <w:spacing w:lineRule="auto" w:line="252" w:before="0" w:after="80"/>
        <w:jc w:val="both"/>
        <w:rPr/>
      </w:pPr>
      <w:r>
        <w:rPr>
          <w:b/>
          <w:i w:val="false"/>
          <w:color w:val="000000"/>
          <w:sz w:val="20"/>
        </w:rPr>
        <w:t>2) The only gain the trainer ever found was an artifact of our own benign corpus.</w:t>
      </w:r>
      <w:r>
        <w:rPr>
          <w:b w:val="false"/>
          <w:i w:val="false"/>
          <w:color w:val="000000"/>
          <w:sz w:val="20"/>
        </w:rPr>
        <w:t xml:space="preserve"> A configuration improving reward from +0.8688 to +0.9046 was verified and minimised over 128 episodes. Evaluated against externally-authored benign documents, the same action produces </w:t>
      </w:r>
      <w:r>
        <w:rPr>
          <w:b/>
          <w:i w:val="false"/>
          <w:color w:val="000000"/>
          <w:sz w:val="20"/>
        </w:rPr>
        <w:t>36 false positives out of 68</w:t>
      </w:r>
      <w:r>
        <w:rPr>
          <w:b w:val="false"/>
          <w:i w:val="false"/>
          <w:color w:val="000000"/>
          <w:sz w:val="20"/>
        </w:rPr>
        <w:t xml:space="preserve">: the learned marker fires on 30 of 60 external benign documents and 0 of 8 of ours. Every trainer safeguard worked correctly and none could see outside the corpus. </w:t>
      </w:r>
      <w:r>
        <w:rPr>
          <w:b/>
          <w:i w:val="false"/>
          <w:color w:val="000000"/>
          <w:sz w:val="20"/>
        </w:rPr>
        <w:t>Safeguards internal to an optimizer cannot detect that the objective is measured on the wrong distribution.</w:t>
      </w:r>
    </w:p>
    <w:p>
      <w:pPr>
        <w:pStyle w:val="Normal"/>
        <w:spacing w:lineRule="auto" w:line="252" w:before="0" w:after="80"/>
        <w:jc w:val="both"/>
        <w:rPr/>
      </w:pPr>
      <w:r>
        <w:rPr>
          <w:b/>
          <w:i w:val="false"/>
          <w:color w:val="000000"/>
          <w:sz w:val="20"/>
        </w:rPr>
        <w:t>3) The adaptive layer's honest output is a no-op, and the reason is quantified</w:t>
      </w:r>
      <w:r>
        <w:rPr>
          <w:b w:val="false"/>
          <w:i w:val="false"/>
          <w:color w:val="000000"/>
          <w:sz w:val="20"/>
        </w:rPr>
        <w:t xml:space="preserve"> (§IX).</w:t>
      </w:r>
    </w:p>
    <w:p>
      <w:pPr>
        <w:pStyle w:val="Normal"/>
        <w:spacing w:lineRule="auto" w:line="252" w:before="0" w:after="80"/>
        <w:jc w:val="both"/>
        <w:rPr/>
      </w:pPr>
      <w:r>
        <w:rPr>
          <w:b w:val="false"/>
          <w:i w:val="false"/>
          <w:color w:val="000000"/>
          <w:sz w:val="20"/>
        </w:rPr>
        <w:t xml:space="preserve">Each failure is invisible from inside the component that produced it, and in all three cases every internal check passed. That is the empirical argument for </w:t>
      </w:r>
      <w:r>
        <w:rPr>
          <w:b/>
          <w:i w:val="false"/>
          <w:color w:val="000000"/>
          <w:sz w:val="20"/>
        </w:rPr>
        <w:t>a human gate that recomputes evidence rather than trusting a proposal.</w:t>
      </w:r>
      <w:r>
        <w:rPr>
          <w:b w:val="false"/>
          <w:i w:val="false"/>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pStyle w:val="Normal"/>
        <w:spacing w:lineRule="auto" w:line="252" w:before="0" w:after="80"/>
        <w:jc w:val="both"/>
        <w:rPr/>
      </w:pPr>
      <w:r>
        <w:rPr>
          <w:b w:val="false"/>
          <w:i w:val="false"/>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pStyle w:val="Normal"/>
        <w:spacing w:lineRule="auto" w:line="252" w:before="240" w:after="100"/>
        <w:jc w:val="left"/>
        <w:rPr/>
      </w:pPr>
      <w:r>
        <w:rPr>
          <w:b/>
          <w:i w:val="false"/>
          <w:color w:val="000000"/>
          <w:sz w:val="22"/>
        </w:rPr>
        <w:t>XI. POSITIONING AGAINST PUBLISHED RESULTS</w:t>
      </w:r>
    </w:p>
    <w:p>
      <w:pPr>
        <w:pStyle w:val="Normal"/>
        <w:spacing w:lineRule="auto" w:line="252" w:before="0" w:after="80"/>
        <w:jc w:val="both"/>
        <w:rPr/>
      </w:pPr>
      <w:r>
        <w:rPr>
          <w:b w:val="false"/>
          <w:i w:val="false"/>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03"/>
        <w:gridCol w:w="2608"/>
        <w:gridCol w:w="2149"/>
      </w:tblGrid>
      <w:tr>
        <w:trPr/>
        <w:tc>
          <w:tcPr>
            <w:tcW w:w="4603"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System</w:t>
            </w:r>
          </w:p>
        </w:tc>
        <w:tc>
          <w:tcPr>
            <w:tcW w:w="2608"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Setting</w:t>
            </w:r>
          </w:p>
        </w:tc>
        <w:tc>
          <w:tcPr>
            <w:tcW w:w="2149"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ASR</w:t>
            </w:r>
          </w:p>
        </w:tc>
      </w:tr>
      <w:tr>
        <w:trPr/>
        <w:tc>
          <w:tcPr>
            <w:tcW w:w="4603"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This work, undefended</w:t>
            </w:r>
          </w:p>
        </w:tc>
        <w:tc>
          <w:tcPr>
            <w:tcW w:w="260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3–4B local models</w:t>
            </w:r>
          </w:p>
        </w:tc>
        <w:tc>
          <w:tcPr>
            <w:tcW w:w="214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100.0% (60/60)</w:t>
            </w:r>
          </w:p>
        </w:tc>
      </w:tr>
      <w:tr>
        <w:trPr/>
        <w:tc>
          <w:tcPr>
            <w:tcW w:w="4603"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This work, static rules only</w:t>
            </w:r>
          </w:p>
        </w:tc>
        <w:tc>
          <w:tcPr>
            <w:tcW w:w="260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same</w:t>
            </w:r>
          </w:p>
        </w:tc>
        <w:tc>
          <w:tcPr>
            <w:tcW w:w="2149"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100.0% (60/60)</w:t>
            </w:r>
          </w:p>
        </w:tc>
      </w:tr>
      <w:tr>
        <w:trPr/>
        <w:tc>
          <w:tcPr>
            <w:tcW w:w="4603"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ReAct-prompted Llama2-70B [1]</w:t>
            </w:r>
          </w:p>
        </w:tc>
        <w:tc>
          <w:tcPr>
            <w:tcW w:w="260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base and enhanced</w:t>
            </w:r>
          </w:p>
        </w:tc>
        <w:tc>
          <w:tcPr>
            <w:tcW w:w="214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&gt;80%</w:t>
            </w:r>
          </w:p>
        </w:tc>
      </w:tr>
      <w:tr>
        <w:trPr/>
        <w:tc>
          <w:tcPr>
            <w:tcW w:w="4603"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ReAct-prompted GPT-4 [1]</w:t>
            </w:r>
          </w:p>
        </w:tc>
        <w:tc>
          <w:tcPr>
            <w:tcW w:w="260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enhanced</w:t>
            </w:r>
          </w:p>
        </w:tc>
        <w:tc>
          <w:tcPr>
            <w:tcW w:w="214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47%</w:t>
            </w:r>
          </w:p>
        </w:tc>
      </w:tr>
      <w:tr>
        <w:trPr/>
        <w:tc>
          <w:tcPr>
            <w:tcW w:w="4603"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ReAct-prompted GPT-4 [1]</w:t>
            </w:r>
          </w:p>
        </w:tc>
        <w:tc>
          <w:tcPr>
            <w:tcW w:w="260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base</w:t>
            </w:r>
          </w:p>
        </w:tc>
        <w:tc>
          <w:tcPr>
            <w:tcW w:w="214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24%</w:t>
            </w:r>
          </w:p>
        </w:tc>
      </w:tr>
      <w:tr>
        <w:trPr/>
        <w:tc>
          <w:tcPr>
            <w:tcW w:w="4603"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Fine-tuned GPT-4 / GPT-3.5 [1]</w:t>
            </w:r>
          </w:p>
        </w:tc>
        <w:tc>
          <w:tcPr>
            <w:tcW w:w="2608"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base</w:t>
            </w:r>
          </w:p>
        </w:tc>
        <w:tc>
          <w:tcPr>
            <w:tcW w:w="214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3.8% / 6.6%</w:t>
            </w:r>
          </w:p>
        </w:tc>
      </w:tr>
    </w:tbl>
    <w:p>
      <w:pPr>
        <w:pStyle w:val="Normal"/>
        <w:spacing w:lineRule="auto" w:line="252" w:before="0" w:after="160"/>
        <w:jc w:val="left"/>
        <w:rPr/>
      </w:pPr>
      <w:r>
        <w:rPr>
          <w:b/>
          <w:i w:val="false"/>
          <w:color w:val="444A53"/>
          <w:sz w:val="17"/>
        </w:rPr>
        <w:t>Table X.</w:t>
      </w:r>
      <w:r>
        <w:rPr>
          <w:b w:val="false"/>
          <w:i w:val="false"/>
          <w:color w:val="444A53"/>
          <w:sz w:val="17"/>
        </w:rPr>
        <w:t xml:space="preserve"> Attack success on InjecAgent's direct-harm split. Published figures are ASR-valid over all attack types and carry no interval.</w:t>
      </w:r>
    </w:p>
    <w:p>
      <w:pPr>
        <w:pStyle w:val="Normal"/>
        <w:spacing w:lineRule="auto" w:line="252" w:before="0" w:after="80"/>
        <w:jc w:val="both"/>
        <w:rPr/>
      </w:pPr>
      <w:r>
        <w:rPr>
          <w:b w:val="false"/>
          <w:i w:val="false"/>
          <w:color w:val="000000"/>
          <w:sz w:val="20"/>
        </w:rPr>
        <w:t xml:space="preserve">This is a floor check, not a result. Our 100% is the </w:t>
      </w:r>
      <w:r>
        <w:rPr>
          <w:b w:val="false"/>
          <w:i/>
          <w:color w:val="000000"/>
          <w:sz w:val="20"/>
        </w:rPr>
        <w:t>undefended</w:t>
      </w:r>
      <w:r>
        <w:rPr>
          <w:b w:val="false"/>
          <w:i w:val="false"/>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5050"/>
        <w:gridCol w:w="3121"/>
        <w:gridCol w:w="1189"/>
      </w:tblGrid>
      <w:tr>
        <w:trPr/>
        <w:tc>
          <w:tcPr>
            <w:tcW w:w="5050"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Detector</w:t>
            </w:r>
          </w:p>
        </w:tc>
        <w:tc>
          <w:tcPr>
            <w:tcW w:w="3121"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Detection (100 − FNR)</w:t>
            </w:r>
          </w:p>
        </w:tc>
        <w:tc>
          <w:tcPr>
            <w:tcW w:w="1189" w:type="dxa"/>
            <w:tcBorders/>
            <w:shd w:fill="EDF1F5" w:val="clear"/>
          </w:tcPr>
          <w:p>
            <w:pPr>
              <w:pStyle w:val="Normal"/>
              <w:widowControl/>
              <w:spacing w:lineRule="auto" w:line="240" w:before="20" w:after="20"/>
              <w:jc w:val="left"/>
              <w:rPr>
                <w:rFonts w:cs=""/>
                <w:kern w:val="0"/>
                <w:szCs w:val="22"/>
                <w:lang w:val="en-US" w:eastAsia="en-US" w:bidi="ar-SA"/>
              </w:rPr>
            </w:pPr>
            <w:r>
              <w:rPr>
                <w:rFonts w:cs=""/>
                <w:b/>
                <w:i w:val="false"/>
                <w:color w:val="000000"/>
                <w:kern w:val="0"/>
                <w:sz w:val="17"/>
                <w:szCs w:val="22"/>
                <w:lang w:val="en-US" w:eastAsia="en-US" w:bidi="ar-SA"/>
              </w:rPr>
              <w:t>FPR</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This work — target-bearing stratum</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96.7%</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3.3%</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This work — no-target stratum</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10.0%</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3.3%</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PIShield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98.6%</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0.5%</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PromptGuard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91.3%</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40.3%</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DataSentinel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89.6%</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33.6%</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TaskTracker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68.3%</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27.4%</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PromptArmor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54.1%</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1.3%</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AttentionTracker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44.7%</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32.8%</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InjecGuard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33.7%</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8.2%</w:t>
            </w:r>
          </w:p>
        </w:tc>
      </w:tr>
      <w:tr>
        <w:trPr/>
        <w:tc>
          <w:tcPr>
            <w:tcW w:w="5050" w:type="dxa"/>
            <w:tcBorders/>
          </w:tcPr>
          <w:p>
            <w:pPr>
              <w:pStyle w:val="Normal"/>
              <w:widowControl/>
              <w:spacing w:lineRule="auto" w:line="240" w:before="20" w:after="20"/>
              <w:jc w:val="left"/>
              <w:rPr>
                <w:rFonts w:cs=""/>
                <w:kern w:val="0"/>
                <w:szCs w:val="22"/>
                <w:lang w:val="en-US" w:eastAsia="en-US" w:bidi="ar-SA"/>
              </w:rPr>
            </w:pPr>
            <w:r>
              <w:rPr>
                <w:rFonts w:cs=""/>
                <w:b w:val="false"/>
                <w:i w:val="false"/>
                <w:color w:val="000000"/>
                <w:kern w:val="0"/>
                <w:sz w:val="17"/>
                <w:szCs w:val="22"/>
                <w:lang w:val="en-US" w:eastAsia="en-US" w:bidi="ar-SA"/>
              </w:rPr>
              <w:t>ProtectAI-deberta [4]</w:t>
            </w:r>
          </w:p>
        </w:tc>
        <w:tc>
          <w:tcPr>
            <w:tcW w:w="3121"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24.1%</w:t>
            </w:r>
          </w:p>
        </w:tc>
        <w:tc>
          <w:tcPr>
            <w:tcW w:w="1189" w:type="dxa"/>
            <w:tcBorders/>
          </w:tcPr>
          <w:p>
            <w:pPr>
              <w:pStyle w:val="Normal"/>
              <w:widowControl/>
              <w:spacing w:lineRule="auto" w:line="240" w:before="20" w:after="20"/>
              <w:jc w:val="right"/>
              <w:rPr>
                <w:rFonts w:cs=""/>
                <w:kern w:val="0"/>
                <w:szCs w:val="22"/>
                <w:lang w:val="en-US" w:eastAsia="en-US" w:bidi="ar-SA"/>
              </w:rPr>
            </w:pPr>
            <w:r>
              <w:rPr>
                <w:rFonts w:cs=""/>
                <w:b w:val="false"/>
                <w:i w:val="false"/>
                <w:color w:val="000000"/>
                <w:kern w:val="0"/>
                <w:sz w:val="17"/>
                <w:szCs w:val="22"/>
                <w:lang w:val="en-US" w:eastAsia="en-US" w:bidi="ar-SA"/>
              </w:rPr>
              <w:t>10.1%</w:t>
            </w:r>
          </w:p>
        </w:tc>
      </w:tr>
    </w:tbl>
    <w:p>
      <w:pPr>
        <w:pStyle w:val="Normal"/>
        <w:spacing w:lineRule="auto" w:line="252" w:before="0" w:after="160"/>
        <w:jc w:val="left"/>
        <w:rPr/>
      </w:pPr>
      <w:r>
        <w:rPr>
          <w:b/>
          <w:i w:val="false"/>
          <w:color w:val="444A53"/>
          <w:sz w:val="17"/>
        </w:rPr>
        <w:t>Table XI.</w:t>
      </w:r>
      <w:r>
        <w:rPr>
          <w:b w:val="false"/>
          <w:i w:val="false"/>
          <w:color w:val="444A53"/>
          <w:sz w:val="17"/>
        </w:rPr>
        <w:t xml:space="preserve"> Detection against published detectors. Published figures are averages over six text benchmarks as reported in [4]; ours are measured on an agent loop over injected tool output at one fixed threshold.</w:t>
      </w:r>
    </w:p>
    <w:p>
      <w:pPr>
        <w:pStyle w:val="Normal"/>
        <w:spacing w:lineRule="auto" w:line="252" w:before="0" w:after="80"/>
        <w:jc w:val="both"/>
        <w:rPr/>
      </w:pPr>
      <w:r>
        <w:rPr>
          <w:b w:val="false"/>
          <w:i w:val="false"/>
          <w:color w:val="000000"/>
          <w:sz w:val="20"/>
        </w:rPr>
        <w:t xml:space="preserve">Those detectors trade false positives against misses along one axis, and a paper's contribution is usually a better point on that curve. </w:t>
      </w:r>
      <w:r>
        <w:rPr>
          <w:b/>
          <w:i w:val="false"/>
          <w:color w:val="000000"/>
          <w:sz w:val="20"/>
        </w:rPr>
        <w:t>Ours does not sit on that curve.</w:t>
      </w:r>
      <w:r>
        <w:rPr>
          <w:b w:val="false"/>
          <w:i w:val="false"/>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pStyle w:val="Normal"/>
        <w:spacing w:lineRule="auto" w:line="252" w:before="0" w:after="80"/>
        <w:jc w:val="both"/>
        <w:rPr/>
      </w:pPr>
      <w:r>
        <w:rPr>
          <w:b w:val="false"/>
          <w:i w:val="false"/>
          <w:color w:val="000000"/>
          <w:sz w:val="20"/>
        </w:rPr>
        <w:t>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w:t>
      </w:r>
    </w:p>
    <w:p>
      <w:pPr>
        <w:pStyle w:val="Normal"/>
        <w:spacing w:lineRule="auto" w:line="252" w:before="240" w:after="100"/>
        <w:jc w:val="left"/>
        <w:rPr/>
      </w:pPr>
      <w:r>
        <w:rPr>
          <w:b/>
          <w:i w:val="false"/>
          <w:color w:val="000000"/>
          <w:sz w:val="22"/>
        </w:rPr>
        <w:t>XII. LIMITATIONS</w:t>
      </w:r>
    </w:p>
    <w:p>
      <w:pPr>
        <w:pStyle w:val="Normal"/>
        <w:spacing w:lineRule="auto" w:line="252" w:before="0" w:after="80"/>
        <w:jc w:val="both"/>
        <w:rPr/>
      </w:pPr>
      <w:r>
        <w:rPr>
          <w:b/>
          <w:i w:val="false"/>
          <w:color w:val="000000"/>
          <w:sz w:val="20"/>
        </w:rPr>
        <w:t>Single model, single scorer.</w:t>
      </w:r>
      <w:r>
        <w:rPr>
          <w:b w:val="false"/>
          <w:i w:val="false"/>
          <w:color w:val="000000"/>
          <w:sz w:val="20"/>
        </w:rPr>
        <w:t xml:space="preserve"> Every number rests on one 4B model behind the causal probe and one keyword scorer. The central finding — the causal contrast being zero on 80% of turns — is a property of </w:t>
      </w:r>
      <w:r>
        <w:rPr>
          <w:b w:val="false"/>
          <w:i/>
          <w:color w:val="000000"/>
          <w:sz w:val="20"/>
        </w:rPr>
        <w:t>that pair</w:t>
      </w:r>
      <w:r>
        <w:rPr>
          <w:b w:val="false"/>
          <w:i w:val="false"/>
          <w:color w:val="000000"/>
          <w:sz w:val="20"/>
        </w:rPr>
        <w:t>, not of causal detection in general.</w:t>
      </w:r>
    </w:p>
    <w:p>
      <w:pPr>
        <w:pStyle w:val="Normal"/>
        <w:spacing w:lineRule="auto" w:line="252" w:before="0" w:after="80"/>
        <w:jc w:val="both"/>
        <w:rPr/>
      </w:pPr>
      <w:r>
        <w:rPr>
          <w:b/>
          <w:i w:val="false"/>
          <w:color w:val="000000"/>
          <w:sz w:val="20"/>
        </w:rPr>
        <w:t>Model choice is constrained, not free.</w:t>
      </w:r>
      <w:r>
        <w:rPr>
          <w:b w:val="false"/>
          <w:i w:val="false"/>
          <w:color w:val="000000"/>
          <w:sz w:val="20"/>
        </w:rPr>
        <w:t xml:space="preserve"> The probe needs a model that complies under the masked regime. A more refusal-prone model produces no signal at all, so the approach cannot simply be moved to a stronger, better-aligned model: the property being exploited to </w:t>
      </w:r>
      <w:r>
        <w:rPr>
          <w:b w:val="false"/>
          <w:i/>
          <w:color w:val="000000"/>
          <w:sz w:val="20"/>
        </w:rPr>
        <w:t>measure</w:t>
      </w:r>
      <w:r>
        <w:rPr>
          <w:b w:val="false"/>
          <w:i w:val="false"/>
          <w:color w:val="000000"/>
          <w:sz w:val="20"/>
        </w:rPr>
        <w:t xml:space="preserve"> the attack is the same property that makes the model vulnerable to it.</w:t>
      </w:r>
    </w:p>
    <w:p>
      <w:pPr>
        <w:pStyle w:val="Normal"/>
        <w:spacing w:lineRule="auto" w:line="252" w:before="0" w:after="80"/>
        <w:jc w:val="both"/>
        <w:rPr/>
      </w:pPr>
      <w:r>
        <w:rPr>
          <w:b/>
          <w:i w:val="false"/>
          <w:color w:val="000000"/>
          <w:sz w:val="20"/>
        </w:rPr>
        <w:t>The benign corpus is 60 external documents,</w:t>
      </w:r>
      <w:r>
        <w:rPr>
          <w:b w:val="false"/>
          <w:i w:val="false"/>
          <w:color w:val="000000"/>
          <w:sz w:val="20"/>
        </w:rPr>
        <w:t xml:space="preserve"> adequate for the reported [0.9%, 11.4%] interval but wide enough that a two-point FPR difference is unresolvable.</w:t>
      </w:r>
    </w:p>
    <w:p>
      <w:pPr>
        <w:pStyle w:val="Normal"/>
        <w:spacing w:lineRule="auto" w:line="252" w:before="0" w:after="80"/>
        <w:jc w:val="both"/>
        <w:rPr/>
      </w:pPr>
      <w:r>
        <w:rPr>
          <w:b/>
          <w:i w:val="false"/>
          <w:color w:val="000000"/>
          <w:sz w:val="20"/>
        </w:rPr>
        <w:t>Per-document FPR does not reproduce</w:t>
      </w:r>
      <w:r>
        <w:rPr>
          <w:b w:val="false"/>
          <w:i w:val="false"/>
          <w:color w:val="000000"/>
          <w:sz w:val="20"/>
        </w:rPr>
        <w:t xml:space="preserve"> (§VIII-D), which bounds several comparisons to "no measurable change".</w:t>
      </w:r>
    </w:p>
    <w:p>
      <w:pPr>
        <w:pStyle w:val="Normal"/>
        <w:spacing w:lineRule="auto" w:line="252" w:before="0" w:after="80"/>
        <w:jc w:val="both"/>
        <w:rPr/>
      </w:pPr>
      <w:r>
        <w:rPr>
          <w:b/>
          <w:i w:val="false"/>
          <w:color w:val="000000"/>
          <w:sz w:val="20"/>
        </w:rPr>
        <w:t>Single-repeat strata in the harm-taxonomy analysis,</w:t>
      </w:r>
      <w:r>
        <w:rPr>
          <w:b w:val="false"/>
          <w:i w:val="false"/>
          <w:color w:val="000000"/>
          <w:sz w:val="20"/>
        </w:rPr>
        <w:t xml:space="preserve"> and </w:t>
      </w:r>
      <w:r>
        <w:rPr>
          <w:b/>
          <w:i w:val="false"/>
          <w:color w:val="000000"/>
          <w:sz w:val="20"/>
        </w:rPr>
        <w:t>three malicious sessions per multi-turn run.</w:t>
      </w:r>
      <w:r>
        <w:rPr>
          <w:b w:val="false"/>
          <w:i w:val="false"/>
          <w:color w:val="000000"/>
          <w:sz w:val="20"/>
        </w:rPr>
        <w:t xml:space="preserve"> The latter is an existence question, not a rate; the negative result is strong not because n is large but because the mechanism's </w:t>
      </w:r>
      <w:r>
        <w:rPr>
          <w:b w:val="false"/>
          <w:i/>
          <w:color w:val="000000"/>
          <w:sz w:val="20"/>
        </w:rPr>
        <w:t>input</w:t>
      </w:r>
      <w:r>
        <w:rPr>
          <w:b w:val="false"/>
          <w:i w:val="false"/>
          <w:color w:val="000000"/>
          <w:sz w:val="20"/>
        </w:rPr>
        <w:t xml:space="preserve"> was measured at zero across all 30 turns.</w:t>
      </w:r>
    </w:p>
    <w:p>
      <w:pPr>
        <w:pStyle w:val="Normal"/>
        <w:spacing w:lineRule="auto" w:line="252" w:before="0" w:after="80"/>
        <w:jc w:val="both"/>
        <w:rPr/>
      </w:pPr>
      <w:r>
        <w:rPr>
          <w:b/>
          <w:i w:val="false"/>
          <w:color w:val="000000"/>
          <w:sz w:val="20"/>
        </w:rPr>
        <w:t>The second multi-turn cohort was written after seeing the first run's trajectories.</w:t>
      </w:r>
      <w:r>
        <w:rPr>
          <w:b w:val="false"/>
          <w:i w:val="false"/>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pStyle w:val="Normal"/>
        <w:spacing w:lineRule="auto" w:line="252" w:before="0" w:after="80"/>
        <w:jc w:val="both"/>
        <w:rPr/>
      </w:pPr>
      <w:r>
        <w:rPr>
          <w:b/>
          <w:i w:val="false"/>
          <w:color w:val="000000"/>
          <w:sz w:val="20"/>
        </w:rPr>
        <w:t>The campaign detection headline is measured on attacks we wrote,</w:t>
      </w:r>
      <w:r>
        <w:rPr>
          <w:b w:val="false"/>
          <w:i w:val="false"/>
          <w:color w:val="000000"/>
          <w:sz w:val="20"/>
        </w:rPr>
        <w:t xml:space="preserve"> and is the one figure in this paper not yet backed by a committed regenerable artifact.</w:t>
      </w:r>
    </w:p>
    <w:p>
      <w:pPr>
        <w:pStyle w:val="Normal"/>
        <w:spacing w:lineRule="auto" w:line="252" w:before="0" w:after="80"/>
        <w:jc w:val="both"/>
        <w:rPr/>
      </w:pPr>
      <w:r>
        <w:rPr>
          <w:b/>
          <w:i w:val="false"/>
          <w:color w:val="000000"/>
          <w:sz w:val="20"/>
        </w:rPr>
        <w:t>System limits.</w:t>
      </w:r>
      <w:r>
        <w:rPr>
          <w:b w:val="false"/>
          <w:i w:val="false"/>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pStyle w:val="Normal"/>
        <w:spacing w:lineRule="auto" w:line="252" w:before="0" w:after="80"/>
        <w:jc w:val="both"/>
        <w:rPr/>
      </w:pPr>
      <w:r>
        <w:rPr>
          <w:b/>
          <w:i w:val="false"/>
          <w:color w:val="000000"/>
          <w:sz w:val="20"/>
        </w:rPr>
        <w:t>What would change the conclusions.</w:t>
      </w:r>
      <w:r>
        <w:rPr>
          <w:b w:val="false"/>
          <w:i w:val="false"/>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pStyle w:val="Normal"/>
        <w:spacing w:lineRule="auto" w:line="252" w:before="240" w:after="100"/>
        <w:jc w:val="left"/>
        <w:rPr/>
      </w:pPr>
      <w:r>
        <w:rPr>
          <w:b/>
          <w:i w:val="false"/>
          <w:color w:val="000000"/>
          <w:sz w:val="22"/>
        </w:rPr>
        <w:t>XIII. CONCLUSION</w:t>
      </w:r>
    </w:p>
    <w:p>
      <w:pPr>
        <w:pStyle w:val="Normal"/>
        <w:spacing w:lineRule="auto" w:line="252" w:before="0" w:after="80"/>
        <w:jc w:val="both"/>
        <w:rPr/>
      </w:pPr>
      <w:r>
        <w:rPr>
          <w:b w:val="false"/>
          <w:i w:val="false"/>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pStyle w:val="Normal"/>
        <w:spacing w:lineRule="auto" w:line="252" w:before="0" w:after="80"/>
        <w:jc w:val="both"/>
        <w:rPr/>
      </w:pPr>
      <w:r>
        <w:rPr>
          <w:b w:val="false"/>
          <w:i w:val="false"/>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pStyle w:val="Normal"/>
        <w:spacing w:lineRule="auto" w:line="252" w:before="240" w:after="100"/>
        <w:jc w:val="left"/>
        <w:rPr/>
      </w:pPr>
      <w:r>
        <w:rPr>
          <w:b/>
          <w:i w:val="false"/>
          <w:color w:val="000000"/>
          <w:sz w:val="22"/>
        </w:rPr>
        <w:t>DATA AND CODE AVAILABILITY</w:t>
      </w:r>
    </w:p>
    <w:p>
      <w:pPr>
        <w:pStyle w:val="Normal"/>
        <w:spacing w:lineRule="auto" w:line="252" w:before="0" w:after="80"/>
        <w:jc w:val="both"/>
        <w:rPr/>
      </w:pPr>
      <w:r>
        <w:rPr>
          <w:b w:val="false"/>
          <w:i w:val="false"/>
          <w:color w:val="000000"/>
          <w:sz w:val="20"/>
        </w:rPr>
        <w:t xml:space="preserve">All results are regenerable by committed commands over the released artifact. Each phase directory under </w:t>
      </w:r>
      <w:r>
        <w:rPr>
          <w:rFonts w:ascii="Consolas" w:hAnsi="Consolas"/>
          <w:b w:val="false"/>
          <w:i w:val="false"/>
          <w:color w:val="000000"/>
          <w:sz w:val="19"/>
        </w:rPr>
        <w:t>results/</w:t>
      </w:r>
      <w:r>
        <w:rPr>
          <w:b w:val="false"/>
          <w:i w:val="false"/>
          <w:color w:val="000000"/>
          <w:sz w:val="20"/>
        </w:rPr>
        <w:t xml:space="preserve"> contains the benchmark payload and a run manifest recording commit SHA, working-tree cleanliness, model tags, corpus version, inference-server GPU state and a seeding statement. A deterministic test suite of 484 tests runs in approximately 12 seconds with no model, no network and no GPU; it pins the failure modes of each measurement instrument rather than only the behaviour of the system. External corpora are vendored with source, licence and version recorded.</w:t>
      </w:r>
    </w:p>
    <w:p>
      <w:pPr>
        <w:pStyle w:val="Normal"/>
        <w:spacing w:lineRule="auto" w:line="252" w:before="240" w:after="100"/>
        <w:jc w:val="left"/>
        <w:rPr/>
      </w:pPr>
      <w:r>
        <w:rPr>
          <w:b/>
          <w:i w:val="false"/>
          <w:color w:val="000000"/>
          <w:sz w:val="22"/>
        </w:rPr>
        <w:t>REFERENCES</w:t>
      </w:r>
    </w:p>
    <w:p>
      <w:pPr>
        <w:pStyle w:val="Normal"/>
        <w:spacing w:lineRule="auto" w:line="252" w:before="0" w:after="80"/>
        <w:jc w:val="both"/>
        <w:rPr/>
      </w:pPr>
      <w:r>
        <w:rPr>
          <w:b w:val="false"/>
          <w:i w:val="false"/>
          <w:color w:val="000000"/>
          <w:sz w:val="20"/>
        </w:rPr>
        <w:t xml:space="preserve">[1] Q. Zhan, Z. Liang, Z. Ying, and D. Kang, "InjecAgent: Benchmarking indirect prompt injections in tool-integrated large language model agents," in </w:t>
      </w:r>
      <w:r>
        <w:rPr>
          <w:b w:val="false"/>
          <w:i/>
          <w:color w:val="000000"/>
          <w:sz w:val="20"/>
        </w:rPr>
        <w:t>Findings of the Association for Computational Linguistics: ACL 2024</w:t>
      </w:r>
      <w:r>
        <w:rPr>
          <w:b w:val="false"/>
          <w:i w:val="false"/>
          <w:color w:val="000000"/>
          <w:sz w:val="20"/>
        </w:rPr>
        <w:t>, 2024.</w:t>
      </w:r>
    </w:p>
    <w:p>
      <w:pPr>
        <w:pStyle w:val="Normal"/>
        <w:spacing w:lineRule="auto" w:line="252" w:before="0" w:after="80"/>
        <w:jc w:val="both"/>
        <w:rPr/>
      </w:pPr>
      <w:r>
        <w:rPr>
          <w:b w:val="false"/>
          <w:i w:val="false"/>
          <w:color w:val="000000"/>
          <w:sz w:val="20"/>
        </w:rPr>
        <w:t xml:space="preserve">[2] E. Debenedetti, J. Zhang, M. Balunović, L. Beurer-Kellner, M. Fischer, and F. Tramèr, "AgentDojo: A dynamic environment to evaluate prompt injection attacks and defenses for LLM agents," in </w:t>
      </w:r>
      <w:r>
        <w:rPr>
          <w:b w:val="false"/>
          <w:i/>
          <w:color w:val="000000"/>
          <w:sz w:val="20"/>
        </w:rPr>
        <w:t>Advances in Neural Information Processing Systems, Datasets and Benchmarks Track</w:t>
      </w:r>
      <w:r>
        <w:rPr>
          <w:b w:val="false"/>
          <w:i w:val="false"/>
          <w:color w:val="000000"/>
          <w:sz w:val="20"/>
        </w:rPr>
        <w:t>, 2024. arXiv:2406.13352.</w:t>
      </w:r>
    </w:p>
    <w:p>
      <w:pPr>
        <w:pStyle w:val="Normal"/>
        <w:spacing w:lineRule="auto" w:line="252" w:before="0" w:after="80"/>
        <w:jc w:val="both"/>
        <w:rPr/>
      </w:pPr>
      <w:r>
        <w:rPr>
          <w:b w:val="false"/>
          <w:i w:val="false"/>
          <w:color w:val="000000"/>
          <w:sz w:val="20"/>
        </w:rPr>
        <w:t>[3] K. Hines, G. Lopez, M. Hall, F. Zarfati, Y. Zunger, and E. Kiciman, "Defending against indirect prompt injection attacks with spotlighting," arXiv:2403.14720, 2024.</w:t>
      </w:r>
    </w:p>
    <w:p>
      <w:pPr>
        <w:pStyle w:val="Normal"/>
        <w:spacing w:lineRule="auto" w:line="252" w:before="0" w:after="80"/>
        <w:jc w:val="both"/>
        <w:rPr/>
      </w:pPr>
      <w:r>
        <w:rPr>
          <w:b w:val="false"/>
          <w:i w:val="false"/>
          <w:color w:val="000000"/>
          <w:sz w:val="20"/>
        </w:rPr>
        <w:t>[4] W. Zou, Y. Liu, Y. Wang, Y. Chen, N. Gong, and J. Jia, "PIShield: Detecting prompt injection attacks via intrinsic LLM features," arXiv:2510.14005.</w:t>
      </w:r>
    </w:p>
    <w:p>
      <w:pPr>
        <w:pStyle w:val="Normal"/>
        <w:spacing w:lineRule="auto" w:line="252" w:before="0" w:after="80"/>
        <w:jc w:val="both"/>
        <w:rPr/>
      </w:pPr>
      <w:r>
        <w:rPr>
          <w:b w:val="false"/>
          <w:i w:val="false"/>
          <w:color w:val="000000"/>
          <w:sz w:val="20"/>
        </w:rPr>
        <w:t xml:space="preserve">[5] K. Greshake, S. Abdelnabi, S. Mishra, C. Endres, T. Holz, and M. Fritz, "Not what you've signed up for: Compromising real-world LLM-integrated applications with indirect prompt injection," in </w:t>
      </w:r>
      <w:r>
        <w:rPr>
          <w:b w:val="false"/>
          <w:i/>
          <w:color w:val="000000"/>
          <w:sz w:val="20"/>
        </w:rPr>
        <w:t>Proc. 16th ACM Workshop on Artificial Intelligence and Security (AISec)</w:t>
      </w:r>
      <w:r>
        <w:rPr>
          <w:b w:val="false"/>
          <w:i w:val="false"/>
          <w:color w:val="000000"/>
          <w:sz w:val="20"/>
        </w:rPr>
        <w:t>, 2023.</w:t>
      </w:r>
    </w:p>
    <w:p>
      <w:pPr>
        <w:pStyle w:val="Normal"/>
        <w:spacing w:lineRule="auto" w:line="252" w:before="0" w:after="80"/>
        <w:jc w:val="both"/>
        <w:rPr/>
      </w:pPr>
      <w:r>
        <w:rPr>
          <w:b w:val="false"/>
          <w:i w:val="false"/>
          <w:color w:val="000000"/>
          <w:sz w:val="20"/>
        </w:rPr>
        <w:t xml:space="preserve">[6] S. Yao, J. Zhao, D. Yu, N. Du, I. Shafran, K. Narasimhan, and Y. Cao, "ReAct: Synergizing reasoning and acting in language models," in </w:t>
      </w:r>
      <w:r>
        <w:rPr>
          <w:b w:val="false"/>
          <w:i/>
          <w:color w:val="000000"/>
          <w:sz w:val="20"/>
        </w:rPr>
        <w:t>Proc. International Conference on Learning Representations (ICLR)</w:t>
      </w:r>
      <w:r>
        <w:rPr>
          <w:b w:val="false"/>
          <w:i w:val="false"/>
          <w:color w:val="000000"/>
          <w:sz w:val="20"/>
        </w:rPr>
        <w:t>, 2023.</w:t>
      </w:r>
    </w:p>
    <w:p>
      <w:pPr>
        <w:pStyle w:val="Normal"/>
        <w:spacing w:lineRule="auto" w:line="252" w:before="0" w:after="80"/>
        <w:jc w:val="both"/>
        <w:rPr/>
      </w:pPr>
      <w:r>
        <w:rPr>
          <w:b w:val="false"/>
          <w:i w:val="false"/>
          <w:color w:val="000000"/>
          <w:sz w:val="20"/>
        </w:rPr>
        <w:t xml:space="preserve">[7] E. B. Wilson, "Probable inference, the law of succession, and statistical inference," </w:t>
      </w:r>
      <w:r>
        <w:rPr>
          <w:b w:val="false"/>
          <w:i/>
          <w:color w:val="000000"/>
          <w:sz w:val="20"/>
        </w:rPr>
        <w:t>Journal of the American Statistical Association</w:t>
      </w:r>
      <w:r>
        <w:rPr>
          <w:b w:val="false"/>
          <w:i w:val="false"/>
          <w:color w:val="000000"/>
          <w:sz w:val="20"/>
        </w:rPr>
        <w:t>, vol. 22, no. 158, pp. 209–212, 1927.</w:t>
      </w:r>
    </w:p>
    <w:p>
      <w:pPr>
        <w:pStyle w:val="Normal"/>
        <w:spacing w:lineRule="auto" w:line="252" w:before="0" w:after="80"/>
        <w:jc w:val="both"/>
        <w:rPr/>
      </w:pPr>
      <w:r>
        <w:rPr>
          <w:b w:val="false"/>
          <w:i w:val="false"/>
          <w:color w:val="000000"/>
          <w:sz w:val="20"/>
        </w:rPr>
        <w:t xml:space="preserve">[8] Q. McNemar, "Note on the sampling error of the difference between correlated proportions or percentages," </w:t>
      </w:r>
      <w:r>
        <w:rPr>
          <w:b w:val="false"/>
          <w:i/>
          <w:color w:val="000000"/>
          <w:sz w:val="20"/>
        </w:rPr>
        <w:t>Psychometrika</w:t>
      </w:r>
      <w:r>
        <w:rPr>
          <w:b w:val="false"/>
          <w:i w:val="false"/>
          <w:color w:val="000000"/>
          <w:sz w:val="20"/>
        </w:rPr>
        <w:t>, vol. 12, no. 2, pp. 153–157, 1947.</w:t>
      </w:r>
    </w:p>
    <w:p>
      <w:pPr>
        <w:pStyle w:val="Normal"/>
        <w:spacing w:lineRule="auto" w:line="252" w:before="0" w:after="80"/>
        <w:jc w:val="both"/>
        <w:rPr/>
      </w:pPr>
      <w:r>
        <w:rPr>
          <w:b w:val="false"/>
          <w:i w:val="false"/>
          <w:color w:val="000000"/>
          <w:sz w:val="20"/>
        </w:rPr>
        <w:t xml:space="preserve">[9] </w:t>
      </w:r>
      <w:r>
        <w:rPr>
          <w:b/>
          <w:i w:val="false"/>
          <w:color w:val="000000"/>
          <w:sz w:val="20"/>
        </w:rPr>
        <w:t>[TO COMPLETE]</w:t>
      </w:r>
      <w:r>
        <w:rPr>
          <w:b w:val="false"/>
          <w:i w:val="false"/>
          <w:color w:val="000000"/>
          <w:sz w:val="20"/>
        </w:rPr>
        <w:t xml:space="preserve"> AgentSentry — methodological ancestor of the causal analyzer and context sanitizer. Full citation to be transcribed from the project literature notes.</w:t>
      </w:r>
    </w:p>
    <w:p>
      <w:pPr>
        <w:pStyle w:val="Normal"/>
        <w:spacing w:lineRule="auto" w:line="252" w:before="0" w:after="80"/>
        <w:jc w:val="both"/>
        <w:rPr/>
      </w:pPr>
      <w:r>
        <w:rPr>
          <w:b w:val="false"/>
          <w:i w:val="false"/>
          <w:color w:val="000000"/>
          <w:sz w:val="20"/>
        </w:rPr>
        <w:t xml:space="preserve">[10] </w:t>
      </w:r>
      <w:r>
        <w:rPr>
          <w:b/>
          <w:i w:val="false"/>
          <w:color w:val="000000"/>
          <w:sz w:val="20"/>
        </w:rPr>
        <w:t>[TO COMPLETE]</w:t>
      </w:r>
      <w:r>
        <w:rPr>
          <w:b w:val="false"/>
          <w:i w:val="false"/>
          <w:color w:val="000000"/>
          <w:sz w:val="20"/>
        </w:rPr>
        <w:t xml:space="preserve"> AutoMalTool — source of the detection oracle. Full citation to be transcribed.</w:t>
      </w:r>
    </w:p>
    <w:p>
      <w:pPr>
        <w:pStyle w:val="Normal"/>
        <w:spacing w:lineRule="auto" w:line="252" w:before="0" w:after="80"/>
        <w:jc w:val="both"/>
        <w:rPr/>
      </w:pPr>
      <w:r>
        <w:rPr>
          <w:b w:val="false"/>
          <w:i w:val="false"/>
          <w:color w:val="000000"/>
          <w:sz w:val="20"/>
        </w:rPr>
        <w:t xml:space="preserve">[11] </w:t>
      </w:r>
      <w:r>
        <w:rPr>
          <w:b/>
          <w:i w:val="false"/>
          <w:color w:val="000000"/>
          <w:sz w:val="20"/>
        </w:rPr>
        <w:t>[TO COMPLETE]</w:t>
      </w:r>
      <w:r>
        <w:rPr>
          <w:b w:val="false"/>
          <w:i w:val="false"/>
          <w:color w:val="000000"/>
          <w:sz w:val="20"/>
        </w:rPr>
        <w:t xml:space="preserve"> MCPSecBench — protocol-level attack success against evaluated platforms; motivates Layer 0. Full citation to be transcribed.</w:t>
      </w:r>
    </w:p>
    <w:p>
      <w:pPr>
        <w:pStyle w:val="Normal"/>
        <w:spacing w:lineRule="auto" w:line="252" w:before="0" w:after="80"/>
        <w:jc w:val="both"/>
        <w:rPr/>
      </w:pPr>
      <w:r>
        <w:rPr>
          <w:b w:val="false"/>
          <w:i w:val="false"/>
          <w:color w:val="000000"/>
          <w:sz w:val="20"/>
        </w:rPr>
        <w:t xml:space="preserve">[12] </w:t>
      </w:r>
      <w:r>
        <w:rPr>
          <w:b/>
          <w:i w:val="false"/>
          <w:color w:val="000000"/>
          <w:sz w:val="20"/>
        </w:rPr>
        <w:t>[TO COMPLETE]</w:t>
      </w:r>
      <w:r>
        <w:rPr>
          <w:b w:val="false"/>
          <w:i w:val="false"/>
          <w:color w:val="000000"/>
          <w:sz w:val="20"/>
        </w:rPr>
        <w:t xml:space="preserve"> ETDI — the trust framework Layer 0's server registry follows. Full citation to be transcribed.</w:t>
      </w:r>
    </w:p>
    <w:p>
      <w:pPr>
        <w:sectPr>
          <w:footerReference w:type="default" r:id="rId7"/>
          <w:type w:val="nextPage"/>
          <w:pgSz w:w="12240" w:h="15840"/>
          <w:pgMar w:left="1440" w:right="1440" w:gutter="0" w:header="0" w:top="1440" w:footer="720" w:bottom="1440"/>
          <w:pgNumType w:fmt="decimal"/>
          <w:formProt w:val="false"/>
          <w:textDirection w:val="lrTb"/>
          <w:docGrid w:type="default" w:linePitch="360" w:charSpace="0"/>
        </w:sectPr>
        <w:pStyle w:val="Normal"/>
        <w:spacing w:lineRule="auto" w:line="252" w:before="0" w:after="80"/>
        <w:jc w:val="both"/>
        <w:rPr/>
      </w:pPr>
      <w:r>
        <w:rPr>
          <w:b w:val="false"/>
          <w:i w:val="false"/>
          <w:color w:val="000000"/>
          <w:sz w:val="20"/>
        </w:rPr>
        <w:t xml:space="preserve">[13] </w:t>
      </w:r>
      <w:r>
        <w:rPr>
          <w:b/>
          <w:i w:val="false"/>
          <w:color w:val="000000"/>
          <w:sz w:val="20"/>
        </w:rPr>
        <w:t>[TO COMPLETE]</w:t>
      </w:r>
      <w:r>
        <w:rPr>
          <w:b w:val="false"/>
          <w:i w:val="false"/>
          <w:color w:val="000000"/>
          <w:sz w:val="20"/>
        </w:rPr>
        <w:t xml:space="preserve"> MCP-RiskCue and the Model Context Protocol security survey — threat landscape for Layers 0 and 1. Full citations to be transcribed.</w:t>
      </w:r>
    </w:p>
    <w:p>
      <w:pPr>
        <w:pStyle w:val="Normal"/>
        <w:spacing w:lineRule="auto" w:line="252" w:before="240" w:after="100"/>
        <w:jc w:val="left"/>
        <w:rPr/>
      </w:pPr>
      <w:r>
        <w:rPr>
          <w:b/>
          <w:i w:val="false"/>
          <w:color w:val="000000"/>
          <w:sz w:val="22"/>
        </w:rPr>
        <w:t>APPENDIX A: IMPLEMENTATION DIAGRAM</w:t>
      </w:r>
    </w:p>
    <w:p>
      <w:pPr>
        <w:pStyle w:val="Normal"/>
        <w:spacing w:lineRule="auto" w:line="252" w:before="0" w:after="80"/>
        <w:jc w:val="both"/>
        <w:rPr/>
      </w:pPr>
      <w:r>
        <w:rPr>
          <w:b w:val="false"/>
          <w:i w:val="false"/>
          <w:color w:val="000000"/>
          <w:sz w:val="20"/>
        </w:rPr>
        <w:t>The figure below is the implementation-level architecture, reproduced for completeness. Unlike Fig. 1 it shows every module and every feedback path, including the red-team loop, the evaluation module and the off-machine training environment. Solid borders mark components built and validated; dashed borders mark specified but unimplemented components; dashed arrows mark the adaptive feedback path.</w:t>
      </w:r>
    </w:p>
    <w:p>
      <w:pPr>
        <w:pStyle w:val="Normal"/>
        <w:spacing w:before="160" w:after="60"/>
        <w:jc w:val="center"/>
        <w:rPr/>
      </w:pPr>
      <w:r>
        <w:rPr/>
        <w:drawing>
          <wp:inline distT="0" distB="0" distL="0" distR="0">
            <wp:extent cx="8229600" cy="379666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8"/>
                    <a:stretch>
                      <a:fillRect/>
                    </a:stretch>
                  </pic:blipFill>
                  <pic:spPr bwMode="auto">
                    <a:xfrm>
                      <a:off x="0" y="0"/>
                      <a:ext cx="8229600" cy="3796665"/>
                    </a:xfrm>
                    <a:prstGeom prst="rect">
                      <a:avLst/>
                    </a:prstGeom>
                  </pic:spPr>
                </pic:pic>
              </a:graphicData>
            </a:graphic>
          </wp:inline>
        </w:drawing>
      </w:r>
    </w:p>
    <w:p>
      <w:pPr>
        <w:pStyle w:val="Normal"/>
        <w:spacing w:lineRule="auto" w:line="252" w:before="0" w:after="180"/>
        <w:ind w:left="0" w:hanging="0"/>
        <w:jc w:val="left"/>
        <w:rPr/>
      </w:pPr>
      <w:r>
        <w:rPr>
          <w:b/>
          <w:i w:val="false"/>
          <w:color w:val="444A53"/>
          <w:sz w:val="17"/>
        </w:rPr>
        <w:t>Fig. 6.</w:t>
      </w:r>
      <w:r>
        <w:rPr>
          <w:b w:val="false"/>
          <w:i w:val="false"/>
          <w:color w:val="444A53"/>
          <w:sz w:val="17"/>
        </w:rPr>
        <w:t xml:space="preserve"> The complete AdaptiShield implementation architecture, including the red-team loop, evaluation module and off-machine training environment.</w:t>
      </w:r>
    </w:p>
    <w:sectPr>
      <w:footerReference w:type="default" r:id="rId9"/>
      <w:type w:val="nextPage"/>
      <w:pgSz w:orient="landscape" w:w="15840" w:h="12240"/>
      <w:pgMar w:left="1440" w:right="1440" w:gutter="0" w:header="0" w:top="1296" w:footer="720" w:bottom="129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w:t>
    </w:r>
    <w: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16</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eastAsia="Times New Roman" w:cs="" w:cstheme="minorBidi"/>
      <w:color w:val="auto"/>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image" Target="media/image6.png"/><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Application>LibreOffice/7.3.7.2$Linux_X86_64 LibreOffice_project/30$Build-2</Application>
  <AppVersion>15.0000</AppVersion>
  <Pages>16</Pages>
  <Words>8154</Words>
  <Characters>43456</Characters>
  <CharactersWithSpaces>51286</CharactersWithSpaces>
  <Paragraphs>395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2026-08-17T16:54:02Z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