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VIII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Single model, single scorer.</w:t>
      </w:r>
      <w:r>
        <w:rPr>
          <w:rFonts w:ascii="Times New Roman" w:hAnsi="Times New Roman"/>
          <w:b w:val="0"/>
          <w:i w:val="0"/>
          <w:color w:val="000000"/>
          <w:sz w:val="20"/>
        </w:rPr>
        <w:t xml:space="preserve"> Every number rests on one 4B model behind the causal probe and one keyword scorer. The central finding — the causal contrast being zero on 80% of turns — is a property of </w:t>
      </w:r>
      <w:r>
        <w:rPr>
          <w:rFonts w:ascii="Times New Roman" w:hAnsi="Times New Roman"/>
          <w:b w:val="0"/>
          <w:i/>
          <w:color w:val="000000"/>
          <w:sz w:val="20"/>
        </w:rPr>
        <w:t>that pair</w:t>
      </w:r>
      <w:r>
        <w:rPr>
          <w:rFonts w:ascii="Times New Roman" w:hAnsi="Times New Roman"/>
          <w:b w:val="0"/>
          <w:i w:val="0"/>
          <w:color w:val="000000"/>
          <w:sz w:val="20"/>
        </w:rPr>
        <w:t>, not of causal detection in general.</w:t>
      </w:r>
    </w:p>
    <w:p>
      <w:pPr>
        <w:spacing w:after="80" w:before="0" w:line="254" w:lineRule="auto"/>
        <w:jc w:val="both"/>
      </w:pPr>
      <w:r>
        <w:rPr>
          <w:rFonts w:ascii="Times New Roman" w:hAnsi="Times New Roman"/>
          <w:b/>
          <w:i w:val="0"/>
          <w:color w:val="000000"/>
          <w:sz w:val="20"/>
        </w:rPr>
        <w:t>Model choice is constrained, not free.</w:t>
      </w:r>
      <w:r>
        <w:rPr>
          <w:rFonts w:ascii="Times New Roman" w:hAnsi="Times New Roman"/>
          <w:b w:val="0"/>
          <w:i w:val="0"/>
          <w:color w:val="000000"/>
          <w:sz w:val="20"/>
        </w:rPr>
        <w:t xml:space="preserve"> The probe needs a model that complies under the masked regime. A more refusal-prone model produces no signal at all, so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w:t>
      </w:r>
      <w:r>
        <w:rPr>
          <w:rFonts w:ascii="Times New Roman" w:hAnsi="Times New Roman"/>
          <w:b w:val="0"/>
          <w:i w:val="0"/>
          <w:color w:val="000000"/>
          <w:sz w:val="20"/>
        </w:rPr>
        <w:t xml:space="preserve"> adequate for the reported [0.9%, 11.4%] interval but wide enough that a two-point FPR difference is unresolvable.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