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54" w:lineRule="auto"/>
        <w:jc w:val="center"/>
      </w:pPr>
      <w:r>
        <w:rPr>
          <w:rFonts w:ascii="Times New Roman" w:hAnsi="Times New Roman"/>
          <w:b/>
          <w:i w:val="0"/>
          <w:color w:val="000000"/>
          <w:sz w:val="34"/>
        </w:rPr>
        <w:t>Causal Prompt-Injection Detection Depends on a Liftable Target: A Stratified, Pre-Registered Evaluation in Tool-Integrated LLM Agents</w:t>
      </w:r>
    </w:p>
    <w:p>
      <w:pPr>
        <w:spacing w:after="60" w:before="0" w:line="254" w:lineRule="auto"/>
        <w:jc w:val="center"/>
      </w:pPr>
      <w:r>
        <w:rPr>
          <w:rFonts w:ascii="Times New Roman" w:hAnsi="Times New Roman"/>
          <w:b/>
          <w:i w:val="0"/>
          <w:color w:val="000000"/>
          <w:sz w:val="20"/>
        </w:rPr>
        <w:t>MUHAMMAD AHMAD KHAN</w:t>
      </w:r>
      <w:r>
        <w:rPr>
          <w:rFonts w:ascii="Times New Roman" w:hAnsi="Times New Roman"/>
          <w:b w:val="0"/>
          <w:i w:val="0"/>
          <w:color w:val="000000"/>
          <w:sz w:val="20"/>
        </w:rPr>
        <w:t xml:space="preserve">¹, </w:t>
      </w:r>
      <w:r>
        <w:rPr>
          <w:rFonts w:ascii="Times New Roman" w:hAnsi="Times New Roman"/>
          <w:b/>
          <w:i w:val="0"/>
          <w:color w:val="000000"/>
          <w:sz w:val="20"/>
        </w:rPr>
        <w:t>ALEENA KHAN</w:t>
      </w:r>
      <w:r>
        <w:rPr>
          <w:rFonts w:ascii="Times New Roman" w:hAnsi="Times New Roman"/>
          <w:b w:val="0"/>
          <w:i w:val="0"/>
          <w:color w:val="000000"/>
          <w:sz w:val="20"/>
        </w:rPr>
        <w:t xml:space="preserve">¹, and </w:t>
      </w:r>
      <w:r>
        <w:rPr>
          <w:rFonts w:ascii="Times New Roman" w:hAnsi="Times New Roman"/>
          <w:b/>
          <w:i w:val="0"/>
          <w:color w:val="000000"/>
          <w:sz w:val="20"/>
        </w:rPr>
        <w:t>LAEEQ AHMED</w:t>
      </w:r>
      <w:r>
        <w:rPr>
          <w:rFonts w:ascii="Times New Roman" w:hAnsi="Times New Roman"/>
          <w:b w:val="0"/>
          <w:i w:val="0"/>
          <w:color w:val="000000"/>
          <w:sz w:val="20"/>
        </w:rPr>
        <w:t>¹</w:t>
      </w:r>
    </w:p>
    <w:p>
      <w:pPr>
        <w:spacing w:after="60" w:before="0" w:line="254" w:lineRule="auto"/>
        <w:jc w:val="center"/>
      </w:pPr>
      <w:r>
        <w:rPr>
          <w:rFonts w:ascii="Times New Roman" w:hAnsi="Times New Roman"/>
          <w:b w:val="0"/>
          <w:i w:val="0"/>
          <w:color w:val="000000"/>
          <w:sz w:val="19"/>
        </w:rPr>
        <w:t>¹Department of Computer Science and Information Technology, University of Engineering and Technology Peshawar, Jalozai Campus, Khyber Pakhtunkhwa, Pakistan (e-mail: 23jzbcs0238@uetpeshawar.edu.pk; 23jzbcs0229@uetpeshawar.edu.pk; laeeq@uetpeshawar.edu.pk)</w:t>
      </w:r>
    </w:p>
    <w:p>
      <w:pPr>
        <w:spacing w:after="60" w:before="0" w:line="254" w:lineRule="auto"/>
        <w:jc w:val="center"/>
      </w:pPr>
      <w:r>
        <w:rPr>
          <w:rFonts w:ascii="Times New Roman" w:hAnsi="Times New Roman"/>
          <w:b w:val="0"/>
          <w:i w:val="0"/>
          <w:color w:val="000000"/>
          <w:sz w:val="19"/>
        </w:rPr>
        <w:t>Corresponding author: Muhammad Ahmad Khan (e-mail: 23jzbcs0238@uetpeshawar.edu.pk)</w:t>
      </w:r>
    </w:p>
    <w:p>
      <w:pPr>
        <w:spacing w:after="60" w:before="0" w:line="254" w:lineRule="auto"/>
        <w:jc w:val="center"/>
      </w:pPr>
      <w:r>
        <w:rPr>
          <w:rFonts w:ascii="Times New Roman" w:hAnsi="Times New Roman"/>
          <w:b/>
          <w:i w:val="0"/>
          <w:color w:val="444A53"/>
          <w:sz w:val="19"/>
        </w:rPr>
        <w:t>[CONFIRM BEFORE SUBMISSION — ORCID iD for each author; IEEE membership grade, if any, appended to a name as "(Member, IEEE)"; author order, which is the supervisor's call; and the funding statement, which IEEE Access requires even when the answer is none.]</w:t>
      </w:r>
    </w:p>
    <w:p>
      <w:pPr>
        <w:spacing w:after="80" w:before="120" w:line="254" w:lineRule="auto"/>
        <w:jc w:val="both"/>
      </w:pPr>
      <w:r>
        <w:rPr>
          <w:rFonts w:ascii="Times New Roman" w:hAnsi="Times New Roman"/>
          <w:b/>
          <w:i w:val="0"/>
          <w:color w:val="000000"/>
          <w:sz w:val="20"/>
        </w:rPr>
        <w:t>Abstract</w:t>
      </w:r>
      <w:r>
        <w:rPr>
          <w:rFonts w:ascii="Times New Roman" w:hAnsi="Times New Roman"/>
          <w:b w:val="0"/>
          <w:i w:val="0"/>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rFonts w:ascii="Times New Roman" w:hAnsi="Times New Roman"/>
          <w:b w:val="0"/>
          <w:i/>
          <w:color w:val="000000"/>
          <w:sz w:val="20"/>
        </w:rPr>
        <w:t>changed because of</w:t>
      </w:r>
      <w:r>
        <w:rPr>
          <w:rFonts w:ascii="Times New Roman" w:hAnsi="Times New Roman"/>
          <w:b w:val="0"/>
          <w:i w:val="0"/>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rFonts w:ascii="Times New Roman" w:hAnsi="Times New Roman"/>
          <w:b w:val="0"/>
          <w:i/>
          <w:color w:val="000000"/>
          <w:sz w:val="20"/>
        </w:rPr>
        <w:t>p</w:t>
      </w:r>
      <w:r>
        <w:rPr>
          <w:rFonts w:ascii="Times New Roman" w:hAnsi="Times New Roman"/>
          <w:b w:val="0"/>
          <w:i w:val="0"/>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rFonts w:ascii="Times New Roman" w:hAnsi="Times New Roman"/>
          <w:b w:val="0"/>
          <w:i/>
          <w:color w:val="000000"/>
          <w:sz w:val="20"/>
        </w:rPr>
        <w:t>liftable target</w:t>
      </w:r>
      <w:r>
        <w:rPr>
          <w:rFonts w:ascii="Times New Roman" w:hAnsi="Times New Roman"/>
          <w:b w:val="0"/>
          <w:i w:val="0"/>
          <w:color w:val="000000"/>
          <w:sz w:val="20"/>
        </w:rPr>
        <w:t>, an address or URL an action can name, and close to none otherwise. Every number reported here is regenerable by a committed command over a released artifact, and the two headline experiments were pre-registered.</w:t>
      </w:r>
    </w:p>
    <w:p>
      <w:pPr>
        <w:spacing w:after="80" w:before="0" w:line="254" w:lineRule="auto"/>
        <w:jc w:val="both"/>
      </w:pPr>
      <w:r>
        <w:rPr>
          <w:rFonts w:ascii="Times New Roman" w:hAnsi="Times New Roman"/>
          <w:b/>
          <w:i w:val="0"/>
          <w:color w:val="000000"/>
          <w:sz w:val="20"/>
        </w:rPr>
        <w:t>Index Terms</w:t>
      </w:r>
      <w:r>
        <w:rPr>
          <w:rFonts w:ascii="Times New Roman" w:hAnsi="Times New Roman"/>
          <w:b w:val="0"/>
          <w:i w:val="0"/>
          <w:color w:val="000000"/>
          <w:sz w:val="20"/>
        </w:rPr>
        <w:t xml:space="preserve"> — indirect prompt injection, LLM agents, causal detection, security evaluation, negative results, tool-integrated language models, reproducibility.</w:t>
      </w:r>
    </w:p>
    <w:p>
      <w:pPr>
        <w:spacing w:after="40" w:before="0" w:line="254" w:lineRule="auto"/>
        <w:jc w:val="both"/>
      </w:pPr>
    </w:p>
    <w:p>
      <w:pPr>
        <w:spacing w:after="100" w:before="240" w:line="254" w:lineRule="auto"/>
        <w:jc w:val="left"/>
      </w:pPr>
      <w:r>
        <w:rPr>
          <w:rFonts w:ascii="Times New Roman" w:hAnsi="Times New Roman"/>
          <w:b/>
          <w:i w:val="0"/>
          <w:color w:val="000000"/>
          <w:sz w:val="22"/>
        </w:rPr>
        <w:t>I. INTRODUCTION</w:t>
      </w:r>
    </w:p>
    <w:p>
      <w:pPr>
        <w:spacing w:after="80" w:before="0" w:line="254" w:lineRule="auto"/>
        <w:jc w:val="both"/>
      </w:pPr>
      <w:r>
        <w:rPr>
          <w:rFonts w:ascii="Times New Roman" w:hAnsi="Times New Roman"/>
          <w:b w:val="0"/>
          <w:i w:val="0"/>
          <w:color w:val="000000"/>
          <w:sz w:val="20"/>
        </w:rPr>
        <w:t xml:space="preserve">An LLM agent that reads tool output is reading untrusted text. When that text contains instructions, the model has no reliable way to distinguish </w:t>
      </w:r>
      <w:r>
        <w:rPr>
          <w:rFonts w:ascii="Times New Roman" w:hAnsi="Times New Roman"/>
          <w:b w:val="0"/>
          <w:i/>
          <w:color w:val="000000"/>
          <w:sz w:val="20"/>
        </w:rPr>
        <w:t>content it was asked to process</w:t>
      </w:r>
      <w:r>
        <w:rPr>
          <w:rFonts w:ascii="Times New Roman" w:hAnsi="Times New Roman"/>
          <w:b w:val="0"/>
          <w:i w:val="0"/>
          <w:color w:val="000000"/>
          <w:sz w:val="20"/>
        </w:rPr>
        <w:t xml:space="preserve"> from </w:t>
      </w:r>
      <w:r>
        <w:rPr>
          <w:rFonts w:ascii="Times New Roman" w:hAnsi="Times New Roman"/>
          <w:b w:val="0"/>
          <w:i/>
          <w:color w:val="000000"/>
          <w:sz w:val="20"/>
        </w:rPr>
        <w:t>a command it was asked to follow</w:t>
      </w:r>
      <w:r>
        <w:rPr>
          <w:rFonts w:ascii="Times New Roman" w:hAnsi="Times New Roman"/>
          <w:b w:val="0"/>
          <w:i w:val="0"/>
          <w:color w:val="000000"/>
          <w:sz w:val="20"/>
        </w:rPr>
        <w:t>. This is indirect prompt injection, and unlike a jailbreak it requires no access to the user: the attacker writes an email, a support ticket, or a build log, and waits for an agent to read it [5].</w:t>
      </w:r>
    </w:p>
    <w:p>
      <w:pPr>
        <w:spacing w:after="80" w:before="0" w:line="254" w:lineRule="auto"/>
        <w:jc w:val="both"/>
      </w:pPr>
      <w:r>
        <w:rPr>
          <w:rFonts w:ascii="Times New Roman" w:hAnsi="Times New Roman"/>
          <w:b w:val="0"/>
          <w:i w:val="0"/>
          <w:color w:val="000000"/>
          <w:sz w:val="20"/>
        </w:rPr>
        <w:t xml:space="preserve">Proposed defenses cluster into two families. </w:t>
      </w:r>
      <w:r>
        <w:rPr>
          <w:rFonts w:ascii="Times New Roman" w:hAnsi="Times New Roman"/>
          <w:b/>
          <w:i w:val="0"/>
          <w:color w:val="000000"/>
          <w:sz w:val="20"/>
        </w:rPr>
        <w:t>Prompt-level</w:t>
      </w:r>
      <w:r>
        <w:rPr>
          <w:rFonts w:ascii="Times New Roman" w:hAnsi="Times New Roman"/>
          <w:b w:val="0"/>
          <w:i w:val="0"/>
          <w:color w:val="000000"/>
          <w:sz w:val="20"/>
        </w:rPr>
        <w:t xml:space="preserve"> defenses mark the untrusted span and instruct the model to disregard instructions inside it [3]. </w:t>
      </w:r>
      <w:r>
        <w:rPr>
          <w:rFonts w:ascii="Times New Roman" w:hAnsi="Times New Roman"/>
          <w:b/>
          <w:i w:val="0"/>
          <w:color w:val="000000"/>
          <w:sz w:val="20"/>
        </w:rPr>
        <w:t>Gate-level</w:t>
      </w:r>
      <w:r>
        <w:rPr>
          <w:rFonts w:ascii="Times New Roman" w:hAnsi="Times New Roman"/>
          <w:b w:val="0"/>
          <w:i w:val="0"/>
          <w:color w:val="000000"/>
          <w:sz w:val="20"/>
        </w:rPr>
        <w:t xml:space="preserve"> defenses constrain what the agent may do afterwards — permission scopes, egress allowlists, sandboxes, tool filters [2]. A third and less-explored family asks a different question: not </w:t>
      </w:r>
      <w:r>
        <w:rPr>
          <w:rFonts w:ascii="Times New Roman" w:hAnsi="Times New Roman"/>
          <w:b w:val="0"/>
          <w:i/>
          <w:color w:val="000000"/>
          <w:sz w:val="20"/>
        </w:rPr>
        <w:t>does this text look dangerous</w:t>
      </w:r>
      <w:r>
        <w:rPr>
          <w:rFonts w:ascii="Times New Roman" w:hAnsi="Times New Roman"/>
          <w:b w:val="0"/>
          <w:i w:val="0"/>
          <w:color w:val="000000"/>
          <w:sz w:val="20"/>
        </w:rPr>
        <w:t xml:space="preserve">, but </w:t>
      </w:r>
      <w:r>
        <w:rPr>
          <w:rFonts w:ascii="Times New Roman" w:hAnsi="Times New Roman"/>
          <w:b/>
          <w:i w:val="0"/>
          <w:color w:val="000000"/>
          <w:sz w:val="20"/>
        </w:rPr>
        <w:t>did the model's proposed action change because of it?</w:t>
      </w:r>
    </w:p>
    <w:p>
      <w:pPr>
        <w:spacing w:after="80" w:before="0" w:line="254" w:lineRule="auto"/>
        <w:jc w:val="both"/>
      </w:pPr>
      <w:r>
        <w:rPr>
          <w:rFonts w:ascii="Times New Roman" w:hAnsi="Times New Roman"/>
          <w:b w:val="0"/>
          <w:i w:val="0"/>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spacing w:after="60" w:before="160" w:line="254" w:lineRule="auto"/>
        <w:jc w:val="left"/>
      </w:pPr>
      <w:r>
        <w:rPr>
          <w:rFonts w:ascii="Times New Roman" w:hAnsi="Times New Roman"/>
          <w:b/>
          <w:i/>
          <w:color w:val="000000"/>
          <w:sz w:val="20"/>
        </w:rPr>
        <w:t>A. What we built and what we asked</w:t>
      </w:r>
    </w:p>
    <w:p>
      <w:pPr>
        <w:spacing w:after="80" w:before="0" w:line="254" w:lineRule="auto"/>
        <w:jc w:val="both"/>
      </w:pPr>
      <w:r>
        <w:rPr>
          <w:rFonts w:ascii="Times New Roman" w:hAnsi="Times New Roman"/>
          <w:b w:val="0"/>
          <w:i w:val="0"/>
          <w:color w:val="000000"/>
          <w:sz w:val="20"/>
        </w:rPr>
        <w:t xml:space="preserve">We implement a six-layer defensive pipeline whose distinguishing element is a causal sub-layer: it runs the model's action selection under four regimes that differ in what the model can see, and treats </w:t>
      </w:r>
      <w:r>
        <w:rPr>
          <w:rFonts w:ascii="Times New Roman" w:hAnsi="Times New Roman"/>
          <w:b w:val="0"/>
          <w:i/>
          <w:color w:val="000000"/>
          <w:sz w:val="20"/>
        </w:rPr>
        <w:t>differences between those regimes</w:t>
      </w:r>
      <w:r>
        <w:rPr>
          <w:rFonts w:ascii="Times New Roman" w:hAnsi="Times New Roman"/>
          <w:b w:val="0"/>
          <w:i w:val="0"/>
          <w:color w:val="000000"/>
          <w:sz w:val="20"/>
        </w:rPr>
        <w:t xml:space="preserve"> as evidence that untrusted content is driving the action. A separate adaptive component observes detection failures and proposes configuration changes for human approval.</w:t>
      </w:r>
    </w:p>
    <w:p>
      <w:pPr>
        <w:spacing w:after="80" w:before="0" w:line="254" w:lineRule="auto"/>
        <w:jc w:val="both"/>
      </w:pPr>
      <w:r>
        <w:rPr>
          <w:rFonts w:ascii="Times New Roman" w:hAnsi="Times New Roman"/>
          <w:b w:val="0"/>
          <w:i w:val="0"/>
          <w:color w:val="000000"/>
          <w:sz w:val="20"/>
        </w:rPr>
        <w:t>We then set out to measure it honestly, which turned out to mean measuring the instruments first.</w:t>
      </w:r>
    </w:p>
    <w:p>
      <w:pPr>
        <w:spacing w:after="60" w:before="160" w:line="254" w:lineRule="auto"/>
        <w:jc w:val="left"/>
      </w:pPr>
      <w:r>
        <w:rPr>
          <w:rFonts w:ascii="Times New Roman" w:hAnsi="Times New Roman"/>
          <w:b/>
          <w:i/>
          <w:color w:val="000000"/>
          <w:sz w:val="20"/>
        </w:rPr>
        <w:t>B. Contributions</w:t>
      </w:r>
    </w:p>
    <w:p>
      <w:pPr>
        <w:spacing w:after="80" w:before="0" w:line="254" w:lineRule="auto"/>
        <w:jc w:val="both"/>
      </w:pPr>
      <w:r>
        <w:rPr>
          <w:rFonts w:ascii="Times New Roman" w:hAnsi="Times New Roman"/>
          <w:b/>
          <w:i w:val="0"/>
          <w:color w:val="000000"/>
          <w:sz w:val="20"/>
        </w:rPr>
        <w:t>1) A component-wise ablation showing that four of six components change no outcome on our own corpus.</w:t>
      </w:r>
      <w:r>
        <w:rPr>
          <w:rFonts w:ascii="Times New Roman" w:hAnsi="Times New Roman"/>
          <w:b w:val="0"/>
          <w:i w:val="0"/>
          <w:color w:val="000000"/>
          <w:sz w:val="20"/>
        </w:rPr>
        <w:t xml:space="preserve"> Ladder and leave-one-out ablations agree on every row: the causal analyzer moves detection (18/0 discordant, exact </w:t>
      </w:r>
      <w:r>
        <w:rPr>
          <w:rFonts w:ascii="Times New Roman" w:hAnsi="Times New Roman"/>
          <w:b w:val="0"/>
          <w:i/>
          <w:color w:val="000000"/>
          <w:sz w:val="20"/>
        </w:rPr>
        <w:t>p</w:t>
      </w:r>
      <w:r>
        <w:rPr>
          <w:rFonts w:ascii="Times New Roman" w:hAnsi="Times New Roman"/>
          <w:b w:val="0"/>
          <w:i w:val="0"/>
          <w:color w:val="000000"/>
          <w:sz w:val="20"/>
        </w:rPr>
        <w:t xml:space="preserve"> = 7.6 × 10⁻⁶), the sanitizer moves workflow continuation (18/0), and the tool-response screener, the policy engine, and both halves of the permission and egress layer are 0/0 with zero discordant pairs. Layer 4 is </w:t>
      </w:r>
      <w:r>
        <w:rPr>
          <w:rFonts w:ascii="Times New Roman" w:hAnsi="Times New Roman"/>
          <w:b w:val="0"/>
          <w:i/>
          <w:color w:val="000000"/>
          <w:sz w:val="20"/>
        </w:rPr>
        <w:t>redundant</w:t>
      </w:r>
      <w:r>
        <w:rPr>
          <w:rFonts w:ascii="Times New Roman" w:hAnsi="Times New Roman"/>
          <w:b w:val="0"/>
          <w:i w:val="0"/>
          <w:color w:val="000000"/>
          <w:sz w:val="20"/>
        </w:rPr>
        <w:t xml:space="preserve"> rather than contributing (§V).</w:t>
      </w:r>
    </w:p>
    <w:p>
      <w:pPr>
        <w:spacing w:after="80" w:before="0" w:line="254" w:lineRule="auto"/>
        <w:jc w:val="both"/>
      </w:pPr>
      <w:r>
        <w:rPr>
          <w:rFonts w:ascii="Times New Roman" w:hAnsi="Times New Roman"/>
          <w:b/>
          <w:i w:val="0"/>
          <w:color w:val="000000"/>
          <w:sz w:val="20"/>
        </w:rPr>
        <w:t>2) A measured comparison against a published prompt-level defense, which is a null.</w:t>
      </w:r>
      <w:r>
        <w:rPr>
          <w:rFonts w:ascii="Times New Roman" w:hAnsi="Times New Roman"/>
          <w:b w:val="0"/>
          <w:i w:val="0"/>
          <w:color w:val="000000"/>
          <w:sz w:val="20"/>
        </w:rPr>
        <w:t xml:space="preserve"> Spotlighting moves the steering rate from 34.8% to 33.3%, McNemar </w:t>
      </w:r>
      <w:r>
        <w:rPr>
          <w:rFonts w:ascii="Times New Roman" w:hAnsi="Times New Roman"/>
          <w:b w:val="0"/>
          <w:i/>
          <w:color w:val="000000"/>
          <w:sz w:val="20"/>
        </w:rPr>
        <w:t>p</w:t>
      </w:r>
      <w:r>
        <w:rPr>
          <w:rFonts w:ascii="Times New Roman" w:hAnsi="Times New Roman"/>
          <w:b w:val="0"/>
          <w:i w:val="0"/>
          <w:color w:val="000000"/>
          <w:sz w:val="20"/>
        </w:rPr>
        <w:t xml:space="preserve"> = 1.00 — and the null decomposes into two per-family effects of opposite sign, because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(§VI).</w:t>
      </w:r>
    </w:p>
    <w:p>
      <w:pPr>
        <w:spacing w:after="80" w:before="0" w:line="254" w:lineRule="auto"/>
        <w:jc w:val="both"/>
      </w:pPr>
      <w:r>
        <w:rPr>
          <w:rFonts w:ascii="Times New Roman" w:hAnsi="Times New Roman"/>
          <w:b/>
          <w:i w:val="0"/>
          <w:color w:val="000000"/>
          <w:sz w:val="20"/>
        </w:rPr>
        <w:t>3) External validity, measured, at a cost.</w:t>
      </w:r>
      <w:r>
        <w:rPr>
          <w:rFonts w:ascii="Times New Roman" w:hAnsi="Times New Roman"/>
          <w:b w:val="0"/>
          <w:i w:val="0"/>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spacing w:after="80" w:before="0" w:line="254" w:lineRule="auto"/>
        <w:jc w:val="both"/>
      </w:pPr>
      <w:r>
        <w:rPr>
          <w:rFonts w:ascii="Times New Roman" w:hAnsi="Times New Roman"/>
          <w:b/>
          <w:i w:val="0"/>
          <w:color w:val="000000"/>
          <w:sz w:val="20"/>
        </w:rPr>
        <w:t>4) A held-out test of the obvious repair, which generalizes about half.</w:t>
      </w:r>
      <w:r>
        <w:rPr>
          <w:rFonts w:ascii="Times New Roman" w:hAnsi="Times New Roman"/>
          <w:b w:val="0"/>
          <w:i w:val="0"/>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spacing w:after="80" w:before="0" w:line="254" w:lineRule="auto"/>
        <w:jc w:val="both"/>
      </w:pPr>
      <w:r>
        <w:rPr>
          <w:rFonts w:ascii="Times New Roman" w:hAnsi="Times New Roman"/>
          <w:b/>
          <w:i w:val="0"/>
          <w:color w:val="000000"/>
          <w:sz w:val="20"/>
        </w:rPr>
        <w:t>5) The first evaluation of a temporal-drift rule whose parameters were formally unidentifiable, and a structural explanation of why it cannot fire.</w:t>
      </w:r>
      <w:r>
        <w:rPr>
          <w:rFonts w:ascii="Times New Roman" w:hAnsi="Times New Roman"/>
          <w:b w:val="0"/>
          <w:i w:val="0"/>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spacing w:after="80" w:before="0" w:line="254" w:lineRule="auto"/>
        <w:jc w:val="both"/>
      </w:pPr>
      <w:r>
        <w:rPr>
          <w:rFonts w:ascii="Times New Roman" w:hAnsi="Times New Roman"/>
          <w:b/>
          <w:i w:val="0"/>
          <w:color w:val="000000"/>
          <w:sz w:val="20"/>
        </w:rPr>
        <w:t>6) Three negative results about adaptive security configuration</w:t>
      </w:r>
      <w:r>
        <w:rPr>
          <w:rFonts w:ascii="Times New Roman" w:hAnsi="Times New Roman"/>
          <w:b w:val="0"/>
          <w:i w:val="0"/>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rFonts w:ascii="Times New Roman" w:hAnsi="Times New Roman"/>
          <w:b w:val="0"/>
          <w:i/>
          <w:color w:val="000000"/>
          <w:sz w:val="20"/>
        </w:rPr>
        <w:t>recomputes</w:t>
      </w:r>
      <w:r>
        <w:rPr>
          <w:rFonts w:ascii="Times New Roman" w:hAnsi="Times New Roman"/>
          <w:b w:val="0"/>
          <w:i w:val="0"/>
          <w:color w:val="000000"/>
          <w:sz w:val="20"/>
        </w:rPr>
        <w:t xml:space="preserve"> evidence rather than trusting a proposal (§X).</w:t>
      </w:r>
    </w:p>
    <w:p>
      <w:pPr>
        <w:spacing w:after="60" w:before="160" w:line="254" w:lineRule="auto"/>
        <w:jc w:val="left"/>
      </w:pPr>
      <w:r>
        <w:rPr>
          <w:rFonts w:ascii="Times New Roman" w:hAnsi="Times New Roman"/>
          <w:b/>
          <w:i/>
          <w:color w:val="000000"/>
          <w:sz w:val="20"/>
        </w:rPr>
        <w:t>C. The claim these converge on</w:t>
      </w:r>
    </w:p>
    <w:p>
      <w:pPr>
        <w:spacing w:after="120" w:before="80" w:line="254" w:lineRule="auto"/>
        <w:ind w:left="504"/>
        <w:jc w:val="left"/>
      </w:pPr>
      <w:r>
        <w:rPr>
          <w:rFonts w:ascii="Times New Roman" w:hAnsi="Times New Roman"/>
          <w:b/>
          <w:i/>
          <w:color w:val="000000"/>
          <w:sz w:val="20"/>
        </w:rPr>
        <w:t>The causal contrast carries discriminative signal when the injected content contains a liftable target — an address or URL the action can name — and close to none otherwise.</w:t>
      </w:r>
    </w:p>
    <w:p>
      <w:pPr>
        <w:spacing w:after="80" w:before="0" w:line="254" w:lineRule="auto"/>
        <w:jc w:val="both"/>
      </w:pPr>
      <w:r>
        <w:rPr>
          <w:rFonts w:ascii="Times New Roman" w:hAnsi="Times New Roman"/>
          <w:b w:val="0"/>
          <w:i w:val="0"/>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spacing w:after="80" w:before="0" w:line="254" w:lineRule="auto"/>
        <w:jc w:val="both"/>
      </w:pPr>
      <w:r>
        <w:rPr>
          <w:rFonts w:ascii="Times New Roman" w:hAnsi="Times New Roman"/>
          <w:b w:val="0"/>
          <w:i w:val="0"/>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rFonts w:ascii="Times New Roman" w:hAnsi="Times New Roman"/>
          <w:b w:val="0"/>
          <w:i/>
          <w:color w:val="000000"/>
          <w:sz w:val="20"/>
        </w:rPr>
        <w:t>scorer</w:t>
      </w:r>
      <w:r>
        <w:rPr>
          <w:rFonts w:ascii="Times New Roman" w:hAnsi="Times New Roman"/>
          <w:b w:val="0"/>
          <w:i w:val="0"/>
          <w:color w:val="000000"/>
          <w:sz w:val="20"/>
        </w:rPr>
        <w:t xml:space="preserve"> rather than of the causal idea.</w:t>
      </w:r>
    </w:p>
    <w:p>
      <w:pPr>
        <w:spacing w:after="60" w:before="160" w:line="254" w:lineRule="auto"/>
        <w:jc w:val="left"/>
      </w:pPr>
      <w:r>
        <w:rPr>
          <w:rFonts w:ascii="Times New Roman" w:hAnsi="Times New Roman"/>
          <w:b/>
          <w:i/>
          <w:color w:val="000000"/>
          <w:sz w:val="20"/>
        </w:rPr>
        <w:t>D. On negative results and instruments</w:t>
      </w:r>
    </w:p>
    <w:p>
      <w:pPr>
        <w:spacing w:after="80" w:before="0" w:line="254" w:lineRule="auto"/>
        <w:jc w:val="both"/>
      </w:pPr>
      <w:r>
        <w:rPr>
          <w:rFonts w:ascii="Times New Roman" w:hAnsi="Times New Roman"/>
          <w:b w:val="0"/>
          <w:i w:val="0"/>
          <w:color w:val="000000"/>
          <w:sz w:val="20"/>
        </w:rPr>
        <w:t xml:space="preserve">Six of the results above are negative, and three surfaced from instrumentation built to answer a different question. That is not incidental. Systems of this kind fail more often in their </w:t>
      </w:r>
      <w:r>
        <w:rPr>
          <w:rFonts w:ascii="Times New Roman" w:hAnsi="Times New Roman"/>
          <w:b/>
          <w:i w:val="0"/>
          <w:color w:val="000000"/>
          <w:sz w:val="20"/>
        </w:rPr>
        <w:t>instruments</w:t>
      </w:r>
      <w:r>
        <w:rPr>
          <w:rFonts w:ascii="Times New Roman" w:hAnsi="Times New Roman"/>
          <w:b w:val="0"/>
          <w:i w:val="0"/>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spacing w:after="100" w:before="240" w:line="254" w:lineRule="auto"/>
        <w:jc w:val="left"/>
      </w:pPr>
      <w:r>
        <w:rPr>
          <w:rFonts w:ascii="Times New Roman" w:hAnsi="Times New Roman"/>
          <w:b/>
          <w:i w:val="0"/>
          <w:color w:val="000000"/>
          <w:sz w:val="22"/>
        </w:rPr>
        <w:t>II. RELATED WORK</w:t>
      </w:r>
    </w:p>
    <w:p>
      <w:pPr>
        <w:spacing w:after="80" w:before="0" w:line="254" w:lineRule="auto"/>
        <w:jc w:val="both"/>
      </w:pPr>
      <w:r>
        <w:rPr>
          <w:rFonts w:ascii="Times New Roman" w:hAnsi="Times New Roman"/>
          <w:b/>
          <w:i w:val="0"/>
          <w:color w:val="000000"/>
          <w:sz w:val="20"/>
        </w:rPr>
        <w:t>Establishing the attack.</w:t>
      </w:r>
      <w:r>
        <w:rPr>
          <w:rFonts w:ascii="Times New Roman" w:hAnsi="Times New Roman"/>
          <w:b w:val="0"/>
          <w:i w:val="0"/>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spacing w:after="80" w:before="0" w:line="254" w:lineRule="auto"/>
        <w:jc w:val="both"/>
      </w:pPr>
      <w:r>
        <w:rPr>
          <w:rFonts w:ascii="Times New Roman" w:hAnsi="Times New Roman"/>
          <w:b/>
          <w:i w:val="0"/>
          <w:color w:val="000000"/>
          <w:sz w:val="20"/>
        </w:rPr>
        <w:t>Benchmarks.</w:t>
      </w:r>
      <w:r>
        <w:rPr>
          <w:rFonts w:ascii="Times New Roman" w:hAnsi="Times New Roman"/>
          <w:b w:val="0"/>
          <w:i w:val="0"/>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spacing w:after="80" w:before="0" w:line="254" w:lineRule="auto"/>
        <w:jc w:val="both"/>
      </w:pPr>
      <w:r>
        <w:rPr>
          <w:rFonts w:ascii="Times New Roman" w:hAnsi="Times New Roman"/>
          <w:b/>
          <w:i w:val="0"/>
          <w:color w:val="000000"/>
          <w:sz w:val="20"/>
        </w:rPr>
        <w:t>Prompt-level defenses.</w:t>
      </w:r>
      <w:r>
        <w:rPr>
          <w:rFonts w:ascii="Times New Roman" w:hAnsi="Times New Roman"/>
          <w:b w:val="0"/>
          <w:i w:val="0"/>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spacing w:after="80" w:before="0" w:line="254" w:lineRule="auto"/>
        <w:jc w:val="both"/>
      </w:pPr>
      <w:r>
        <w:rPr>
          <w:rFonts w:ascii="Times New Roman" w:hAnsi="Times New Roman"/>
          <w:b/>
          <w:i w:val="0"/>
          <w:color w:val="000000"/>
          <w:sz w:val="20"/>
        </w:rPr>
        <w:t>Gate-level defenses.</w:t>
      </w:r>
      <w:r>
        <w:rPr>
          <w:rFonts w:ascii="Times New Roman" w:hAnsi="Times New Roman"/>
          <w:b w:val="0"/>
          <w:i w:val="0"/>
          <w:color w:val="000000"/>
          <w:sz w:val="20"/>
        </w:rPr>
        <w:t xml:space="preserve"> AgentDojo evaluates several, and reports that "our simple tool filtering defense is particularly effective, lowering the attack success rate to 7.5%" [2]. Our Layer 4 belongs to this family, and §V reports it as redundant rather than contributing on our corpus.</w:t>
      </w:r>
    </w:p>
    <w:p>
      <w:pPr>
        <w:spacing w:after="80" w:before="0" w:line="254" w:lineRule="auto"/>
        <w:jc w:val="both"/>
      </w:pPr>
      <w:r>
        <w:rPr>
          <w:rFonts w:ascii="Times New Roman" w:hAnsi="Times New Roman"/>
          <w:b/>
          <w:i w:val="0"/>
          <w:color w:val="000000"/>
          <w:sz w:val="20"/>
        </w:rPr>
        <w:t>Detector-based defenses.</w:t>
      </w:r>
      <w:r>
        <w:rPr>
          <w:rFonts w:ascii="Times New Roman" w:hAnsi="Times New Roman"/>
          <w:b w:val="0"/>
          <w:i w:val="0"/>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rFonts w:ascii="Times New Roman" w:hAnsi="Times New Roman"/>
          <w:b w:val="0"/>
          <w:i/>
          <w:color w:val="000000"/>
          <w:sz w:val="20"/>
        </w:rPr>
        <w:t>text prompt</w:t>
      </w:r>
      <w:r>
        <w:rPr>
          <w:rFonts w:ascii="Times New Roman" w:hAnsi="Times New Roman"/>
          <w:b w:val="0"/>
          <w:i w:val="0"/>
          <w:color w:val="000000"/>
          <w:sz w:val="20"/>
        </w:rPr>
        <w:t xml:space="preserve">; ours classifies a </w:t>
      </w:r>
      <w:r>
        <w:rPr>
          <w:rFonts w:ascii="Times New Roman" w:hAnsi="Times New Roman"/>
          <w:b w:val="0"/>
          <w:i/>
          <w:color w:val="000000"/>
          <w:sz w:val="20"/>
        </w:rPr>
        <w:t>turn of an agent loop</w:t>
      </w:r>
      <w:r>
        <w:rPr>
          <w:rFonts w:ascii="Times New Roman" w:hAnsi="Times New Roman"/>
          <w:b w:val="0"/>
          <w:i w:val="0"/>
          <w:color w:val="000000"/>
          <w:sz w:val="20"/>
        </w:rPr>
        <w:t>, and its input is a behavioural contrast rather than the text itself. §XI positions our numbers against theirs and states precisely why the comparison is indicative rather than like-for-like.</w:t>
      </w:r>
    </w:p>
    <w:p>
      <w:pPr>
        <w:spacing w:after="80" w:before="0" w:line="254" w:lineRule="auto"/>
        <w:jc w:val="both"/>
      </w:pPr>
      <w:r>
        <w:rPr>
          <w:rFonts w:ascii="Times New Roman" w:hAnsi="Times New Roman"/>
          <w:b/>
          <w:i w:val="0"/>
          <w:color w:val="000000"/>
          <w:sz w:val="20"/>
        </w:rPr>
        <w:t>What separates the three families is the unit of evidence.</w:t>
      </w:r>
      <w:r>
        <w:rPr>
          <w:rFonts w:ascii="Times New Roman" w:hAnsi="Times New Roman"/>
          <w:b w:val="0"/>
          <w:i w:val="0"/>
          <w:color w:val="000000"/>
          <w:sz w:val="20"/>
        </w:rPr>
        <w:t xml:space="preserve"> A prompt-level defense reasons over the </w:t>
      </w:r>
      <w:r>
        <w:rPr>
          <w:rFonts w:ascii="Times New Roman" w:hAnsi="Times New Roman"/>
          <w:b w:val="0"/>
          <w:i/>
          <w:color w:val="000000"/>
          <w:sz w:val="20"/>
        </w:rPr>
        <w:t>text</w:t>
      </w:r>
      <w:r>
        <w:rPr>
          <w:rFonts w:ascii="Times New Roman" w:hAnsi="Times New Roman"/>
          <w:b w:val="0"/>
          <w:i w:val="0"/>
          <w:color w:val="000000"/>
          <w:sz w:val="20"/>
        </w:rPr>
        <w:t xml:space="preserve">, marking its provenance and relying on the model to honour the mark. A gate-level defense reasons over the </w:t>
      </w:r>
      <w:r>
        <w:rPr>
          <w:rFonts w:ascii="Times New Roman" w:hAnsi="Times New Roman"/>
          <w:b w:val="0"/>
          <w:i/>
          <w:color w:val="000000"/>
          <w:sz w:val="20"/>
        </w:rPr>
        <w:t>action</w:t>
      </w:r>
      <w:r>
        <w:rPr>
          <w:rFonts w:ascii="Times New Roman" w:hAnsi="Times New Roman"/>
          <w:b w:val="0"/>
          <w:i w:val="0"/>
          <w:color w:val="000000"/>
          <w:sz w:val="20"/>
        </w:rPr>
        <w:t>, constraining what may be executed regardless of why it was proposed. A detector reasons over the text again, but classifies it rather than annotating it. Each assumption is load-bearing, and each fails in a characteristic place. Marking fails when making a payload legible also makes it more actionable — we measure exactly that in §VI, where a spotlighting re-implementation produces a null that decomposes into two per-family effects of opposite sign. Gating fails when the attacker's objective requires the same permissions as the user's legitimate task, which AgentDojo's own analysis identifies as the boundary of tool filtering, and which §V reproduces as Layer 4 contributing nothing incremental once the detector is on. Classification fails at the operating point: the nine systems PIShield compares trade false positives against misses along a single axis, and the spread of that trade across benchmarks is most of the range available.</w:t>
      </w:r>
    </w:p>
    <w:p>
      <w:pPr>
        <w:spacing w:after="80" w:before="0" w:line="254" w:lineRule="auto"/>
        <w:jc w:val="both"/>
      </w:pPr>
      <w:r>
        <w:rPr>
          <w:rFonts w:ascii="Times New Roman" w:hAnsi="Times New Roman"/>
          <w:b w:val="0"/>
          <w:i w:val="0"/>
          <w:color w:val="000000"/>
          <w:sz w:val="20"/>
        </w:rPr>
        <w:t xml:space="preserve">The causal framing takes a fourth unit: neither the text nor the action, but the </w:t>
      </w:r>
      <w:r>
        <w:rPr>
          <w:rFonts w:ascii="Times New Roman" w:hAnsi="Times New Roman"/>
          <w:b w:val="0"/>
          <w:i/>
          <w:color w:val="000000"/>
          <w:sz w:val="20"/>
        </w:rPr>
        <w:t>relation between them</w:t>
      </w:r>
      <w:r>
        <w:rPr>
          <w:rFonts w:ascii="Times New Roman" w:hAnsi="Times New Roman"/>
          <w:b w:val="0"/>
          <w:i w:val="0"/>
          <w:color w:val="000000"/>
          <w:sz w:val="20"/>
        </w:rPr>
        <w:t xml:space="preserve"> — did this span change what the agent proposed? That is a different question from all three, and it is the reason the approach is worth evaluating rather than assumed. It is also why its failure mode could not be anticipated from the other three. A defense reasoning over a relation needs the relation to be observable, and §VII reports the condition under which it is not: when the injected span names no target an action can lift, the contrast the detector reads is close to zero, and no threshold on it can recover what was never measured.</w:t>
      </w:r>
    </w:p>
    <w:p>
      <w:pPr>
        <w:spacing w:after="80" w:before="0" w:line="254" w:lineRule="auto"/>
        <w:jc w:val="both"/>
      </w:pPr>
      <w:r>
        <w:rPr>
          <w:rFonts w:ascii="Times New Roman" w:hAnsi="Times New Roman"/>
          <w:b/>
          <w:i w:val="0"/>
          <w:color w:val="000000"/>
          <w:sz w:val="20"/>
        </w:rPr>
        <w:t>Protocol-surface work, which motivates the layers below the agent.</w:t>
      </w:r>
      <w:r>
        <w:rPr>
          <w:rFonts w:ascii="Times New Roman" w:hAnsi="Times New Roman"/>
          <w:b w:val="0"/>
          <w:i w:val="0"/>
          <w:color w:val="000000"/>
          <w:sz w:val="20"/>
        </w:rPr>
        <w:t xml:space="preserve"> A fourth line of work targets the tool-integration surface itself rather than the prompt. A survey of more than thirty attack techniques across input manipulation, model compromise, system and privacy attacks, and protocol-level vulnerabilities [13] establishes the threat landscape our Layers 0 and 1 are drawn against; MCPSecBench [11] reports protocol-level attacks succeeding against every evaluated host platform, which is why Layer 0 exists at all. ETDI [12] specifies the signed, versioned tool definitions our server trust registry follows, and AutoMalTool [10] supplies the detection-oracle design for screening tool metadata at registration — a check our pipeline approximates rather than performs, because it consumes tool responses rather than server manifests (§XII). MCP-RiskCue [14] applies GRPO to risk inference over server logs, the same optimiser our adaptive layer uses on a different object. Closest to this work is AgentSentry [9], which also localises injection by counterfactual re-execution at tool-return boundaries and also purifies context for safe continuation; our contribution is not that mechanism but the finding that its discriminative power is governed by whether the injected span carries a liftable target, which requires the stratified reporting of §VII.</w:t>
      </w:r>
    </w:p>
    <w:p>
      <w:pPr>
        <w:spacing w:after="80" w:before="0" w:line="254" w:lineRule="auto"/>
        <w:jc w:val="both"/>
      </w:pPr>
      <w:r>
        <w:rPr>
          <w:rFonts w:ascii="Times New Roman" w:hAnsi="Times New Roman"/>
          <w:b/>
          <w:i w:val="0"/>
          <w:color w:val="000000"/>
          <w:sz w:val="20"/>
        </w:rPr>
        <w:t>What is missing, and what this paper supplies.</w:t>
      </w:r>
      <w:r>
        <w:rPr>
          <w:rFonts w:ascii="Times New Roman" w:hAnsi="Times New Roman"/>
          <w:b w:val="0"/>
          <w:i w:val="0"/>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spacing w:after="100" w:before="240" w:line="254" w:lineRule="auto"/>
        <w:jc w:val="left"/>
      </w:pPr>
      <w:r>
        <w:rPr>
          <w:rFonts w:ascii="Times New Roman" w:hAnsi="Times New Roman"/>
          <w:b/>
          <w:i w:val="0"/>
          <w:color w:val="000000"/>
          <w:sz w:val="22"/>
        </w:rPr>
        <w:t>III. THREAT MODEL AND SYSTEM ARCHITECTURE</w:t>
      </w:r>
    </w:p>
    <w:p>
      <w:pPr>
        <w:spacing w:after="60" w:before="160" w:line="254" w:lineRule="auto"/>
        <w:jc w:val="left"/>
      </w:pPr>
      <w:r>
        <w:rPr>
          <w:rFonts w:ascii="Times New Roman" w:hAnsi="Times New Roman"/>
          <w:b/>
          <w:i/>
          <w:color w:val="000000"/>
          <w:sz w:val="20"/>
        </w:rPr>
        <w:t>A. Threat model</w:t>
      </w:r>
    </w:p>
    <w:p>
      <w:pPr>
        <w:spacing w:after="80" w:before="0" w:line="254" w:lineRule="auto"/>
        <w:jc w:val="both"/>
      </w:pPr>
      <w:r>
        <w:rPr>
          <w:rFonts w:ascii="Times New Roman" w:hAnsi="Times New Roman"/>
          <w:b/>
          <w:i w:val="0"/>
          <w:color w:val="000000"/>
          <w:sz w:val="20"/>
        </w:rPr>
        <w:t>The attacker</w:t>
      </w:r>
      <w:r>
        <w:rPr>
          <w:rFonts w:ascii="Times New Roman" w:hAnsi="Times New Roman"/>
          <w:b w:val="0"/>
          <w:i w:val="0"/>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spacing w:after="80" w:before="0" w:line="254" w:lineRule="auto"/>
        <w:jc w:val="both"/>
      </w:pPr>
      <w:r>
        <w:rPr>
          <w:rFonts w:ascii="Times New Roman" w:hAnsi="Times New Roman"/>
          <w:b/>
          <w:i w:val="0"/>
          <w:color w:val="000000"/>
          <w:sz w:val="20"/>
        </w:rPr>
        <w:t>The mediator</w:t>
      </w:r>
      <w:r>
        <w:rPr>
          <w:rFonts w:ascii="Times New Roman" w:hAnsi="Times New Roman"/>
          <w:b w:val="0"/>
          <w:i w:val="0"/>
          <w:color w:val="000000"/>
          <w:sz w:val="20"/>
        </w:rPr>
        <w:t xml:space="preserve"> is that untrusted span. Everything in this paper turns on boundaries where a mediator enters the agent's context and an action follows.</w:t>
      </w:r>
    </w:p>
    <w:p>
      <w:pPr>
        <w:spacing w:after="80" w:before="0" w:line="254" w:lineRule="auto"/>
        <w:jc w:val="both"/>
      </w:pPr>
      <w:r>
        <w:rPr>
          <w:rFonts w:ascii="Times New Roman" w:hAnsi="Times New Roman"/>
          <w:b/>
          <w:i w:val="0"/>
          <w:color w:val="000000"/>
          <w:sz w:val="20"/>
        </w:rPr>
        <w:t>Success</w:t>
      </w:r>
      <w:r>
        <w:rPr>
          <w:rFonts w:ascii="Times New Roman" w:hAnsi="Times New Roman"/>
          <w:b w:val="0"/>
          <w:i w:val="0"/>
          <w:color w:val="000000"/>
          <w:sz w:val="20"/>
        </w:rPr>
        <w:t xml:space="preserve">, for the attacker, is the agent taking an action the user did not ask for and would not sanction — exfiltrating data, contacting a new recipient, enumerating credentials, changing a permission. We measure this as </w:t>
      </w:r>
      <w:r>
        <w:rPr>
          <w:rFonts w:ascii="Times New Roman" w:hAnsi="Times New Roman"/>
          <w:b/>
          <w:i w:val="0"/>
          <w:color w:val="000000"/>
          <w:sz w:val="20"/>
        </w:rPr>
        <w:t>attack success rate (ASR)</w:t>
      </w:r>
      <w:r>
        <w:rPr>
          <w:rFonts w:ascii="Times New Roman" w:hAnsi="Times New Roman"/>
          <w:b w:val="0"/>
          <w:i w:val="0"/>
          <w:color w:val="000000"/>
          <w:sz w:val="20"/>
        </w:rPr>
        <w:t xml:space="preserve"> at the point of tool invocation, after every gate.</w:t>
      </w:r>
    </w:p>
    <w:p>
      <w:pPr>
        <w:spacing w:after="80" w:before="0" w:line="254" w:lineRule="auto"/>
        <w:jc w:val="both"/>
      </w:pPr>
      <w:r>
        <w:rPr>
          <w:rFonts w:ascii="Times New Roman" w:hAnsi="Times New Roman"/>
          <w:b/>
          <w:i w:val="0"/>
          <w:color w:val="000000"/>
          <w:sz w:val="20"/>
        </w:rPr>
        <w:t>Two secondary outcomes</w:t>
      </w:r>
      <w:r>
        <w:rPr>
          <w:rFonts w:ascii="Times New Roman" w:hAnsi="Times New Roman"/>
          <w:b w:val="0"/>
          <w:i w:val="0"/>
          <w:color w:val="000000"/>
          <w:sz w:val="20"/>
        </w:rPr>
        <w:t xml:space="preserve"> matter and are reported separately, because a defense optimising one while destroying the other is not a defense: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Workflow continuation rate (WCR)</w:t>
      </w:r>
      <w:r>
        <w:rPr>
          <w:rFonts w:ascii="Times New Roman" w:hAnsi="Times New Roman"/>
          <w:b w:val="0"/>
          <w:i w:val="0"/>
          <w:color w:val="000000"/>
          <w:sz w:val="20"/>
        </w:rPr>
        <w:t xml:space="preserve"> — the agent completes the user's genuine task despite the injection, rather than refusing wholesale. A defense that blocks everything scores ASR 0 and is useless.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False positive rate (FPR)</w:t>
      </w:r>
      <w:r>
        <w:rPr>
          <w:rFonts w:ascii="Times New Roman" w:hAnsi="Times New Roman"/>
          <w:b w:val="0"/>
          <w:i w:val="0"/>
          <w:color w:val="000000"/>
          <w:sz w:val="20"/>
        </w:rPr>
        <w:t xml:space="preserve"> — benign documents wrongly flagged, measured on externally-authored benign content rather than our own.</w:t>
      </w:r>
    </w:p>
    <w:p>
      <w:pPr>
        <w:spacing w:after="80" w:before="0" w:line="254" w:lineRule="auto"/>
        <w:jc w:val="both"/>
      </w:pPr>
      <w:r>
        <w:rPr>
          <w:rFonts w:ascii="Times New Roman" w:hAnsi="Times New Roman"/>
          <w:b/>
          <w:i w:val="0"/>
          <w:color w:val="000000"/>
          <w:sz w:val="20"/>
        </w:rPr>
        <w:t>Out of scope:</w:t>
      </w:r>
      <w:r>
        <w:rPr>
          <w:rFonts w:ascii="Times New Roman" w:hAnsi="Times New Roman"/>
          <w:b w:val="0"/>
          <w:i w:val="0"/>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spacing w:after="60" w:before="160" w:line="254" w:lineRule="auto"/>
        <w:jc w:val="left"/>
      </w:pPr>
      <w:r>
        <w:rPr>
          <w:rFonts w:ascii="Times New Roman" w:hAnsi="Times New Roman"/>
          <w:b/>
          <w:i/>
          <w:color w:val="000000"/>
          <w:sz w:val="20"/>
        </w:rPr>
        <w:t>B. A distinction the evaluation forced</w:t>
      </w:r>
    </w:p>
    <w:p>
      <w:pPr>
        <w:spacing w:after="80" w:before="0" w:line="254" w:lineRule="auto"/>
        <w:jc w:val="both"/>
      </w:pPr>
      <w:r>
        <w:rPr>
          <w:rFonts w:ascii="Times New Roman" w:hAnsi="Times New Roman"/>
          <w:b w:val="0"/>
          <w:i w:val="0"/>
          <w:color w:val="000000"/>
          <w:sz w:val="20"/>
        </w:rPr>
        <w:t xml:space="preserve">Two experimental setups appear in this paper and </w:t>
      </w:r>
      <w:r>
        <w:rPr>
          <w:rFonts w:ascii="Times New Roman" w:hAnsi="Times New Roman"/>
          <w:b/>
          <w:i w:val="0"/>
          <w:color w:val="000000"/>
          <w:sz w:val="20"/>
        </w:rPr>
        <w:t>must not be pooled</w:t>
      </w:r>
      <w:r>
        <w:rPr>
          <w:rFonts w:ascii="Times New Roman" w:hAnsi="Times New Roman"/>
          <w:b w:val="0"/>
          <w:i w:val="0"/>
          <w:color w:val="000000"/>
          <w:sz w:val="20"/>
        </w:rPr>
        <w:t>:</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Supplied action</w:t>
      </w:r>
      <w:r>
        <w:rPr>
          <w:rFonts w:ascii="Times New Roman" w:hAnsi="Times New Roman"/>
          <w:b w:val="0"/>
          <w:i w:val="0"/>
          <w:color w:val="000000"/>
          <w:sz w:val="20"/>
        </w:rPr>
        <w:t xml:space="preserve"> — the pipeline is handed a proposed action and judges it. This isolates the detector.</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Derived action</w:t>
      </w:r>
      <w:r>
        <w:rPr>
          <w:rFonts w:ascii="Times New Roman" w:hAnsi="Times New Roman"/>
          <w:b w:val="0"/>
          <w:i w:val="0"/>
          <w:color w:val="000000"/>
          <w:sz w:val="20"/>
        </w:rPr>
        <w:t xml:space="preserve"> — the agent selects its own action from the user's goal and the mediator. This is required to evaluate any prompt-level defense, since those defend </w:t>
      </w:r>
      <w:r>
        <w:rPr>
          <w:rFonts w:ascii="Times New Roman" w:hAnsi="Times New Roman"/>
          <w:b w:val="0"/>
          <w:i/>
          <w:color w:val="000000"/>
          <w:sz w:val="20"/>
        </w:rPr>
        <w:t>action selection</w:t>
      </w:r>
      <w:r>
        <w:rPr>
          <w:rFonts w:ascii="Times New Roman" w:hAnsi="Times New Roman"/>
          <w:b w:val="0"/>
          <w:i w:val="0"/>
          <w:color w:val="000000"/>
          <w:sz w:val="20"/>
        </w:rPr>
        <w:t>, and there is nothing to defend when the action arrives pre-formed.</w:t>
      </w:r>
    </w:p>
    <w:p>
      <w:pPr>
        <w:spacing w:after="80" w:before="0" w:line="254" w:lineRule="auto"/>
        <w:jc w:val="both"/>
      </w:pPr>
      <w:r>
        <w:rPr>
          <w:rFonts w:ascii="Times New Roman" w:hAnsi="Times New Roman"/>
          <w:b w:val="0"/>
          <w:i w:val="0"/>
          <w:color w:val="000000"/>
          <w:sz w:val="20"/>
        </w:rPr>
        <w:t>ASR under the two is not comparable, and we never place them in one table. §VI's baseline comparison is derived-action; §V and §VII are supplied-action.</w:t>
      </w:r>
    </w:p>
    <w:p>
      <w:pPr>
        <w:spacing w:after="60" w:before="160" w:line="254" w:lineRule="auto"/>
        <w:jc w:val="left"/>
      </w:pPr>
      <w:r>
        <w:rPr>
          <w:rFonts w:ascii="Times New Roman" w:hAnsi="Times New Roman"/>
          <w:b/>
          <w:i/>
          <w:color w:val="000000"/>
          <w:sz w:val="20"/>
        </w:rPr>
        <w:t>C. Architecture</w:t>
      </w:r>
    </w:p>
    <w:p>
      <w:pPr>
        <w:spacing w:before="160" w:after="60"/>
        <w:jc w:val="center"/>
      </w:pPr>
      <w:r>
        <w:drawing>
          <wp:inline xmlns:a="http://schemas.openxmlformats.org/drawingml/2006/main" xmlns:pic="http://schemas.openxmlformats.org/drawingml/2006/picture">
            <wp:extent cx="5416854" cy="2834640"/>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541685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1.</w:t>
      </w:r>
      <w:r>
        <w:rPr>
          <w:rFonts w:ascii="Times New Roman" w:hAnsi="Times New Roman"/>
          <w:b w:val="0"/>
          <w:i w:val="0"/>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spacing w:after="80" w:before="0" w:line="254" w:lineRule="auto"/>
        <w:jc w:val="both"/>
      </w:pPr>
      <w:r>
        <w:rPr>
          <w:rFonts w:ascii="Times New Roman" w:hAnsi="Times New Roman"/>
          <w:b w:val="0"/>
          <w:i w:val="0"/>
          <w:color w:val="000000"/>
          <w:sz w:val="20"/>
        </w:rPr>
        <w:t>Six layers compose the pipeline (Table I). Requests traverse the stack and each layer may refuse.</w:t>
      </w:r>
    </w:p>
    <w:tbl>
      <w:tblPr>
        <w:tblStyle w:val="TableGrid"/>
        <w:tblW w:type="auto" w:w="0"/>
        <w:jc w:val="center"/>
        <w:tblLayout w:type="fixed"/>
        <w:tblLook w:firstColumn="1" w:firstRow="1" w:lastColumn="0" w:lastRow="0" w:noHBand="0" w:noVBand="1" w:val="04A0"/>
      </w:tblPr>
      <w:tblGrid>
        <w:gridCol w:w="1189"/>
        <w:gridCol w:w="8171"/>
      </w:tblGrid>
      <w:tr>
        <w:tc>
          <w:tcPr>
            <w:tcW w:type="dxa" w:w="1189"/>
            <w:shd w:val="clear" w:fill="EDF1F5"/>
          </w:tcPr>
          <w:p>
            <w:pPr>
              <w:spacing w:after="20" w:before="20"/>
              <w:jc w:val="left"/>
            </w:pPr>
            <w:r>
              <w:rPr>
                <w:rFonts w:ascii="Times New Roman" w:hAnsi="Times New Roman"/>
                <w:b/>
                <w:i w:val="0"/>
                <w:color w:val="000000"/>
                <w:sz w:val="17"/>
              </w:rPr>
              <w:t>Layer</w:t>
            </w:r>
          </w:p>
        </w:tc>
        <w:tc>
          <w:tcPr>
            <w:tcW w:type="dxa" w:w="8171"/>
            <w:shd w:val="clear" w:fill="EDF1F5"/>
          </w:tcPr>
          <w:p>
            <w:pPr>
              <w:spacing w:after="20" w:before="20"/>
              <w:jc w:val="left"/>
            </w:pPr>
            <w:r>
              <w:rPr>
                <w:rFonts w:ascii="Times New Roman" w:hAnsi="Times New Roman"/>
                <w:b/>
                <w:i w:val="0"/>
                <w:color w:val="000000"/>
                <w:sz w:val="17"/>
              </w:rPr>
              <w:t>Role</w:t>
            </w:r>
          </w:p>
        </w:tc>
      </w:tr>
      <w:tr>
        <w:tc>
          <w:tcPr>
            <w:tcW w:type="dxa" w:w="1189"/>
          </w:tcPr>
          <w:p>
            <w:pPr>
              <w:spacing w:after="20" w:before="20"/>
              <w:jc w:val="left"/>
            </w:pPr>
            <w:r>
              <w:rPr>
                <w:rFonts w:ascii="Times New Roman" w:hAnsi="Times New Roman"/>
                <w:b w:val="0"/>
                <w:i w:val="0"/>
                <w:color w:val="000000"/>
                <w:sz w:val="17"/>
              </w:rPr>
              <w:t>0</w:t>
            </w:r>
          </w:p>
        </w:tc>
        <w:tc>
          <w:tcPr>
            <w:tcW w:type="dxa" w:w="8171"/>
          </w:tcPr>
          <w:p>
            <w:pPr>
              <w:spacing w:after="20" w:before="20"/>
              <w:jc w:val="left"/>
            </w:pPr>
            <w:r>
              <w:rPr>
                <w:rFonts w:ascii="Times New Roman" w:hAnsi="Times New Roman"/>
                <w:b w:val="0"/>
                <w:i w:val="0"/>
                <w:color w:val="000000"/>
                <w:sz w:val="17"/>
              </w:rPr>
              <w:t>Transport and server trust — registry, allowlist, rug-pull detection</w:t>
            </w:r>
          </w:p>
        </w:tc>
      </w:tr>
      <w:tr>
        <w:tc>
          <w:tcPr>
            <w:tcW w:type="dxa" w:w="1189"/>
          </w:tcPr>
          <w:p>
            <w:pPr>
              <w:spacing w:after="20" w:before="20"/>
              <w:jc w:val="left"/>
            </w:pPr>
            <w:r>
              <w:rPr>
                <w:rFonts w:ascii="Times New Roman" w:hAnsi="Times New Roman"/>
                <w:b w:val="0"/>
                <w:i w:val="0"/>
                <w:color w:val="000000"/>
                <w:sz w:val="17"/>
              </w:rPr>
              <w:t>1</w:t>
            </w:r>
          </w:p>
        </w:tc>
        <w:tc>
          <w:tcPr>
            <w:tcW w:type="dxa" w:w="8171"/>
          </w:tcPr>
          <w:p>
            <w:pPr>
              <w:spacing w:after="20" w:before="20"/>
              <w:jc w:val="left"/>
            </w:pPr>
            <w:r>
              <w:rPr>
                <w:rFonts w:ascii="Times New Roman" w:hAnsi="Times New Roman"/>
                <w:b w:val="0"/>
                <w:i w:val="0"/>
                <w:color w:val="000000"/>
                <w:sz w:val="17"/>
              </w:rPr>
              <w:t>Input and supply-chain screening — parsing, context assembly, provenance</w:t>
            </w:r>
          </w:p>
        </w:tc>
      </w:tr>
      <w:tr>
        <w:tc>
          <w:tcPr>
            <w:tcW w:type="dxa" w:w="1189"/>
          </w:tcPr>
          <w:p>
            <w:pPr>
              <w:spacing w:after="20" w:before="20"/>
              <w:jc w:val="left"/>
            </w:pPr>
            <w:r>
              <w:rPr>
                <w:rFonts w:ascii="Times New Roman" w:hAnsi="Times New Roman"/>
                <w:b w:val="0"/>
                <w:i w:val="0"/>
                <w:color w:val="000000"/>
                <w:sz w:val="17"/>
              </w:rPr>
              <w:t>2</w:t>
            </w:r>
          </w:p>
        </w:tc>
        <w:tc>
          <w:tcPr>
            <w:tcW w:type="dxa" w:w="8171"/>
          </w:tcPr>
          <w:p>
            <w:pPr>
              <w:spacing w:after="20" w:before="20"/>
              <w:jc w:val="left"/>
            </w:pPr>
            <w:r>
              <w:rPr>
                <w:rFonts w:ascii="Times New Roman" w:hAnsi="Times New Roman"/>
                <w:b w:val="0"/>
                <w:i w:val="0"/>
                <w:color w:val="000000"/>
                <w:sz w:val="17"/>
              </w:rPr>
              <w:t>Agent control plane, containing the security sub-layer 3A–3D</w:t>
            </w:r>
          </w:p>
        </w:tc>
      </w:tr>
      <w:tr>
        <w:tc>
          <w:tcPr>
            <w:tcW w:type="dxa" w:w="1189"/>
          </w:tcPr>
          <w:p>
            <w:pPr>
              <w:spacing w:after="20" w:before="20"/>
              <w:jc w:val="left"/>
            </w:pPr>
            <w:r>
              <w:rPr>
                <w:rFonts w:ascii="Times New Roman" w:hAnsi="Times New Roman"/>
                <w:b w:val="0"/>
                <w:i w:val="0"/>
                <w:color w:val="000000"/>
                <w:sz w:val="17"/>
              </w:rPr>
              <w:t>3</w:t>
            </w:r>
          </w:p>
        </w:tc>
        <w:tc>
          <w:tcPr>
            <w:tcW w:type="dxa" w:w="8171"/>
          </w:tcPr>
          <w:p>
            <w:pPr>
              <w:spacing w:after="20" w:before="20"/>
              <w:jc w:val="left"/>
            </w:pPr>
            <w:r>
              <w:rPr>
                <w:rFonts w:ascii="Times New Roman" w:hAnsi="Times New Roman"/>
                <w:b w:val="0"/>
                <w:i w:val="0"/>
                <w:color w:val="000000"/>
                <w:sz w:val="17"/>
              </w:rPr>
              <w:t>Tool execution plane and tool-response screener</w:t>
            </w:r>
          </w:p>
        </w:tc>
      </w:tr>
      <w:tr>
        <w:tc>
          <w:tcPr>
            <w:tcW w:type="dxa" w:w="1189"/>
          </w:tcPr>
          <w:p>
            <w:pPr>
              <w:spacing w:after="20" w:before="20"/>
              <w:jc w:val="left"/>
            </w:pPr>
            <w:r>
              <w:rPr>
                <w:rFonts w:ascii="Times New Roman" w:hAnsi="Times New Roman"/>
                <w:b w:val="0"/>
                <w:i w:val="0"/>
                <w:color w:val="000000"/>
                <w:sz w:val="17"/>
              </w:rPr>
              <w:t>4</w:t>
            </w:r>
          </w:p>
        </w:tc>
        <w:tc>
          <w:tcPr>
            <w:tcW w:type="dxa" w:w="8171"/>
          </w:tcPr>
          <w:p>
            <w:pPr>
              <w:spacing w:after="20" w:before="20"/>
              <w:jc w:val="left"/>
            </w:pPr>
            <w:r>
              <w:rPr>
                <w:rFonts w:ascii="Times New Roman" w:hAnsi="Times New Roman"/>
                <w:b w:val="0"/>
                <w:i w:val="0"/>
                <w:color w:val="000000"/>
                <w:sz w:val="17"/>
              </w:rPr>
              <w:t>Sandbox and isolation — permission scope, egress allowlist, container, telemetry</w:t>
            </w:r>
          </w:p>
        </w:tc>
      </w:tr>
      <w:tr>
        <w:tc>
          <w:tcPr>
            <w:tcW w:type="dxa" w:w="1189"/>
          </w:tcPr>
          <w:p>
            <w:pPr>
              <w:spacing w:after="20" w:before="20"/>
              <w:jc w:val="left"/>
            </w:pPr>
            <w:r>
              <w:rPr>
                <w:rFonts w:ascii="Times New Roman" w:hAnsi="Times New Roman"/>
                <w:b w:val="0"/>
                <w:i w:val="0"/>
                <w:color w:val="000000"/>
                <w:sz w:val="17"/>
              </w:rPr>
              <w:t>5</w:t>
            </w:r>
          </w:p>
        </w:tc>
        <w:tc>
          <w:tcPr>
            <w:tcW w:type="dxa" w:w="8171"/>
          </w:tcPr>
          <w:p>
            <w:pPr>
              <w:spacing w:after="20" w:before="20"/>
              <w:jc w:val="left"/>
            </w:pPr>
            <w:r>
              <w:rPr>
                <w:rFonts w:ascii="Times New Roman" w:hAnsi="Times New Roman"/>
                <w:b w:val="0"/>
                <w:i w:val="0"/>
                <w:color w:val="000000"/>
                <w:sz w:val="17"/>
              </w:rPr>
              <w:t>Human-in-the-loop review and observability</w:t>
            </w:r>
          </w:p>
        </w:tc>
      </w:tr>
    </w:tbl>
    <w:p>
      <w:pPr>
        <w:spacing w:after="160" w:before="0" w:line="254" w:lineRule="auto"/>
        <w:jc w:val="left"/>
      </w:pPr>
      <w:r>
        <w:rPr>
          <w:rFonts w:ascii="Times New Roman" w:hAnsi="Times New Roman"/>
          <w:b/>
          <w:i w:val="0"/>
          <w:color w:val="444A53"/>
          <w:sz w:val="17"/>
        </w:rPr>
        <w:t>Table I.</w:t>
      </w:r>
      <w:r>
        <w:rPr>
          <w:rFonts w:ascii="Times New Roman" w:hAnsi="Times New Roman"/>
          <w:b w:val="0"/>
          <w:i w:val="0"/>
          <w:color w:val="444A53"/>
          <w:sz w:val="17"/>
        </w:rPr>
        <w:t xml:space="preserve"> The six layers. The contribution sits inside Layer 2.</w:t>
      </w:r>
    </w:p>
    <w:p>
      <w:pPr>
        <w:spacing w:after="80" w:before="0" w:line="254" w:lineRule="auto"/>
        <w:jc w:val="both"/>
      </w:pPr>
      <w:r>
        <w:rPr>
          <w:rFonts w:ascii="Times New Roman" w:hAnsi="Times New Roman"/>
          <w:b w:val="0"/>
          <w:i w:val="0"/>
          <w:color w:val="000000"/>
          <w:sz w:val="20"/>
        </w:rPr>
        <w:t>The security sub-layer inside Layer 2 contains four components: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3A — policy engine.</w:t>
      </w:r>
      <w:r>
        <w:rPr>
          <w:rFonts w:ascii="Times New Roman" w:hAnsi="Times New Roman"/>
          <w:b w:val="0"/>
          <w:i w:val="0"/>
          <w:color w:val="000000"/>
          <w:sz w:val="20"/>
        </w:rPr>
        <w:t xml:space="preserve"> Static pattern and tool-category rules; routes high-impact tools to causal evaluation.</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3B — causal analyzer.</w:t>
      </w:r>
      <w:r>
        <w:rPr>
          <w:rFonts w:ascii="Times New Roman" w:hAnsi="Times New Roman"/>
          <w:b w:val="0"/>
          <w:i w:val="0"/>
          <w:color w:val="000000"/>
          <w:sz w:val="20"/>
        </w:rPr>
        <w:t xml:space="preserve"> The subject of this paper, described below.</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3C — context sanitizer.</w:t>
      </w:r>
      <w:r>
        <w:rPr>
          <w:rFonts w:ascii="Times New Roman" w:hAnsi="Times New Roman"/>
          <w:b w:val="0"/>
          <w:i w:val="0"/>
          <w:color w:val="000000"/>
          <w:sz w:val="20"/>
        </w:rPr>
        <w:t xml:space="preserve"> Runs only </w:t>
      </w:r>
      <w:r>
        <w:rPr>
          <w:rFonts w:ascii="Times New Roman" w:hAnsi="Times New Roman"/>
          <w:b w:val="0"/>
          <w:i/>
          <w:color w:val="000000"/>
          <w:sz w:val="20"/>
        </w:rPr>
        <w:t>after</w:t>
      </w:r>
      <w:r>
        <w:rPr>
          <w:rFonts w:ascii="Times New Roman" w:hAnsi="Times New Roman"/>
          <w:b w:val="0"/>
          <w:i w:val="0"/>
          <w:color w:val="000000"/>
          <w:sz w:val="20"/>
        </w:rPr>
        <w:t xml:space="preserve"> a takeover verdict, converting a blanket block into a safe continuation. Its contribution is usability, not detection — which §V shows an ASR-only ablation cannot see.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3D — adaptive threat model.</w:t>
      </w:r>
      <w:r>
        <w:rPr>
          <w:rFonts w:ascii="Times New Roman" w:hAnsi="Times New Roman"/>
          <w:b w:val="0"/>
          <w:i w:val="0"/>
          <w:color w:val="000000"/>
          <w:sz w:val="20"/>
        </w:rPr>
        <w:t xml:space="preserve"> Observes labeled outcomes and proposes configuration changes. It never touches model weights; it tunes 3A's patterns and tool set and 3B's thresholds, and every proposal requires human approval.</w:t>
      </w:r>
    </w:p>
    <w:p>
      <w:pPr>
        <w:spacing w:after="60" w:before="160" w:line="254" w:lineRule="auto"/>
        <w:jc w:val="left"/>
      </w:pPr>
      <w:r>
        <w:rPr>
          <w:rFonts w:ascii="Times New Roman" w:hAnsi="Times New Roman"/>
          <w:b/>
          <w:i/>
          <w:color w:val="000000"/>
          <w:sz w:val="20"/>
        </w:rPr>
        <w:t>D. Inside the causal analyzer</w:t>
      </w:r>
    </w:p>
    <w:p>
      <w:pPr>
        <w:spacing w:after="80" w:before="0" w:line="254" w:lineRule="auto"/>
        <w:jc w:val="both"/>
      </w:pPr>
      <w:r>
        <w:rPr>
          <w:rFonts w:ascii="Times New Roman" w:hAnsi="Times New Roman"/>
          <w:b w:val="0"/>
          <w:i w:val="0"/>
          <w:color w:val="000000"/>
          <w:sz w:val="20"/>
        </w:rPr>
        <w:t xml:space="preserve">For each boundary, the model's action selection is run under </w:t>
      </w:r>
      <w:r>
        <w:rPr>
          <w:rFonts w:ascii="Times New Roman" w:hAnsi="Times New Roman"/>
          <w:b/>
          <w:i w:val="0"/>
          <w:color w:val="000000"/>
          <w:sz w:val="20"/>
        </w:rPr>
        <w:t>four regimes</w:t>
      </w:r>
      <w:r>
        <w:rPr>
          <w:rFonts w:ascii="Times New Roman" w:hAnsi="Times New Roman"/>
          <w:b w:val="0"/>
          <w:i w:val="0"/>
          <w:color w:val="000000"/>
          <w:sz w:val="20"/>
        </w:rPr>
        <w:t xml:space="preserve"> differing only in what the model can see, each sampled </w:t>
      </w:r>
      <w:r>
        <w:rPr>
          <w:rFonts w:ascii="Times New Roman" w:hAnsi="Times New Roman"/>
          <w:b w:val="0"/>
          <w:i/>
          <w:color w:val="000000"/>
          <w:sz w:val="20"/>
        </w:rPr>
        <w:t>k</w:t>
      </w:r>
      <w:r>
        <w:rPr>
          <w:rFonts w:ascii="Times New Roman" w:hAnsi="Times New Roman"/>
          <w:b w:val="0"/>
          <w:i w:val="0"/>
          <w:color w:val="000000"/>
          <w:sz w:val="20"/>
        </w:rPr>
        <w:t xml:space="preserve"> times and scored on {0, 1, 2} (Table II).</w:t>
      </w:r>
    </w:p>
    <w:tbl>
      <w:tblPr>
        <w:tblStyle w:val="TableGrid"/>
        <w:tblW w:type="auto" w:w="0"/>
        <w:jc w:val="center"/>
        <w:tblLayout w:type="fixed"/>
        <w:tblLook w:firstColumn="1" w:firstRow="1" w:lastColumn="0" w:lastRow="0" w:noHBand="0" w:noVBand="1" w:val="04A0"/>
      </w:tblPr>
      <w:tblGrid>
        <w:gridCol w:w="1872"/>
        <w:gridCol w:w="3120"/>
        <w:gridCol w:w="4368"/>
      </w:tblGrid>
      <w:tr>
        <w:tc>
          <w:tcPr>
            <w:tcW w:type="dxa" w:w="1872"/>
            <w:shd w:val="clear" w:fill="EDF1F5"/>
          </w:tcPr>
          <w:p>
            <w:pPr>
              <w:spacing w:after="20" w:before="20"/>
              <w:jc w:val="left"/>
            </w:pPr>
            <w:r>
              <w:rPr>
                <w:rFonts w:ascii="Times New Roman" w:hAnsi="Times New Roman"/>
                <w:b/>
                <w:i w:val="0"/>
                <w:color w:val="000000"/>
                <w:sz w:val="17"/>
              </w:rPr>
              <w:t>Regime</w:t>
            </w:r>
          </w:p>
        </w:tc>
        <w:tc>
          <w:tcPr>
            <w:tcW w:type="dxa" w:w="3120"/>
            <w:shd w:val="clear" w:fill="EDF1F5"/>
          </w:tcPr>
          <w:p>
            <w:pPr>
              <w:spacing w:after="20" w:before="20"/>
              <w:jc w:val="left"/>
            </w:pPr>
            <w:r>
              <w:rPr>
                <w:rFonts w:ascii="Times New Roman" w:hAnsi="Times New Roman"/>
                <w:b/>
                <w:i w:val="0"/>
                <w:color w:val="000000"/>
                <w:sz w:val="17"/>
              </w:rPr>
              <w:t>Sees</w:t>
            </w:r>
          </w:p>
        </w:tc>
        <w:tc>
          <w:tcPr>
            <w:tcW w:type="dxa" w:w="4368"/>
            <w:shd w:val="clear" w:fill="EDF1F5"/>
          </w:tcPr>
          <w:p>
            <w:pPr>
              <w:spacing w:after="20" w:before="20"/>
              <w:jc w:val="left"/>
            </w:pPr>
            <w:r>
              <w:rPr>
                <w:rFonts w:ascii="Times New Roman" w:hAnsi="Times New Roman"/>
                <w:b/>
                <w:i w:val="0"/>
                <w:color w:val="000000"/>
                <w:sz w:val="17"/>
              </w:rPr>
              <w:t>Purpose</w:t>
            </w:r>
          </w:p>
        </w:tc>
      </w:tr>
      <w:tr>
        <w:tc>
          <w:tcPr>
            <w:tcW w:type="dxa" w:w="1872"/>
          </w:tcPr>
          <w:p>
            <w:pPr>
              <w:spacing w:after="20" w:before="20"/>
              <w:jc w:val="left"/>
            </w:pPr>
            <w:r>
              <w:rPr>
                <w:rFonts w:ascii="Consolas" w:hAnsi="Consolas"/>
                <w:b w:val="0"/>
                <w:i w:val="0"/>
                <w:color w:val="000000"/>
                <w:sz w:val="16"/>
              </w:rPr>
              <w:t>orig</w:t>
            </w:r>
          </w:p>
        </w:tc>
        <w:tc>
          <w:tcPr>
            <w:tcW w:type="dxa" w:w="3120"/>
          </w:tcPr>
          <w:p>
            <w:pPr>
              <w:spacing w:after="20" w:before="20"/>
              <w:jc w:val="left"/>
            </w:pPr>
            <w:r>
              <w:rPr>
                <w:rFonts w:ascii="Times New Roman" w:hAnsi="Times New Roman"/>
                <w:b w:val="0"/>
                <w:i w:val="0"/>
                <w:color w:val="000000"/>
                <w:sz w:val="17"/>
              </w:rPr>
              <w:t>user goal + mediator</w:t>
            </w:r>
          </w:p>
        </w:tc>
        <w:tc>
          <w:tcPr>
            <w:tcW w:type="dxa" w:w="4368"/>
          </w:tcPr>
          <w:p>
            <w:pPr>
              <w:spacing w:after="20" w:before="20"/>
              <w:jc w:val="left"/>
            </w:pPr>
            <w:r>
              <w:rPr>
                <w:rFonts w:ascii="Times New Roman" w:hAnsi="Times New Roman"/>
                <w:b w:val="0"/>
                <w:i w:val="0"/>
                <w:color w:val="000000"/>
                <w:sz w:val="17"/>
              </w:rPr>
              <w:t>baseline behaviour</w:t>
            </w:r>
          </w:p>
        </w:tc>
      </w:tr>
      <w:tr>
        <w:tc>
          <w:tcPr>
            <w:tcW w:type="dxa" w:w="1872"/>
          </w:tcPr>
          <w:p>
            <w:pPr>
              <w:spacing w:after="20" w:before="20"/>
              <w:jc w:val="left"/>
            </w:pPr>
            <w:r>
              <w:rPr>
                <w:rFonts w:ascii="Consolas" w:hAnsi="Consolas"/>
                <w:b w:val="0"/>
                <w:i w:val="0"/>
                <w:color w:val="000000"/>
                <w:sz w:val="16"/>
              </w:rPr>
              <w:t>masked</w:t>
            </w:r>
          </w:p>
        </w:tc>
        <w:tc>
          <w:tcPr>
            <w:tcW w:type="dxa" w:w="3120"/>
          </w:tcPr>
          <w:p>
            <w:pPr>
              <w:spacing w:after="20" w:before="20"/>
              <w:jc w:val="left"/>
            </w:pPr>
            <w:r>
              <w:rPr>
                <w:rFonts w:ascii="Times New Roman" w:hAnsi="Times New Roman"/>
                <w:b w:val="0"/>
                <w:i w:val="0"/>
                <w:color w:val="000000"/>
                <w:sz w:val="17"/>
              </w:rPr>
              <w:t>mediator only</w:t>
            </w:r>
          </w:p>
        </w:tc>
        <w:tc>
          <w:tcPr>
            <w:tcW w:type="dxa" w:w="4368"/>
          </w:tcPr>
          <w:p>
            <w:pPr>
              <w:spacing w:after="20" w:before="20"/>
              <w:jc w:val="left"/>
            </w:pPr>
            <w:r>
              <w:rPr>
                <w:rFonts w:ascii="Times New Roman" w:hAnsi="Times New Roman"/>
                <w:b w:val="0"/>
                <w:i w:val="0"/>
                <w:color w:val="000000"/>
                <w:sz w:val="17"/>
              </w:rPr>
              <w:t>compliance tendency with no competing task</w:t>
            </w:r>
          </w:p>
        </w:tc>
      </w:tr>
      <w:tr>
        <w:tc>
          <w:tcPr>
            <w:tcW w:type="dxa" w:w="1872"/>
          </w:tcPr>
          <w:p>
            <w:pPr>
              <w:spacing w:after="20" w:before="20"/>
              <w:jc w:val="left"/>
            </w:pPr>
            <w:r>
              <w:rPr>
                <w:rFonts w:ascii="Consolas" w:hAnsi="Consolas"/>
                <w:b w:val="0"/>
                <w:i w:val="0"/>
                <w:color w:val="000000"/>
                <w:sz w:val="16"/>
              </w:rPr>
              <w:t>masked_sanitized</w:t>
            </w:r>
          </w:p>
        </w:tc>
        <w:tc>
          <w:tcPr>
            <w:tcW w:type="dxa" w:w="3120"/>
          </w:tcPr>
          <w:p>
            <w:pPr>
              <w:spacing w:after="20" w:before="20"/>
              <w:jc w:val="left"/>
            </w:pPr>
            <w:r>
              <w:rPr>
                <w:rFonts w:ascii="Times New Roman" w:hAnsi="Times New Roman"/>
                <w:b w:val="0"/>
                <w:i w:val="0"/>
                <w:color w:val="000000"/>
                <w:sz w:val="17"/>
              </w:rPr>
              <w:t>sanitized mediator only</w:t>
            </w:r>
          </w:p>
        </w:tc>
        <w:tc>
          <w:tcPr>
            <w:tcW w:type="dxa" w:w="4368"/>
          </w:tcPr>
          <w:p>
            <w:pPr>
              <w:spacing w:after="20" w:before="20"/>
              <w:jc w:val="left"/>
            </w:pPr>
            <w:r>
              <w:rPr>
                <w:rFonts w:ascii="Times New Roman" w:hAnsi="Times New Roman"/>
                <w:b w:val="0"/>
                <w:i w:val="0"/>
                <w:color w:val="000000"/>
                <w:sz w:val="17"/>
              </w:rPr>
              <w:t>compliance after sanitisation</w:t>
            </w:r>
          </w:p>
        </w:tc>
      </w:tr>
      <w:tr>
        <w:tc>
          <w:tcPr>
            <w:tcW w:type="dxa" w:w="1872"/>
          </w:tcPr>
          <w:p>
            <w:pPr>
              <w:spacing w:after="20" w:before="20"/>
              <w:jc w:val="left"/>
            </w:pPr>
            <w:r>
              <w:rPr>
                <w:rFonts w:ascii="Consolas" w:hAnsi="Consolas"/>
                <w:b w:val="0"/>
                <w:i w:val="0"/>
                <w:color w:val="000000"/>
                <w:sz w:val="16"/>
              </w:rPr>
              <w:t>orig_sanitized</w:t>
            </w:r>
          </w:p>
        </w:tc>
        <w:tc>
          <w:tcPr>
            <w:tcW w:type="dxa" w:w="3120"/>
          </w:tcPr>
          <w:p>
            <w:pPr>
              <w:spacing w:after="20" w:before="20"/>
              <w:jc w:val="left"/>
            </w:pPr>
            <w:r>
              <w:rPr>
                <w:rFonts w:ascii="Times New Roman" w:hAnsi="Times New Roman"/>
                <w:b w:val="0"/>
                <w:i w:val="0"/>
                <w:color w:val="000000"/>
                <w:sz w:val="17"/>
              </w:rPr>
              <w:t>user goal + sanitized mediator</w:t>
            </w:r>
          </w:p>
        </w:tc>
        <w:tc>
          <w:tcPr>
            <w:tcW w:type="dxa" w:w="4368"/>
          </w:tcPr>
          <w:p>
            <w:pPr>
              <w:spacing w:after="20" w:before="20"/>
              <w:jc w:val="left"/>
            </w:pPr>
            <w:r>
              <w:rPr>
                <w:rFonts w:ascii="Times New Roman" w:hAnsi="Times New Roman"/>
                <w:b w:val="0"/>
                <w:i w:val="0"/>
                <w:color w:val="000000"/>
                <w:sz w:val="17"/>
              </w:rPr>
              <w:t>task behaviour after sanitisation</w:t>
            </w:r>
          </w:p>
        </w:tc>
      </w:tr>
    </w:tbl>
    <w:p>
      <w:pPr>
        <w:spacing w:after="160" w:before="0" w:line="254" w:lineRule="auto"/>
        <w:jc w:val="left"/>
      </w:pPr>
      <w:r>
        <w:rPr>
          <w:rFonts w:ascii="Times New Roman" w:hAnsi="Times New Roman"/>
          <w:b/>
          <w:i w:val="0"/>
          <w:color w:val="444A53"/>
          <w:sz w:val="17"/>
        </w:rPr>
        <w:t>Table II.</w:t>
      </w:r>
      <w:r>
        <w:rPr>
          <w:rFonts w:ascii="Times New Roman" w:hAnsi="Times New Roman"/>
          <w:b w:val="0"/>
          <w:i w:val="0"/>
          <w:color w:val="444A53"/>
          <w:sz w:val="17"/>
        </w:rPr>
        <w:t xml:space="preserve"> The four regimes. Two contrasts drive detection: ACE = </w:t>
      </w:r>
      <w:r>
        <w:rPr>
          <w:rFonts w:ascii="Consolas" w:hAnsi="Consolas"/>
          <w:b w:val="0"/>
          <w:i w:val="0"/>
          <w:color w:val="444A53"/>
          <w:sz w:val="16"/>
        </w:rPr>
        <w:t>orig</w:t>
      </w:r>
      <w:r>
        <w:rPr>
          <w:rFonts w:ascii="Times New Roman" w:hAnsi="Times New Roman"/>
          <w:b w:val="0"/>
          <w:i w:val="0"/>
          <w:color w:val="444A53"/>
          <w:sz w:val="17"/>
        </w:rPr>
        <w:t xml:space="preserve"> − </w:t>
      </w:r>
      <w:r>
        <w:rPr>
          <w:rFonts w:ascii="Consolas" w:hAnsi="Consolas"/>
          <w:b w:val="0"/>
          <w:i w:val="0"/>
          <w:color w:val="444A53"/>
          <w:sz w:val="16"/>
        </w:rPr>
        <w:t>masked</w:t>
      </w:r>
      <w:r>
        <w:rPr>
          <w:rFonts w:ascii="Times New Roman" w:hAnsi="Times New Roman"/>
          <w:b w:val="0"/>
          <w:i w:val="0"/>
          <w:color w:val="444A53"/>
          <w:sz w:val="17"/>
        </w:rPr>
        <w:t xml:space="preserve"> and IE = </w:t>
      </w:r>
      <w:r>
        <w:rPr>
          <w:rFonts w:ascii="Consolas" w:hAnsi="Consolas"/>
          <w:b w:val="0"/>
          <w:i w:val="0"/>
          <w:color w:val="444A53"/>
          <w:sz w:val="16"/>
        </w:rPr>
        <w:t>masked</w:t>
      </w:r>
      <w:r>
        <w:rPr>
          <w:rFonts w:ascii="Times New Roman" w:hAnsi="Times New Roman"/>
          <w:b w:val="0"/>
          <w:i w:val="0"/>
          <w:color w:val="444A53"/>
          <w:sz w:val="17"/>
        </w:rPr>
        <w:t xml:space="preserve"> − </w:t>
      </w:r>
      <w:r>
        <w:rPr>
          <w:rFonts w:ascii="Consolas" w:hAnsi="Consolas"/>
          <w:b w:val="0"/>
          <w:i w:val="0"/>
          <w:color w:val="444A53"/>
          <w:sz w:val="16"/>
        </w:rPr>
        <w:t>masked_sanitized</w:t>
      </w:r>
      <w:r>
        <w:rPr>
          <w:rFonts w:ascii="Times New Roman" w:hAnsi="Times New Roman"/>
          <w:b w:val="0"/>
          <w:i w:val="0"/>
          <w:color w:val="444A53"/>
          <w:sz w:val="17"/>
        </w:rPr>
        <w:t>.</w:t>
      </w:r>
    </w:p>
    <w:p>
      <w:pPr>
        <w:spacing w:after="80" w:before="0" w:line="254" w:lineRule="auto"/>
        <w:jc w:val="both"/>
      </w:pPr>
      <w:r>
        <w:rPr>
          <w:rFonts w:ascii="Times New Roman" w:hAnsi="Times New Roman"/>
          <w:b/>
          <w:i w:val="0"/>
          <w:color w:val="000000"/>
          <w:sz w:val="20"/>
        </w:rPr>
        <w:t>Severity is scored at 2</w:t>
      </w:r>
      <w:r>
        <w:rPr>
          <w:rFonts w:ascii="Times New Roman" w:hAnsi="Times New Roman"/>
          <w:b w:val="0"/>
          <w:i w:val="0"/>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spacing w:after="80" w:before="0" w:line="254" w:lineRule="auto"/>
        <w:jc w:val="both"/>
      </w:pPr>
      <w:r>
        <w:rPr>
          <w:rFonts w:ascii="Times New Roman" w:hAnsi="Times New Roman"/>
          <w:b/>
          <w:i w:val="0"/>
          <w:color w:val="000000"/>
          <w:sz w:val="20"/>
        </w:rPr>
        <w:t>Takeover fires on any of three rules:</w:t>
      </w:r>
    </w:p>
    <w:p>
      <w:pPr>
        <w:spacing w:after="40" w:before="0" w:line="254" w:lineRule="auto"/>
        <w:ind w:left="360" w:hanging="360"/>
        <w:jc w:val="both"/>
      </w:pPr>
      <w:r>
        <w:rPr>
          <w:rFonts w:ascii="Times New Roman" w:hAnsi="Times New Roman"/>
          <w:b w:val="0"/>
          <w:i w:val="0"/>
          <w:color w:val="000000"/>
          <w:sz w:val="20"/>
        </w:rPr>
        <w:t xml:space="preserve">1) </w:t>
      </w:r>
      <w:r>
        <w:rPr>
          <w:rFonts w:ascii="Times New Roman" w:hAnsi="Times New Roman"/>
          <w:b/>
          <w:i w:val="0"/>
          <w:color w:val="000000"/>
          <w:sz w:val="20"/>
        </w:rPr>
        <w:t>IE rule</w:t>
      </w:r>
      <w:r>
        <w:rPr>
          <w:rFonts w:ascii="Times New Roman" w:hAnsi="Times New Roman"/>
          <w:b w:val="0"/>
          <w:i w:val="0"/>
          <w:color w:val="000000"/>
          <w:sz w:val="20"/>
        </w:rPr>
        <w:t xml:space="preserve"> — IE ≥ threshold, </w:t>
      </w:r>
      <w:r>
        <w:rPr>
          <w:rFonts w:ascii="Consolas" w:hAnsi="Consolas"/>
          <w:b w:val="0"/>
          <w:i w:val="0"/>
          <w:color w:val="000000"/>
          <w:sz w:val="19"/>
        </w:rPr>
        <w:t>masked</w:t>
      </w:r>
      <w:r>
        <w:rPr>
          <w:rFonts w:ascii="Times New Roman" w:hAnsi="Times New Roman"/>
          <w:b w:val="0"/>
          <w:i w:val="0"/>
          <w:color w:val="000000"/>
          <w:sz w:val="20"/>
        </w:rPr>
        <w:t xml:space="preserve"> ≥ 1, and the separation consistent across samples.</w:t>
      </w:r>
    </w:p>
    <w:p>
      <w:pPr>
        <w:spacing w:after="40" w:before="0" w:line="254" w:lineRule="auto"/>
        <w:ind w:left="360" w:hanging="360"/>
        <w:jc w:val="both"/>
      </w:pPr>
      <w:r>
        <w:rPr>
          <w:rFonts w:ascii="Times New Roman" w:hAnsi="Times New Roman"/>
          <w:b w:val="0"/>
          <w:i w:val="0"/>
          <w:color w:val="000000"/>
          <w:sz w:val="20"/>
        </w:rPr>
        <w:t xml:space="preserve">2) </w:t>
      </w:r>
      <w:r>
        <w:rPr>
          <w:rFonts w:ascii="Times New Roman" w:hAnsi="Times New Roman"/>
          <w:b/>
          <w:i w:val="0"/>
          <w:color w:val="000000"/>
          <w:sz w:val="20"/>
        </w:rPr>
        <w:t>Standalone rule</w:t>
      </w:r>
      <w:r>
        <w:rPr>
          <w:rFonts w:ascii="Times New Roman" w:hAnsi="Times New Roman"/>
          <w:b w:val="0"/>
          <w:i w:val="0"/>
          <w:color w:val="000000"/>
          <w:sz w:val="20"/>
        </w:rPr>
        <w:t xml:space="preserve"> — </w:t>
      </w:r>
      <w:r>
        <w:rPr>
          <w:rFonts w:ascii="Consolas" w:hAnsi="Consolas"/>
          <w:b w:val="0"/>
          <w:i w:val="0"/>
          <w:color w:val="000000"/>
          <w:sz w:val="19"/>
        </w:rPr>
        <w:t>masked</w:t>
      </w:r>
      <w:r>
        <w:rPr>
          <w:rFonts w:ascii="Times New Roman" w:hAnsi="Times New Roman"/>
          <w:b w:val="0"/>
          <w:i w:val="0"/>
          <w:color w:val="000000"/>
          <w:sz w:val="20"/>
        </w:rPr>
        <w:t xml:space="preserve"> ≥ 2, independent of IE. Necessary because the IE rule reads a </w:t>
      </w:r>
      <w:r>
        <w:rPr>
          <w:rFonts w:ascii="Times New Roman" w:hAnsi="Times New Roman"/>
          <w:b w:val="0"/>
          <w:i/>
          <w:color w:val="000000"/>
          <w:sz w:val="20"/>
        </w:rPr>
        <w:t>difference</w:t>
      </w:r>
      <w:r>
        <w:rPr>
          <w:rFonts w:ascii="Times New Roman" w:hAnsi="Times New Roman"/>
          <w:b w:val="0"/>
          <w:i w:val="0"/>
          <w:color w:val="000000"/>
          <w:sz w:val="20"/>
        </w:rPr>
        <w:t xml:space="preserve"> and silently inverts when sanitisation fails: both regimes comply, the severities cancel to IE = 0, and an attack that survived sanitisation reads as safe.</w:t>
      </w:r>
    </w:p>
    <w:p>
      <w:pPr>
        <w:spacing w:after="40" w:before="0" w:line="254" w:lineRule="auto"/>
        <w:ind w:left="360" w:hanging="360"/>
        <w:jc w:val="both"/>
      </w:pPr>
      <w:r>
        <w:rPr>
          <w:rFonts w:ascii="Times New Roman" w:hAnsi="Times New Roman"/>
          <w:b w:val="0"/>
          <w:i w:val="0"/>
          <w:color w:val="000000"/>
          <w:sz w:val="20"/>
        </w:rPr>
        <w:t xml:space="preserve">3) </w:t>
      </w:r>
      <w:r>
        <w:rPr>
          <w:rFonts w:ascii="Times New Roman" w:hAnsi="Times New Roman"/>
          <w:b/>
          <w:i w:val="0"/>
          <w:color w:val="000000"/>
          <w:sz w:val="20"/>
        </w:rPr>
        <w:t>Drift rule</w:t>
      </w:r>
      <w:r>
        <w:rPr>
          <w:rFonts w:ascii="Times New Roman" w:hAnsi="Times New Roman"/>
          <w:b w:val="0"/>
          <w:i w:val="0"/>
          <w:color w:val="000000"/>
          <w:sz w:val="20"/>
        </w:rPr>
        <w:t xml:space="preserve"> — a falling ACE or rising IE slope across a per-session window, gated on </w:t>
      </w:r>
      <w:r>
        <w:rPr>
          <w:rFonts w:ascii="Consolas" w:hAnsi="Consolas"/>
          <w:b w:val="0"/>
          <w:i w:val="0"/>
          <w:color w:val="000000"/>
          <w:sz w:val="19"/>
        </w:rPr>
        <w:t>masked</w:t>
      </w:r>
      <w:r>
        <w:rPr>
          <w:rFonts w:ascii="Times New Roman" w:hAnsi="Times New Roman"/>
          <w:b w:val="0"/>
          <w:i w:val="0"/>
          <w:color w:val="000000"/>
          <w:sz w:val="20"/>
        </w:rPr>
        <w:t xml:space="preserve"> ≥ 1 so that "nothing observed" can never mean takeover.</w:t>
      </w:r>
    </w:p>
    <w:p>
      <w:pPr>
        <w:spacing w:after="80" w:before="0" w:line="254" w:lineRule="auto"/>
        <w:jc w:val="both"/>
      </w:pPr>
      <w:r>
        <w:rPr>
          <w:rFonts w:ascii="Times New Roman" w:hAnsi="Times New Roman"/>
          <w:b w:val="0"/>
          <w:i w:val="0"/>
          <w:color w:val="000000"/>
          <w:sz w:val="20"/>
        </w:rPr>
        <w:t xml:space="preserve">Rules 1 and 3 both consume </w:t>
      </w:r>
      <w:r>
        <w:rPr>
          <w:rFonts w:ascii="Times New Roman" w:hAnsi="Times New Roman"/>
          <w:b w:val="0"/>
          <w:i/>
          <w:color w:val="000000"/>
          <w:sz w:val="20"/>
        </w:rPr>
        <w:t>contrasts</w:t>
      </w:r>
      <w:r>
        <w:rPr>
          <w:rFonts w:ascii="Times New Roman" w:hAnsi="Times New Roman"/>
          <w:b w:val="0"/>
          <w:i w:val="0"/>
          <w:color w:val="000000"/>
          <w:sz w:val="20"/>
        </w:rPr>
        <w:t>; rule 2 consumes an absolute severity. The paper's central finding is that the contrasts are near zero on content without a liftable target, which determines what rules 1 and 3 can do and leaves rule 2 carrying the system.</w:t>
      </w:r>
    </w:p>
    <w:p>
      <w:pPr>
        <w:spacing w:after="60" w:before="160" w:line="254" w:lineRule="auto"/>
        <w:jc w:val="left"/>
      </w:pPr>
      <w:r>
        <w:rPr>
          <w:rFonts w:ascii="Times New Roman" w:hAnsi="Times New Roman"/>
          <w:b/>
          <w:i/>
          <w:color w:val="000000"/>
          <w:sz w:val="20"/>
        </w:rPr>
        <w:t>E. Implementation</w:t>
      </w:r>
    </w:p>
    <w:p>
      <w:pPr>
        <w:spacing w:after="80" w:before="0" w:line="254" w:lineRule="auto"/>
        <w:jc w:val="both"/>
      </w:pPr>
      <w:r>
        <w:rPr>
          <w:rFonts w:ascii="Times New Roman" w:hAnsi="Times New Roman"/>
          <w:b w:val="0"/>
          <w:i w:val="0"/>
          <w:color w:val="000000"/>
          <w:sz w:val="20"/>
        </w:rPr>
        <w:t xml:space="preserve">The pipeline runs locally against small open models — a 4B model for the causal probe, a 3B model for sanitisation and planning — deliberately, because the causal probe requires a model that </w:t>
      </w:r>
      <w:r>
        <w:rPr>
          <w:rFonts w:ascii="Times New Roman" w:hAnsi="Times New Roman"/>
          <w:b w:val="0"/>
          <w:i/>
          <w:color w:val="000000"/>
          <w:sz w:val="20"/>
        </w:rPr>
        <w:t>complies</w:t>
      </w:r>
      <w:r>
        <w:rPr>
          <w:rFonts w:ascii="Times New Roman" w:hAnsi="Times New Roman"/>
          <w:b w:val="0"/>
          <w:i w:val="0"/>
          <w:color w:val="000000"/>
          <w:sz w:val="20"/>
        </w:rPr>
        <w:t xml:space="preserve"> under the masked regime. A more refusal-prone model returns no signal to measure, which is a real constraint on deploying this approach and is stated as a limitation in §XII rather than hidden.</w:t>
      </w:r>
    </w:p>
    <w:p>
      <w:pPr>
        <w:spacing w:after="80" w:before="0" w:line="254" w:lineRule="auto"/>
        <w:jc w:val="both"/>
      </w:pPr>
      <w:r>
        <w:rPr>
          <w:rFonts w:ascii="Times New Roman" w:hAnsi="Times New Roman"/>
          <w:b w:val="0"/>
          <w:i w:val="0"/>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spacing w:after="100" w:before="240" w:line="254" w:lineRule="auto"/>
        <w:jc w:val="left"/>
      </w:pPr>
      <w:r>
        <w:rPr>
          <w:rFonts w:ascii="Times New Roman" w:hAnsi="Times New Roman"/>
          <w:b/>
          <w:i w:val="0"/>
          <w:color w:val="000000"/>
          <w:sz w:val="22"/>
        </w:rPr>
        <w:t>IV. EXPERIMENTAL METHODOLOGY</w:t>
      </w:r>
    </w:p>
    <w:p>
      <w:pPr>
        <w:spacing w:after="80" w:before="0" w:line="254" w:lineRule="auto"/>
        <w:jc w:val="both"/>
      </w:pPr>
      <w:r>
        <w:rPr>
          <w:rFonts w:ascii="Times New Roman" w:hAnsi="Times New Roman"/>
          <w:b w:val="0"/>
          <w:i w:val="0"/>
          <w:color w:val="000000"/>
          <w:sz w:val="20"/>
        </w:rPr>
        <w:t>Because the majority of our results are negative, the discipline that produced them is part of the contribution. Six rules govern every number in this paper.</w:t>
      </w:r>
    </w:p>
    <w:p>
      <w:pPr>
        <w:spacing w:after="80" w:before="0" w:line="254" w:lineRule="auto"/>
        <w:jc w:val="both"/>
      </w:pPr>
      <w:r>
        <w:rPr>
          <w:rFonts w:ascii="Times New Roman" w:hAnsi="Times New Roman"/>
          <w:b/>
          <w:i w:val="0"/>
          <w:color w:val="000000"/>
          <w:sz w:val="20"/>
        </w:rPr>
        <w:t>1) No headline figure without n, the named corpus, and a 95% interval.</w:t>
      </w:r>
      <w:r>
        <w:rPr>
          <w:rFonts w:ascii="Times New Roman" w:hAnsi="Times New Roman"/>
          <w:b w:val="0"/>
          <w:i w:val="0"/>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spacing w:after="80" w:before="0" w:line="254" w:lineRule="auto"/>
        <w:jc w:val="both"/>
      </w:pPr>
      <w:r>
        <w:rPr>
          <w:rFonts w:ascii="Times New Roman" w:hAnsi="Times New Roman"/>
          <w:b/>
          <w:i w:val="0"/>
          <w:color w:val="000000"/>
          <w:sz w:val="20"/>
        </w:rPr>
        <w:t>2) Cohorts of different provenance are never pooled.</w:t>
      </w:r>
      <w:r>
        <w:rPr>
          <w:rFonts w:ascii="Times New Roman" w:hAnsi="Times New Roman"/>
          <w:b w:val="0"/>
          <w:i w:val="0"/>
          <w:color w:val="000000"/>
          <w:sz w:val="20"/>
        </w:rPr>
        <w:t xml:space="preserve"> Our hand-written benign controls and the externally-authored benign documents are separate cohorts, always. Pooling them is what once made a 4/8 count look like a false-positive rate.</w:t>
      </w:r>
    </w:p>
    <w:p>
      <w:pPr>
        <w:spacing w:after="80" w:before="0" w:line="254" w:lineRule="auto"/>
        <w:jc w:val="both"/>
      </w:pPr>
      <w:r>
        <w:rPr>
          <w:rFonts w:ascii="Times New Roman" w:hAnsi="Times New Roman"/>
          <w:b/>
          <w:i w:val="0"/>
          <w:color w:val="000000"/>
          <w:sz w:val="20"/>
        </w:rPr>
        <w:t>3) Every arm shares one code path.</w:t>
      </w:r>
      <w:r>
        <w:rPr>
          <w:rFonts w:ascii="Times New Roman" w:hAnsi="Times New Roman"/>
          <w:b w:val="0"/>
          <w:i w:val="0"/>
          <w:color w:val="000000"/>
          <w:sz w:val="20"/>
        </w:rPr>
        <w:t xml:space="preserve"> Ablation arms are configuration values inside the pipeline, never a forked script. An ablation that runs different code is a different system.</w:t>
      </w:r>
    </w:p>
    <w:p>
      <w:pPr>
        <w:spacing w:after="80" w:before="0" w:line="254" w:lineRule="auto"/>
        <w:jc w:val="both"/>
      </w:pPr>
      <w:r>
        <w:rPr>
          <w:rFonts w:ascii="Times New Roman" w:hAnsi="Times New Roman"/>
          <w:b/>
          <w:i w:val="0"/>
          <w:color w:val="000000"/>
          <w:sz w:val="20"/>
        </w:rPr>
        <w:t>4) At least two comparison arms besides the full system</w:t>
      </w:r>
      <w:r>
        <w:rPr>
          <w:rFonts w:ascii="Times New Roman" w:hAnsi="Times New Roman"/>
          <w:b w:val="0"/>
          <w:i w:val="0"/>
          <w:color w:val="000000"/>
          <w:sz w:val="20"/>
        </w:rPr>
        <w:t xml:space="preserve"> — an undefended floor and a published prompt-level defense — on the same corpus, seeds and model tags. An ablation of our own system does not discharge this requirement.</w:t>
      </w:r>
    </w:p>
    <w:p>
      <w:pPr>
        <w:spacing w:after="80" w:before="0" w:line="254" w:lineRule="auto"/>
        <w:jc w:val="both"/>
      </w:pPr>
      <w:r>
        <w:rPr>
          <w:rFonts w:ascii="Times New Roman" w:hAnsi="Times New Roman"/>
          <w:b/>
          <w:i w:val="0"/>
          <w:color w:val="000000"/>
          <w:sz w:val="20"/>
        </w:rPr>
        <w:t>5) Every number is regenerable by one committed command</w:t>
      </w:r>
      <w:r>
        <w:rPr>
          <w:rFonts w:ascii="Times New Roman" w:hAnsi="Times New Roman"/>
          <w:b w:val="0"/>
          <w:i w:val="0"/>
          <w:color w:val="000000"/>
          <w:sz w:val="20"/>
        </w:rPr>
        <w:t xml:space="preserve"> whose artifact is committed with a run manifest recording commit SHA, working-tree cleanliness, model tags, corpus version and GPU state. A table that cannot be regenerated is not claimed.</w:t>
      </w:r>
    </w:p>
    <w:p>
      <w:pPr>
        <w:spacing w:after="80" w:before="0" w:line="254" w:lineRule="auto"/>
        <w:jc w:val="both"/>
      </w:pPr>
      <w:r>
        <w:rPr>
          <w:rFonts w:ascii="Times New Roman" w:hAnsi="Times New Roman"/>
          <w:b/>
          <w:i w:val="0"/>
          <w:color w:val="000000"/>
          <w:sz w:val="20"/>
        </w:rPr>
        <w:t>6) A statistic is a result, not arithmetic.</w:t>
      </w:r>
      <w:r>
        <w:rPr>
          <w:rFonts w:ascii="Times New Roman" w:hAnsi="Times New Roman"/>
          <w:b w:val="0"/>
          <w:i w:val="0"/>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spacing w:after="80" w:before="0" w:line="254" w:lineRule="auto"/>
        <w:jc w:val="both"/>
      </w:pPr>
      <w:r>
        <w:rPr>
          <w:rFonts w:ascii="Times New Roman" w:hAnsi="Times New Roman"/>
          <w:b/>
          <w:i w:val="0"/>
          <w:color w:val="000000"/>
          <w:sz w:val="20"/>
        </w:rPr>
        <w:t>Paired arms receive a paired test.</w:t>
      </w:r>
      <w:r>
        <w:rPr>
          <w:rFonts w:ascii="Times New Roman" w:hAnsi="Times New Roman"/>
          <w:b w:val="0"/>
          <w:i w:val="0"/>
          <w:color w:val="000000"/>
          <w:sz w:val="20"/>
        </w:rPr>
        <w:t xml:space="preserve"> Arms see identical cases, so outcomes are compared with McNemar's test [8], exact below roughly 25 discordant pairs, rather than by inspecting whether two Wilson intervals overlap.</w:t>
      </w:r>
    </w:p>
    <w:p>
      <w:pPr>
        <w:spacing w:after="80" w:before="0" w:line="254" w:lineRule="auto"/>
        <w:jc w:val="both"/>
      </w:pPr>
      <w:r>
        <w:rPr>
          <w:rFonts w:ascii="Times New Roman" w:hAnsi="Times New Roman"/>
          <w:b/>
          <w:i w:val="0"/>
          <w:color w:val="000000"/>
          <w:sz w:val="20"/>
        </w:rPr>
        <w:t>Determinism.</w:t>
      </w:r>
      <w:r>
        <w:rPr>
          <w:rFonts w:ascii="Times New Roman" w:hAnsi="Times New Roman"/>
          <w:b w:val="0"/>
          <w:i w:val="0"/>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spacing w:after="60" w:before="160" w:line="254" w:lineRule="auto"/>
        <w:jc w:val="left"/>
      </w:pPr>
      <w:r>
        <w:rPr>
          <w:rFonts w:ascii="Times New Roman" w:hAnsi="Times New Roman"/>
          <w:b/>
          <w:i/>
          <w:color w:val="000000"/>
          <w:sz w:val="20"/>
        </w:rPr>
        <w:t>A. Corpora</w:t>
      </w:r>
    </w:p>
    <w:tbl>
      <w:tblPr>
        <w:tblStyle w:val="TableGrid"/>
        <w:tblW w:type="auto" w:w="0"/>
        <w:jc w:val="center"/>
        <w:tblLayout w:type="fixed"/>
        <w:tblLook w:firstColumn="1" w:firstRow="1" w:lastColumn="0" w:lastRow="0" w:noHBand="0" w:noVBand="1" w:val="04A0"/>
      </w:tblPr>
      <w:tblGrid>
        <w:gridCol w:w="1501"/>
        <w:gridCol w:w="706"/>
        <w:gridCol w:w="2296"/>
        <w:gridCol w:w="4857"/>
      </w:tblGrid>
      <w:tr>
        <w:tc>
          <w:tcPr>
            <w:tcW w:type="dxa" w:w="1501"/>
            <w:shd w:val="clear" w:fill="EDF1F5"/>
          </w:tcPr>
          <w:p>
            <w:pPr>
              <w:spacing w:after="20" w:before="20"/>
              <w:jc w:val="left"/>
            </w:pPr>
            <w:r>
              <w:rPr>
                <w:rFonts w:ascii="Times New Roman" w:hAnsi="Times New Roman"/>
                <w:b/>
                <w:i w:val="0"/>
                <w:color w:val="000000"/>
                <w:sz w:val="17"/>
              </w:rPr>
              <w:t>Cohort</w:t>
            </w:r>
          </w:p>
        </w:tc>
        <w:tc>
          <w:tcPr>
            <w:tcW w:type="dxa" w:w="706"/>
            <w:shd w:val="clear" w:fill="EDF1F5"/>
          </w:tcPr>
          <w:p>
            <w:pPr>
              <w:spacing w:after="20" w:before="20"/>
              <w:jc w:val="left"/>
            </w:pPr>
            <w:r>
              <w:rPr>
                <w:rFonts w:ascii="Times New Roman" w:hAnsi="Times New Roman"/>
                <w:b/>
                <w:i w:val="0"/>
                <w:color w:val="000000"/>
                <w:sz w:val="17"/>
              </w:rPr>
              <w:t>n</w:t>
            </w:r>
          </w:p>
        </w:tc>
        <w:tc>
          <w:tcPr>
            <w:tcW w:type="dxa" w:w="2296"/>
            <w:shd w:val="clear" w:fill="EDF1F5"/>
          </w:tcPr>
          <w:p>
            <w:pPr>
              <w:spacing w:after="20" w:before="20"/>
              <w:jc w:val="left"/>
            </w:pPr>
            <w:r>
              <w:rPr>
                <w:rFonts w:ascii="Times New Roman" w:hAnsi="Times New Roman"/>
                <w:b/>
                <w:i w:val="0"/>
                <w:color w:val="000000"/>
                <w:sz w:val="17"/>
              </w:rPr>
              <w:t>Provenance</w:t>
            </w:r>
          </w:p>
        </w:tc>
        <w:tc>
          <w:tcPr>
            <w:tcW w:type="dxa" w:w="4857"/>
            <w:shd w:val="clear" w:fill="EDF1F5"/>
          </w:tcPr>
          <w:p>
            <w:pPr>
              <w:spacing w:after="20" w:before="20"/>
              <w:jc w:val="left"/>
            </w:pPr>
            <w:r>
              <w:rPr>
                <w:rFonts w:ascii="Times New Roman" w:hAnsi="Times New Roman"/>
                <w:b/>
                <w:i w:val="0"/>
                <w:color w:val="000000"/>
                <w:sz w:val="17"/>
              </w:rPr>
              <w:t>Role</w:t>
            </w:r>
          </w:p>
        </w:tc>
      </w:tr>
      <w:tr>
        <w:tc>
          <w:tcPr>
            <w:tcW w:type="dxa" w:w="1501"/>
          </w:tcPr>
          <w:p>
            <w:pPr>
              <w:spacing w:after="20" w:before="20"/>
              <w:jc w:val="left"/>
            </w:pPr>
            <w:r>
              <w:rPr>
                <w:rFonts w:ascii="Times New Roman" w:hAnsi="Times New Roman"/>
                <w:b w:val="0"/>
                <w:i w:val="0"/>
                <w:color w:val="000000"/>
                <w:sz w:val="17"/>
              </w:rPr>
              <w:t>Campaign (ours)</w:t>
            </w:r>
          </w:p>
        </w:tc>
        <w:tc>
          <w:tcPr>
            <w:tcW w:type="dxa" w:w="706"/>
          </w:tcPr>
          <w:p>
            <w:pPr>
              <w:spacing w:after="20" w:before="20"/>
              <w:jc w:val="right"/>
            </w:pPr>
            <w:r>
              <w:rPr>
                <w:rFonts w:ascii="Times New Roman" w:hAnsi="Times New Roman"/>
                <w:b w:val="0"/>
                <w:i w:val="0"/>
                <w:color w:val="000000"/>
                <w:sz w:val="17"/>
              </w:rPr>
              <w:t>188</w:t>
            </w:r>
          </w:p>
        </w:tc>
        <w:tc>
          <w:tcPr>
            <w:tcW w:type="dxa" w:w="2296"/>
          </w:tcPr>
          <w:p>
            <w:pPr>
              <w:spacing w:after="20" w:before="20"/>
              <w:jc w:val="left"/>
            </w:pPr>
            <w:r>
              <w:rPr>
                <w:rFonts w:ascii="Times New Roman" w:hAnsi="Times New Roman"/>
                <w:b w:val="0"/>
                <w:i w:val="0"/>
                <w:color w:val="000000"/>
                <w:sz w:val="17"/>
              </w:rPr>
              <w:t>authored by us</w:t>
            </w:r>
          </w:p>
        </w:tc>
        <w:tc>
          <w:tcPr>
            <w:tcW w:type="dxa" w:w="4857"/>
          </w:tcPr>
          <w:p>
            <w:pPr>
              <w:spacing w:after="20" w:before="20"/>
              <w:jc w:val="left"/>
            </w:pPr>
            <w:r>
              <w:rPr>
                <w:rFonts w:ascii="Times New Roman" w:hAnsi="Times New Roman"/>
                <w:b w:val="0"/>
                <w:i w:val="0"/>
                <w:color w:val="000000"/>
                <w:sz w:val="17"/>
              </w:rPr>
              <w:t>120 malicious, 68 benign; development and the in-corpus headline</w:t>
            </w:r>
          </w:p>
        </w:tc>
      </w:tr>
      <w:tr>
        <w:tc>
          <w:tcPr>
            <w:tcW w:type="dxa" w:w="1501"/>
          </w:tcPr>
          <w:p>
            <w:pPr>
              <w:spacing w:after="20" w:before="20"/>
              <w:jc w:val="left"/>
            </w:pPr>
            <w:r>
              <w:rPr>
                <w:rFonts w:ascii="Times New Roman" w:hAnsi="Times New Roman"/>
                <w:b w:val="0"/>
                <w:i w:val="0"/>
                <w:color w:val="000000"/>
                <w:sz w:val="17"/>
              </w:rPr>
              <w:t>AgentDojo benign</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the false-positive rate of record</w:t>
            </w:r>
          </w:p>
        </w:tc>
      </w:tr>
      <w:tr>
        <w:tc>
          <w:tcPr>
            <w:tcW w:type="dxa" w:w="1501"/>
          </w:tcPr>
          <w:p>
            <w:pPr>
              <w:spacing w:after="20" w:before="20"/>
              <w:jc w:val="left"/>
            </w:pPr>
            <w:r>
              <w:rPr>
                <w:rFonts w:ascii="Times New Roman" w:hAnsi="Times New Roman"/>
                <w:b w:val="0"/>
                <w:i w:val="0"/>
                <w:color w:val="000000"/>
                <w:sz w:val="17"/>
              </w:rPr>
              <w:t>AgentDojo attacks</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holdout, imported after the harm lexicon was frozen</w:t>
            </w:r>
          </w:p>
        </w:tc>
      </w:tr>
      <w:tr>
        <w:tc>
          <w:tcPr>
            <w:tcW w:type="dxa" w:w="1501"/>
          </w:tcPr>
          <w:p>
            <w:pPr>
              <w:spacing w:after="20" w:before="20"/>
              <w:jc w:val="left"/>
            </w:pPr>
            <w:r>
              <w:rPr>
                <w:rFonts w:ascii="Times New Roman" w:hAnsi="Times New Roman"/>
                <w:b w:val="0"/>
                <w:i w:val="0"/>
                <w:color w:val="000000"/>
                <w:sz w:val="17"/>
              </w:rPr>
              <w:t>InjecAgent</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InjecAgent, MIT [1]</w:t>
            </w:r>
          </w:p>
        </w:tc>
        <w:tc>
          <w:tcPr>
            <w:tcW w:type="dxa" w:w="4857"/>
          </w:tcPr>
          <w:p>
            <w:pPr>
              <w:spacing w:after="20" w:before="20"/>
              <w:jc w:val="left"/>
            </w:pPr>
            <w:r>
              <w:rPr>
                <w:rFonts w:ascii="Times New Roman" w:hAnsi="Times New Roman"/>
                <w:b w:val="0"/>
                <w:i w:val="0"/>
                <w:color w:val="000000"/>
                <w:sz w:val="17"/>
              </w:rPr>
              <w:t>direct-harm split, drawn 30/30 across two strata</w:t>
            </w:r>
          </w:p>
        </w:tc>
      </w:tr>
    </w:tbl>
    <w:p>
      <w:pPr>
        <w:spacing w:after="160" w:before="0" w:line="254" w:lineRule="auto"/>
        <w:jc w:val="left"/>
      </w:pPr>
      <w:r>
        <w:rPr>
          <w:rFonts w:ascii="Times New Roman" w:hAnsi="Times New Roman"/>
          <w:b/>
          <w:i w:val="0"/>
          <w:color w:val="444A53"/>
          <w:sz w:val="17"/>
        </w:rPr>
        <w:t>Table III.</w:t>
      </w:r>
      <w:r>
        <w:rPr>
          <w:rFonts w:ascii="Times New Roman" w:hAnsi="Times New Roman"/>
          <w:b w:val="0"/>
          <w:i w:val="0"/>
          <w:color w:val="444A53"/>
          <w:sz w:val="17"/>
        </w:rPr>
        <w:t xml:space="preserve"> Evaluation corpora. Provenance and version are stated for every external corpus; strata are never pooled.</w:t>
      </w:r>
    </w:p>
    <w:p>
      <w:pPr>
        <w:spacing w:after="80" w:before="0" w:line="254" w:lineRule="auto"/>
        <w:jc w:val="both"/>
      </w:pPr>
      <w:r>
        <w:rPr>
          <w:rFonts w:ascii="Times New Roman" w:hAnsi="Times New Roman"/>
          <w:b w:val="0"/>
          <w:i w:val="0"/>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spacing w:after="100" w:before="240" w:line="254" w:lineRule="auto"/>
        <w:jc w:val="left"/>
      </w:pPr>
      <w:r>
        <w:rPr>
          <w:rFonts w:ascii="Times New Roman" w:hAnsi="Times New Roman"/>
          <w:b/>
          <w:i w:val="0"/>
          <w:color w:val="000000"/>
          <w:sz w:val="22"/>
        </w:rPr>
        <w:t>V. PER-COMPONENT ABLATION: ONLY TWO COMPONENTS DO ANYTHING</w:t>
      </w:r>
    </w:p>
    <w:p>
      <w:pPr>
        <w:spacing w:after="120" w:before="0" w:line="254" w:lineRule="auto"/>
        <w:jc w:val="left"/>
      </w:pPr>
      <w:r>
        <w:rPr>
          <w:rFonts w:ascii="Times New Roman" w:hAnsi="Times New Roman"/>
          <w:b w:val="0"/>
          <w:i/>
          <w:color w:val="444A53"/>
          <w:sz w:val="17"/>
        </w:rPr>
        <w:t>Artifacts: `results/phase11/`, `results/phase11_loo/`. 54 cases per arm (21 malicious, 33 benign).</w:t>
      </w:r>
    </w:p>
    <w:p>
      <w:pPr>
        <w:spacing w:after="80" w:before="0" w:line="254" w:lineRule="auto"/>
        <w:jc w:val="both"/>
      </w:pPr>
      <w:r>
        <w:rPr>
          <w:rFonts w:ascii="Times New Roman" w:hAnsi="Times New Roman"/>
          <w:b w:val="0"/>
          <w:i w:val="0"/>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spacing w:after="60" w:before="160" w:line="254" w:lineRule="auto"/>
        <w:jc w:val="left"/>
      </w:pPr>
      <w:r>
        <w:rPr>
          <w:rFonts w:ascii="Times New Roman" w:hAnsi="Times New Roman"/>
          <w:b/>
          <w:i/>
          <w:color w:val="000000"/>
          <w:sz w:val="20"/>
        </w:rPr>
        <w:t>A. Design</w:t>
      </w:r>
    </w:p>
    <w:p>
      <w:pPr>
        <w:spacing w:after="80" w:before="0" w:line="254" w:lineRule="auto"/>
        <w:jc w:val="both"/>
      </w:pPr>
      <w:r>
        <w:rPr>
          <w:rFonts w:ascii="Times New Roman" w:hAnsi="Times New Roman"/>
          <w:b w:val="0"/>
          <w:i w:val="0"/>
          <w:color w:val="000000"/>
          <w:sz w:val="20"/>
        </w:rPr>
        <w:t xml:space="preserve">Two ablations, run independently and compared. A </w:t>
      </w:r>
      <w:r>
        <w:rPr>
          <w:rFonts w:ascii="Times New Roman" w:hAnsi="Times New Roman"/>
          <w:b/>
          <w:i w:val="0"/>
          <w:color w:val="000000"/>
          <w:sz w:val="20"/>
        </w:rPr>
        <w:t>cumulative ladder</w:t>
      </w:r>
      <w:r>
        <w:rPr>
          <w:rFonts w:ascii="Times New Roman" w:hAnsi="Times New Roman"/>
          <w:b w:val="0"/>
          <w:i w:val="0"/>
          <w:color w:val="000000"/>
          <w:sz w:val="20"/>
        </w:rPr>
        <w:t xml:space="preserve"> of seven arms, each adding exactly one component in pipeline order; and a </w:t>
      </w:r>
      <w:r>
        <w:rPr>
          <w:rFonts w:ascii="Times New Roman" w:hAnsi="Times New Roman"/>
          <w:b/>
          <w:i w:val="0"/>
          <w:color w:val="000000"/>
          <w:sz w:val="20"/>
        </w:rPr>
        <w:t>leave-one-out</w:t>
      </w:r>
      <w:r>
        <w:rPr>
          <w:rFonts w:ascii="Times New Roman" w:hAnsi="Times New Roman"/>
          <w:b w:val="0"/>
          <w:i w:val="0"/>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spacing w:after="60" w:before="160" w:line="254" w:lineRule="auto"/>
        <w:jc w:val="left"/>
      </w:pPr>
      <w:r>
        <w:rPr>
          <w:rFonts w:ascii="Times New Roman" w:hAnsi="Times New Roman"/>
          <w:b/>
          <w:i/>
          <w:color w:val="000000"/>
          <w:sz w:val="20"/>
        </w:rPr>
        <w:t>B. Result</w:t>
      </w:r>
    </w:p>
    <w:tbl>
      <w:tblPr>
        <w:tblStyle w:val="TableGrid"/>
        <w:tblW w:type="auto" w:w="0"/>
        <w:jc w:val="center"/>
        <w:tblLayout w:type="fixed"/>
        <w:tblLook w:firstColumn="1" w:firstRow="1" w:lastColumn="0" w:lastRow="0" w:noHBand="0" w:noVBand="1" w:val="04A0"/>
      </w:tblPr>
      <w:tblGrid>
        <w:gridCol w:w="2553"/>
        <w:gridCol w:w="3404"/>
        <w:gridCol w:w="1844"/>
        <w:gridCol w:w="1560"/>
      </w:tblGrid>
      <w:tr>
        <w:tc>
          <w:tcPr>
            <w:tcW w:type="dxa" w:w="2553"/>
            <w:shd w:val="clear" w:fill="EDF1F5"/>
          </w:tcPr>
          <w:p>
            <w:pPr>
              <w:spacing w:after="20" w:before="20"/>
              <w:jc w:val="left"/>
            </w:pPr>
            <w:r>
              <w:rPr>
                <w:rFonts w:ascii="Times New Roman" w:hAnsi="Times New Roman"/>
                <w:b/>
                <w:i w:val="0"/>
                <w:color w:val="000000"/>
                <w:sz w:val="17"/>
              </w:rPr>
              <w:t>Outcome</w:t>
            </w:r>
          </w:p>
        </w:tc>
        <w:tc>
          <w:tcPr>
            <w:tcW w:type="dxa" w:w="3404"/>
            <w:shd w:val="clear" w:fill="EDF1F5"/>
          </w:tcPr>
          <w:p>
            <w:pPr>
              <w:spacing w:after="20" w:before="20"/>
              <w:jc w:val="left"/>
            </w:pPr>
            <w:r>
              <w:rPr>
                <w:rFonts w:ascii="Times New Roman" w:hAnsi="Times New Roman"/>
                <w:b/>
                <w:i w:val="0"/>
                <w:color w:val="000000"/>
                <w:sz w:val="17"/>
              </w:rPr>
              <w:t>The only rung that moves</w:t>
            </w:r>
          </w:p>
        </w:tc>
        <w:tc>
          <w:tcPr>
            <w:tcW w:type="dxa" w:w="1844"/>
            <w:shd w:val="clear" w:fill="EDF1F5"/>
          </w:tcPr>
          <w:p>
            <w:pPr>
              <w:spacing w:after="20" w:before="20"/>
              <w:jc w:val="left"/>
            </w:pPr>
            <w:r>
              <w:rPr>
                <w:rFonts w:ascii="Times New Roman" w:hAnsi="Times New Roman"/>
                <w:b/>
                <w:i w:val="0"/>
                <w:color w:val="000000"/>
                <w:sz w:val="17"/>
              </w:rPr>
              <w:t>helped / hurt</w:t>
            </w:r>
          </w:p>
        </w:tc>
        <w:tc>
          <w:tcPr>
            <w:tcW w:type="dxa" w:w="1560"/>
            <w:shd w:val="clear" w:fill="EDF1F5"/>
          </w:tcPr>
          <w:p>
            <w:pPr>
              <w:spacing w:after="20" w:before="20"/>
              <w:jc w:val="left"/>
            </w:pPr>
            <w:r>
              <w:rPr>
                <w:rFonts w:ascii="Times New Roman" w:hAnsi="Times New Roman"/>
                <w:b/>
                <w:i/>
                <w:color w:val="000000"/>
                <w:sz w:val="17"/>
              </w:rPr>
              <w:t>p</w:t>
            </w:r>
            <w:r>
              <w:rPr>
                <w:rFonts w:ascii="Times New Roman" w:hAnsi="Times New Roman"/>
                <w:b/>
                <w:i w:val="0"/>
                <w:color w:val="000000"/>
                <w:sz w:val="17"/>
              </w:rPr>
              <w:t xml:space="preserve"> (exact)</w:t>
            </w:r>
          </w:p>
        </w:tc>
      </w:tr>
      <w:tr>
        <w:tc>
          <w:tcPr>
            <w:tcW w:type="dxa" w:w="2553"/>
          </w:tcPr>
          <w:p>
            <w:pPr>
              <w:spacing w:after="20" w:before="20"/>
              <w:jc w:val="left"/>
            </w:pPr>
            <w:r>
              <w:rPr>
                <w:rFonts w:ascii="Times New Roman" w:hAnsi="Times New Roman"/>
                <w:b w:val="0"/>
                <w:i w:val="0"/>
                <w:color w:val="000000"/>
                <w:sz w:val="17"/>
              </w:rPr>
              <w:t>attack stopped</w:t>
            </w:r>
          </w:p>
        </w:tc>
        <w:tc>
          <w:tcPr>
            <w:tcW w:type="dxa" w:w="3404"/>
          </w:tcPr>
          <w:p>
            <w:pPr>
              <w:spacing w:after="20" w:before="20"/>
              <w:jc w:val="left"/>
            </w:pPr>
            <w:r>
              <w:rPr>
                <w:rFonts w:ascii="Times New Roman" w:hAnsi="Times New Roman"/>
                <w:b w:val="0"/>
                <w:i w:val="0"/>
                <w:color w:val="000000"/>
                <w:sz w:val="17"/>
              </w:rPr>
              <w:t>3B, causal analyzer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r>
        <w:tc>
          <w:tcPr>
            <w:tcW w:type="dxa" w:w="2553"/>
          </w:tcPr>
          <w:p>
            <w:pPr>
              <w:spacing w:after="20" w:before="20"/>
              <w:jc w:val="left"/>
            </w:pPr>
            <w:r>
              <w:rPr>
                <w:rFonts w:ascii="Times New Roman" w:hAnsi="Times New Roman"/>
                <w:b w:val="0"/>
                <w:i w:val="0"/>
                <w:color w:val="000000"/>
                <w:sz w:val="17"/>
              </w:rPr>
              <w:t>workflow continued</w:t>
            </w:r>
          </w:p>
        </w:tc>
        <w:tc>
          <w:tcPr>
            <w:tcW w:type="dxa" w:w="3404"/>
          </w:tcPr>
          <w:p>
            <w:pPr>
              <w:spacing w:after="20" w:before="20"/>
              <w:jc w:val="left"/>
            </w:pPr>
            <w:r>
              <w:rPr>
                <w:rFonts w:ascii="Times New Roman" w:hAnsi="Times New Roman"/>
                <w:b w:val="0"/>
                <w:i w:val="0"/>
                <w:color w:val="000000"/>
                <w:sz w:val="17"/>
              </w:rPr>
              <w:t>3C, context sanitizer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bl>
    <w:p>
      <w:pPr>
        <w:spacing w:after="160" w:before="0" w:line="254" w:lineRule="auto"/>
        <w:jc w:val="left"/>
      </w:pPr>
      <w:r>
        <w:rPr>
          <w:rFonts w:ascii="Times New Roman" w:hAnsi="Times New Roman"/>
          <w:b/>
          <w:i w:val="0"/>
          <w:color w:val="444A53"/>
          <w:sz w:val="17"/>
        </w:rPr>
        <w:t>Table IV.</w:t>
      </w:r>
      <w:r>
        <w:rPr>
          <w:rFonts w:ascii="Times New Roman" w:hAnsi="Times New Roman"/>
          <w:b w:val="0"/>
          <w:i w:val="0"/>
          <w:color w:val="444A53"/>
          <w:sz w:val="17"/>
        </w:rPr>
        <w:t xml:space="preserve"> Ablation outcomes. Every other rung — tool-response screener, policy engine, permission control, egress allowlist — is 0 helped / 0 hurt with zero discordant pairs.</w:t>
      </w:r>
    </w:p>
    <w:p>
      <w:pPr>
        <w:spacing w:before="160" w:after="60"/>
        <w:jc w:val="center"/>
      </w:pPr>
      <w:r>
        <w:drawing>
          <wp:inline xmlns:a="http://schemas.openxmlformats.org/drawingml/2006/main" xmlns:pic="http://schemas.openxmlformats.org/drawingml/2006/picture">
            <wp:extent cx="4708014" cy="2834640"/>
            <wp:docPr id="2" name="Picture 2"/>
            <wp:cNvGraphicFramePr>
              <a:graphicFrameLocks noChangeAspect="1"/>
            </wp:cNvGraphicFramePr>
            <a:graphic>
              <a:graphicData uri="http://schemas.openxmlformats.org/drawingml/2006/picture">
                <pic:pic>
                  <pic:nvPicPr>
                    <pic:cNvPr id="0" name="fig1_ablation.png"/>
                    <pic:cNvPicPr/>
                  </pic:nvPicPr>
                  <pic:blipFill>
                    <a:blip r:embed="rId11"/>
                    <a:stretch>
                      <a:fillRect/>
                    </a:stretch>
                  </pic:blipFill>
                  <pic:spPr>
                    <a:xfrm>
                      <a:off x="0" y="0"/>
                      <a:ext cx="470801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2.</w:t>
      </w:r>
      <w:r>
        <w:rPr>
          <w:rFonts w:ascii="Times New Roman" w:hAnsi="Times New Roman"/>
          <w:b w:val="0"/>
          <w:i w:val="0"/>
          <w:color w:val="444A53"/>
          <w:sz w:val="17"/>
        </w:rPr>
        <w:t xml:space="preserve"> Cumulative component ablation over the seven-arm ladder (21 attacks, 33 benign). Attack-stopped rate rises only at the causal analyzer and workflow-continued rate only at the sanitizer; every other rung is flat.</w:t>
      </w:r>
    </w:p>
    <w:p>
      <w:pPr>
        <w:spacing w:after="80" w:before="0" w:line="254" w:lineRule="auto"/>
        <w:jc w:val="both"/>
      </w:pPr>
      <w:r>
        <w:rPr>
          <w:rFonts w:ascii="Times New Roman" w:hAnsi="Times New Roman"/>
          <w:b w:val="0"/>
          <w:i w:val="0"/>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spacing w:after="60" w:before="160" w:line="254" w:lineRule="auto"/>
        <w:jc w:val="left"/>
      </w:pPr>
      <w:r>
        <w:rPr>
          <w:rFonts w:ascii="Times New Roman" w:hAnsi="Times New Roman"/>
          <w:b/>
          <w:i/>
          <w:color w:val="000000"/>
          <w:sz w:val="20"/>
        </w:rPr>
        <w:t>C. Two results that cut against the architecture</w:t>
      </w:r>
    </w:p>
    <w:p>
      <w:pPr>
        <w:spacing w:after="80" w:before="0" w:line="254" w:lineRule="auto"/>
        <w:jc w:val="both"/>
      </w:pPr>
      <w:r>
        <w:rPr>
          <w:rFonts w:ascii="Times New Roman" w:hAnsi="Times New Roman"/>
          <w:b/>
          <w:i w:val="0"/>
          <w:color w:val="000000"/>
          <w:sz w:val="20"/>
        </w:rPr>
        <w:t>Layer 4 is redundant, not contributing.</w:t>
      </w:r>
      <w:r>
        <w:rPr>
          <w:rFonts w:ascii="Times New Roman" w:hAnsi="Times New Roman"/>
          <w:b w:val="0"/>
          <w:i w:val="0"/>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rFonts w:ascii="Times New Roman" w:hAnsi="Times New Roman"/>
          <w:b w:val="0"/>
          <w:i/>
          <w:color w:val="000000"/>
          <w:sz w:val="20"/>
        </w:rPr>
        <w:t>for</w:t>
      </w:r>
      <w:r>
        <w:rPr>
          <w:rFonts w:ascii="Times New Roman" w:hAnsi="Times New Roman"/>
          <w:b w:val="0"/>
          <w:i w:val="0"/>
          <w:color w:val="000000"/>
          <w:sz w:val="20"/>
        </w:rPr>
        <w:t xml:space="preserve"> the layer and we do not present it as such.</w:t>
      </w:r>
    </w:p>
    <w:p>
      <w:pPr>
        <w:spacing w:after="80" w:before="0" w:line="254" w:lineRule="auto"/>
        <w:jc w:val="both"/>
      </w:pPr>
      <w:r>
        <w:rPr>
          <w:rFonts w:ascii="Times New Roman" w:hAnsi="Times New Roman"/>
          <w:b/>
          <w:i w:val="0"/>
          <w:color w:val="000000"/>
          <w:sz w:val="20"/>
        </w:rPr>
        <w:t>False positives moved where no p-value could see them.</w:t>
      </w:r>
      <w:r>
        <w:rPr>
          <w:rFonts w:ascii="Times New Roman" w:hAnsi="Times New Roman"/>
          <w:b w:val="0"/>
          <w:i w:val="0"/>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spacing w:after="60" w:before="160" w:line="254" w:lineRule="auto"/>
        <w:jc w:val="left"/>
      </w:pPr>
      <w:r>
        <w:rPr>
          <w:rFonts w:ascii="Times New Roman" w:hAnsi="Times New Roman"/>
          <w:b/>
          <w:i/>
          <w:color w:val="000000"/>
          <w:sz w:val="20"/>
        </w:rPr>
        <w:t>D. A measurement defect worth reporting</w:t>
      </w:r>
    </w:p>
    <w:p>
      <w:pPr>
        <w:spacing w:after="80" w:before="0" w:line="254" w:lineRule="auto"/>
        <w:jc w:val="both"/>
      </w:pPr>
      <w:r>
        <w:rPr>
          <w:rFonts w:ascii="Times New Roman" w:hAnsi="Times New Roman"/>
          <w:b w:val="0"/>
          <w:i w:val="0"/>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spacing w:after="60" w:before="160" w:line="254" w:lineRule="auto"/>
        <w:jc w:val="left"/>
      </w:pPr>
      <w:r>
        <w:rPr>
          <w:rFonts w:ascii="Times New Roman" w:hAnsi="Times New Roman"/>
          <w:b/>
          <w:i/>
          <w:color w:val="000000"/>
          <w:sz w:val="20"/>
        </w:rPr>
        <w:t>E. Scope</w:t>
      </w:r>
    </w:p>
    <w:p>
      <w:pPr>
        <w:spacing w:after="80" w:before="0" w:line="254" w:lineRule="auto"/>
        <w:jc w:val="both"/>
      </w:pPr>
      <w:r>
        <w:rPr>
          <w:rFonts w:ascii="Times New Roman" w:hAnsi="Times New Roman"/>
          <w:b w:val="0"/>
          <w:i w:val="0"/>
          <w:color w:val="000000"/>
          <w:sz w:val="20"/>
        </w:rPr>
        <w:t xml:space="preserve">This establishes that the screener, policy engine and Layer 4 have nothing to do </w:t>
      </w:r>
      <w:r>
        <w:rPr>
          <w:rFonts w:ascii="Times New Roman" w:hAnsi="Times New Roman"/>
          <w:b/>
          <w:i w:val="0"/>
          <w:color w:val="000000"/>
          <w:sz w:val="20"/>
        </w:rPr>
        <w:t>on this corpus</w:t>
      </w:r>
      <w:r>
        <w:rPr>
          <w:rFonts w:ascii="Times New Roman" w:hAnsi="Times New Roman"/>
          <w:b w:val="0"/>
          <w:i w:val="0"/>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rFonts w:ascii="Times New Roman" w:hAnsi="Times New Roman"/>
          <w:b w:val="0"/>
          <w:i/>
          <w:color w:val="000000"/>
          <w:sz w:val="20"/>
        </w:rPr>
        <w:t>responses</w:t>
      </w:r>
      <w:r>
        <w:rPr>
          <w:rFonts w:ascii="Times New Roman" w:hAnsi="Times New Roman"/>
          <w:b w:val="0"/>
          <w:i w:val="0"/>
          <w:color w:val="000000"/>
          <w:sz w:val="20"/>
        </w:rPr>
        <w:t xml:space="preserve"> rather than manifests.</w:t>
      </w:r>
    </w:p>
    <w:p>
      <w:pPr>
        <w:spacing w:after="100" w:before="240" w:line="254" w:lineRule="auto"/>
        <w:jc w:val="left"/>
      </w:pPr>
      <w:r>
        <w:rPr>
          <w:rFonts w:ascii="Times New Roman" w:hAnsi="Times New Roman"/>
          <w:b/>
          <w:i w:val="0"/>
          <w:color w:val="000000"/>
          <w:sz w:val="22"/>
        </w:rPr>
        <w:t>VI. COMPARISON AGAINST A PUBLISHED PROMPT-LEVEL DEFENSE</w:t>
      </w:r>
    </w:p>
    <w:p>
      <w:pPr>
        <w:spacing w:after="120" w:before="0" w:line="254" w:lineRule="auto"/>
        <w:jc w:val="left"/>
      </w:pPr>
      <w:r>
        <w:rPr>
          <w:rFonts w:ascii="Times New Roman" w:hAnsi="Times New Roman"/>
          <w:b w:val="0"/>
          <w:i/>
          <w:color w:val="444A53"/>
          <w:sz w:val="17"/>
        </w:rPr>
        <w:t>Artifact: `results/phase10/`. 86 cases per arm; 66 malicious pairs on the primary outcome.</w:t>
      </w:r>
    </w:p>
    <w:p>
      <w:pPr>
        <w:spacing w:after="80" w:before="0" w:line="254" w:lineRule="auto"/>
        <w:jc w:val="both"/>
      </w:pPr>
      <w:r>
        <w:rPr>
          <w:rFonts w:ascii="Times New Roman" w:hAnsi="Times New Roman"/>
          <w:b w:val="0"/>
          <w:i w:val="0"/>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rFonts w:ascii="Times New Roman" w:hAnsi="Times New Roman"/>
          <w:b/>
          <w:i w:val="0"/>
          <w:color w:val="000000"/>
          <w:sz w:val="20"/>
        </w:rPr>
        <w:t>undefended floor</w:t>
      </w:r>
      <w:r>
        <w:rPr>
          <w:rFonts w:ascii="Times New Roman" w:hAnsi="Times New Roman"/>
          <w:b w:val="0"/>
          <w:i w:val="0"/>
          <w:color w:val="000000"/>
          <w:sz w:val="20"/>
        </w:rPr>
        <w:t xml:space="preserve"> at ASR 100% [84.5%, 100%] over 21 malicious cases, and </w:t>
      </w:r>
      <w:r>
        <w:rPr>
          <w:rFonts w:ascii="Times New Roman" w:hAnsi="Times New Roman"/>
          <w:b/>
          <w:i w:val="0"/>
          <w:color w:val="000000"/>
          <w:sz w:val="20"/>
        </w:rPr>
        <w:t>spotlighting</w:t>
      </w:r>
      <w:r>
        <w:rPr>
          <w:rFonts w:ascii="Times New Roman" w:hAnsi="Times New Roman"/>
          <w:b w:val="0"/>
          <w:i w:val="0"/>
          <w:color w:val="000000"/>
          <w:sz w:val="20"/>
        </w:rPr>
        <w:t xml:space="preserve"> (datamarking) after Hines et al. [3], implemented as a configuration arm sharing one code path with every other arm and kept outside the layer tree by a test that fails if any layer imports it.</w:t>
      </w:r>
    </w:p>
    <w:p>
      <w:pPr>
        <w:spacing w:after="60" w:before="160" w:line="254" w:lineRule="auto"/>
        <w:jc w:val="left"/>
      </w:pPr>
      <w:r>
        <w:rPr>
          <w:rFonts w:ascii="Times New Roman" w:hAnsi="Times New Roman"/>
          <w:b/>
          <w:i/>
          <w:color w:val="000000"/>
          <w:sz w:val="20"/>
        </w:rPr>
        <w:t>A. Result: a null</w:t>
      </w:r>
    </w:p>
    <w:tbl>
      <w:tblPr>
        <w:tblStyle w:val="TableGrid"/>
        <w:tblW w:type="auto" w:w="0"/>
        <w:jc w:val="center"/>
        <w:tblLayout w:type="fixed"/>
        <w:tblLook w:firstColumn="1" w:firstRow="1" w:lastColumn="0" w:lastRow="0" w:noHBand="0" w:noVBand="1" w:val="04A0"/>
      </w:tblPr>
      <w:tblGrid>
        <w:gridCol w:w="3120"/>
        <w:gridCol w:w="1664"/>
        <w:gridCol w:w="1664"/>
        <w:gridCol w:w="2912"/>
      </w:tblGrid>
      <w:tr>
        <w:tc>
          <w:tcPr>
            <w:tcW w:type="dxa" w:w="3120"/>
            <w:shd w:val="clear" w:fill="EDF1F5"/>
          </w:tcPr>
          <w:p>
            <w:pPr>
              <w:spacing w:after="20" w:before="20"/>
              <w:jc w:val="left"/>
            </w:pPr>
            <w:r>
              <w:rPr>
                <w:rFonts w:ascii="Times New Roman" w:hAnsi="Times New Roman"/>
                <w:b/>
                <w:i w:val="0"/>
                <w:color w:val="000000"/>
                <w:sz w:val="17"/>
              </w:rPr>
              <w:t>Arm</w:t>
            </w:r>
          </w:p>
        </w:tc>
        <w:tc>
          <w:tcPr>
            <w:tcW w:type="dxa" w:w="1664"/>
            <w:shd w:val="clear" w:fill="EDF1F5"/>
          </w:tcPr>
          <w:p>
            <w:pPr>
              <w:spacing w:after="20" w:before="20"/>
              <w:jc w:val="left"/>
            </w:pPr>
            <w:r>
              <w:rPr>
                <w:rFonts w:ascii="Times New Roman" w:hAnsi="Times New Roman"/>
                <w:b/>
                <w:i w:val="0"/>
                <w:color w:val="000000"/>
                <w:sz w:val="17"/>
              </w:rPr>
              <w:t>steered</w:t>
            </w:r>
          </w:p>
        </w:tc>
        <w:tc>
          <w:tcPr>
            <w:tcW w:type="dxa" w:w="1664"/>
            <w:shd w:val="clear" w:fill="EDF1F5"/>
          </w:tcPr>
          <w:p>
            <w:pPr>
              <w:spacing w:after="20" w:before="20"/>
              <w:jc w:val="left"/>
            </w:pPr>
            <w:r>
              <w:rPr>
                <w:rFonts w:ascii="Times New Roman" w:hAnsi="Times New Roman"/>
                <w:b/>
                <w:i w:val="0"/>
                <w:color w:val="000000"/>
                <w:sz w:val="17"/>
              </w:rPr>
              <w:t>rate</w:t>
            </w:r>
          </w:p>
        </w:tc>
        <w:tc>
          <w:tcPr>
            <w:tcW w:type="dxa" w:w="2912"/>
            <w:shd w:val="clear" w:fill="EDF1F5"/>
          </w:tcPr>
          <w:p>
            <w:pPr>
              <w:spacing w:after="20" w:before="20"/>
              <w:jc w:val="left"/>
            </w:pPr>
            <w:r>
              <w:rPr>
                <w:rFonts w:ascii="Times New Roman" w:hAnsi="Times New Roman"/>
                <w:b/>
                <w:i w:val="0"/>
                <w:color w:val="000000"/>
                <w:sz w:val="17"/>
              </w:rPr>
              <w:t>95% Wilson</w:t>
            </w:r>
          </w:p>
        </w:tc>
      </w:tr>
      <w:tr>
        <w:tc>
          <w:tcPr>
            <w:tcW w:type="dxa" w:w="3120"/>
          </w:tcPr>
          <w:p>
            <w:pPr>
              <w:spacing w:after="20" w:before="20"/>
              <w:jc w:val="left"/>
            </w:pPr>
            <w:r>
              <w:rPr>
                <w:rFonts w:ascii="Times New Roman" w:hAnsi="Times New Roman"/>
                <w:b w:val="0"/>
                <w:i w:val="0"/>
                <w:color w:val="000000"/>
                <w:sz w:val="17"/>
              </w:rPr>
              <w:t>derived control</w:t>
            </w:r>
          </w:p>
        </w:tc>
        <w:tc>
          <w:tcPr>
            <w:tcW w:type="dxa" w:w="1664"/>
          </w:tcPr>
          <w:p>
            <w:pPr>
              <w:spacing w:after="20" w:before="20"/>
              <w:jc w:val="right"/>
            </w:pPr>
            <w:r>
              <w:rPr>
                <w:rFonts w:ascii="Times New Roman" w:hAnsi="Times New Roman"/>
                <w:b w:val="0"/>
                <w:i w:val="0"/>
                <w:color w:val="000000"/>
                <w:sz w:val="17"/>
              </w:rPr>
              <w:t>23/66</w:t>
            </w:r>
          </w:p>
        </w:tc>
        <w:tc>
          <w:tcPr>
            <w:tcW w:type="dxa" w:w="1664"/>
          </w:tcPr>
          <w:p>
            <w:pPr>
              <w:spacing w:after="20" w:before="20"/>
              <w:jc w:val="right"/>
            </w:pPr>
            <w:r>
              <w:rPr>
                <w:rFonts w:ascii="Times New Roman" w:hAnsi="Times New Roman"/>
                <w:b w:val="0"/>
                <w:i w:val="0"/>
                <w:color w:val="000000"/>
                <w:sz w:val="17"/>
              </w:rPr>
              <w:t>34.8%</w:t>
            </w:r>
          </w:p>
        </w:tc>
        <w:tc>
          <w:tcPr>
            <w:tcW w:type="dxa" w:w="2912"/>
          </w:tcPr>
          <w:p>
            <w:pPr>
              <w:spacing w:after="20" w:before="20"/>
              <w:jc w:val="left"/>
            </w:pPr>
            <w:r>
              <w:rPr>
                <w:rFonts w:ascii="Times New Roman" w:hAnsi="Times New Roman"/>
                <w:b w:val="0"/>
                <w:i w:val="0"/>
                <w:color w:val="000000"/>
                <w:sz w:val="17"/>
              </w:rPr>
              <w:t>[24.5%, 46.9%]</w:t>
            </w:r>
          </w:p>
        </w:tc>
      </w:tr>
      <w:tr>
        <w:tc>
          <w:tcPr>
            <w:tcW w:type="dxa" w:w="3120"/>
          </w:tcPr>
          <w:p>
            <w:pPr>
              <w:spacing w:after="20" w:before="20"/>
              <w:jc w:val="left"/>
            </w:pPr>
            <w:r>
              <w:rPr>
                <w:rFonts w:ascii="Times New Roman" w:hAnsi="Times New Roman"/>
                <w:b w:val="0"/>
                <w:i w:val="0"/>
                <w:color w:val="000000"/>
                <w:sz w:val="17"/>
              </w:rPr>
              <w:t>spotlighting</w:t>
            </w:r>
          </w:p>
        </w:tc>
        <w:tc>
          <w:tcPr>
            <w:tcW w:type="dxa" w:w="1664"/>
          </w:tcPr>
          <w:p>
            <w:pPr>
              <w:spacing w:after="20" w:before="20"/>
              <w:jc w:val="right"/>
            </w:pPr>
            <w:r>
              <w:rPr>
                <w:rFonts w:ascii="Times New Roman" w:hAnsi="Times New Roman"/>
                <w:b w:val="0"/>
                <w:i w:val="0"/>
                <w:color w:val="000000"/>
                <w:sz w:val="17"/>
              </w:rPr>
              <w:t>22/66</w:t>
            </w:r>
          </w:p>
        </w:tc>
        <w:tc>
          <w:tcPr>
            <w:tcW w:type="dxa" w:w="1664"/>
          </w:tcPr>
          <w:p>
            <w:pPr>
              <w:spacing w:after="20" w:before="20"/>
              <w:jc w:val="right"/>
            </w:pPr>
            <w:r>
              <w:rPr>
                <w:rFonts w:ascii="Times New Roman" w:hAnsi="Times New Roman"/>
                <w:b w:val="0"/>
                <w:i w:val="0"/>
                <w:color w:val="000000"/>
                <w:sz w:val="17"/>
              </w:rPr>
              <w:t>33.3%</w:t>
            </w:r>
          </w:p>
        </w:tc>
        <w:tc>
          <w:tcPr>
            <w:tcW w:type="dxa" w:w="2912"/>
          </w:tcPr>
          <w:p>
            <w:pPr>
              <w:spacing w:after="20" w:before="20"/>
              <w:jc w:val="left"/>
            </w:pPr>
            <w:r>
              <w:rPr>
                <w:rFonts w:ascii="Times New Roman" w:hAnsi="Times New Roman"/>
                <w:b w:val="0"/>
                <w:i w:val="0"/>
                <w:color w:val="000000"/>
                <w:sz w:val="17"/>
              </w:rPr>
              <w:t>[23.2%, 45.3%]</w:t>
            </w:r>
          </w:p>
        </w:tc>
      </w:tr>
    </w:tbl>
    <w:p>
      <w:pPr>
        <w:spacing w:after="160" w:before="0" w:line="254" w:lineRule="auto"/>
        <w:jc w:val="left"/>
      </w:pPr>
      <w:r>
        <w:rPr>
          <w:rFonts w:ascii="Times New Roman" w:hAnsi="Times New Roman"/>
          <w:b/>
          <w:i w:val="0"/>
          <w:color w:val="444A53"/>
          <w:sz w:val="17"/>
        </w:rPr>
        <w:t>Table V.</w:t>
      </w:r>
      <w:r>
        <w:rPr>
          <w:rFonts w:ascii="Times New Roman" w:hAnsi="Times New Roman"/>
          <w:b w:val="0"/>
          <w:i w:val="0"/>
          <w:color w:val="444A53"/>
          <w:sz w:val="17"/>
        </w:rPr>
        <w:t xml:space="preserve"> Spotlighting on our harness. Paired McNemar </w:t>
      </w:r>
      <w:r>
        <w:rPr>
          <w:rFonts w:ascii="Times New Roman" w:hAnsi="Times New Roman"/>
          <w:b w:val="0"/>
          <w:i/>
          <w:color w:val="444A53"/>
          <w:sz w:val="17"/>
        </w:rPr>
        <w:t>p</w:t>
      </w:r>
      <w:r>
        <w:rPr>
          <w:rFonts w:ascii="Times New Roman" w:hAnsi="Times New Roman"/>
          <w:b w:val="0"/>
          <w:i w:val="0"/>
          <w:color w:val="444A53"/>
          <w:sz w:val="17"/>
        </w:rPr>
        <w:t xml:space="preserve"> = 1.00, 8 helped / 7 hurt.</w:t>
      </w:r>
    </w:p>
    <w:p>
      <w:pPr>
        <w:spacing w:after="80" w:before="0" w:line="254" w:lineRule="auto"/>
        <w:jc w:val="both"/>
      </w:pPr>
      <w:r>
        <w:rPr>
          <w:rFonts w:ascii="Times New Roman" w:hAnsi="Times New Roman"/>
          <w:b/>
          <w:i w:val="0"/>
          <w:color w:val="000000"/>
          <w:sz w:val="20"/>
        </w:rPr>
        <w:t>The null is not indifference.</w:t>
      </w:r>
      <w:r>
        <w:rPr>
          <w:rFonts w:ascii="Times New Roman" w:hAnsi="Times New Roman"/>
          <w:b w:val="0"/>
          <w:i w:val="0"/>
          <w:color w:val="000000"/>
          <w:sz w:val="20"/>
        </w:rPr>
        <w:t xml:space="preserve"> It decomposes into two per-family effects of opposite sign: one attack family improves from 8 to 5 while another degrades from 0 to 3.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We report the decomposition rather than the pooled null, because the pooled number invites the wrong conclusion.</w:t>
      </w:r>
    </w:p>
    <w:p>
      <w:pPr>
        <w:spacing w:after="60" w:before="160" w:line="254" w:lineRule="auto"/>
        <w:jc w:val="left"/>
      </w:pPr>
      <w:r>
        <w:rPr>
          <w:rFonts w:ascii="Times New Roman" w:hAnsi="Times New Roman"/>
          <w:b/>
          <w:i/>
          <w:color w:val="000000"/>
          <w:sz w:val="20"/>
        </w:rPr>
        <w:t>B. Three qualifiers that travel with this number</w:t>
      </w:r>
    </w:p>
    <w:p>
      <w:pPr>
        <w:spacing w:after="80" w:before="0" w:line="254" w:lineRule="auto"/>
        <w:jc w:val="both"/>
      </w:pPr>
      <w:r>
        <w:rPr>
          <w:rFonts w:ascii="Times New Roman" w:hAnsi="Times New Roman"/>
          <w:b w:val="0"/>
          <w:i w:val="0"/>
          <w:color w:val="000000"/>
          <w:sz w:val="20"/>
        </w:rPr>
        <w:t xml:space="preserve">First, </w:t>
      </w:r>
      <w:r>
        <w:rPr>
          <w:rFonts w:ascii="Times New Roman" w:hAnsi="Times New Roman"/>
          <w:b/>
          <w:i w:val="0"/>
          <w:color w:val="000000"/>
          <w:sz w:val="20"/>
        </w:rPr>
        <w:t>the steering rate is the outcome, not ASR.</w:t>
      </w:r>
      <w:r>
        <w:rPr>
          <w:rFonts w:ascii="Times New Roman" w:hAnsi="Times New Roman"/>
          <w:b w:val="0"/>
          <w:i w:val="0"/>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rFonts w:ascii="Times New Roman" w:hAnsi="Times New Roman"/>
          <w:b/>
          <w:i w:val="0"/>
          <w:color w:val="000000"/>
          <w:sz w:val="20"/>
        </w:rPr>
        <w:t>these arms derive their own action</w:t>
      </w:r>
      <w:r>
        <w:rPr>
          <w:rFonts w:ascii="Times New Roman" w:hAnsi="Times New Roman"/>
          <w:b w:val="0"/>
          <w:i w:val="0"/>
          <w:color w:val="000000"/>
          <w:sz w:val="20"/>
        </w:rPr>
        <w:t xml:space="preserve">, and are therefore not comparable with §V's supplied-action arms. Third, </w:t>
      </w:r>
      <w:r>
        <w:rPr>
          <w:rFonts w:ascii="Times New Roman" w:hAnsi="Times New Roman"/>
          <w:b/>
          <w:i w:val="0"/>
          <w:color w:val="000000"/>
          <w:sz w:val="20"/>
        </w:rPr>
        <w:t>both arms run the agent at temperature 0</w:t>
      </w:r>
      <w:r>
        <w:rPr>
          <w:rFonts w:ascii="Times New Roman" w:hAnsi="Times New Roman"/>
          <w:b w:val="0"/>
          <w:i w:val="0"/>
          <w:color w:val="000000"/>
          <w:sz w:val="20"/>
        </w:rPr>
        <w:t>; the planner had inherited the inference server's default of 0.8 while the analyzer ran at 0, so a deliberately byte-identical prompt was not the same agent, and fixing it moved the undefended floor on its own.</w:t>
      </w:r>
    </w:p>
    <w:p>
      <w:pPr>
        <w:spacing w:after="60" w:before="160" w:line="254" w:lineRule="auto"/>
        <w:jc w:val="left"/>
      </w:pPr>
      <w:r>
        <w:rPr>
          <w:rFonts w:ascii="Times New Roman" w:hAnsi="Times New Roman"/>
          <w:b/>
          <w:i/>
          <w:color w:val="000000"/>
          <w:sz w:val="20"/>
        </w:rPr>
        <w:t>C. The defect that had reversed the sign</w:t>
      </w:r>
    </w:p>
    <w:p>
      <w:pPr>
        <w:spacing w:after="80" w:before="0" w:line="254" w:lineRule="auto"/>
        <w:jc w:val="both"/>
      </w:pPr>
      <w:r>
        <w:rPr>
          <w:rFonts w:ascii="Times New Roman" w:hAnsi="Times New Roman"/>
          <w:b w:val="0"/>
          <w:i w:val="0"/>
          <w:color w:val="000000"/>
          <w:sz w:val="20"/>
        </w:rPr>
        <w:t xml:space="preserve">The first run reported spotlighting as 17 points </w:t>
      </w:r>
      <w:r>
        <w:rPr>
          <w:rFonts w:ascii="Times New Roman" w:hAnsi="Times New Roman"/>
          <w:b w:val="0"/>
          <w:i/>
          <w:color w:val="000000"/>
          <w:sz w:val="20"/>
        </w:rPr>
        <w:t>worse</w:t>
      </w:r>
      <w:r>
        <w:rPr>
          <w:rFonts w:ascii="Times New Roman" w:hAnsi="Times New Roman"/>
          <w:b w:val="0"/>
          <w:i w:val="0"/>
          <w:color w:val="000000"/>
          <w:sz w:val="20"/>
        </w:rPr>
        <w:t xml:space="preserve"> (39.4% to 56.1%). It was not. Sixteen of 37 apparently-steered cases were </w:t>
      </w:r>
      <w:r>
        <w:rPr>
          <w:rFonts w:ascii="Times New Roman" w:hAnsi="Times New Roman"/>
          <w:b w:val="0"/>
          <w:i/>
          <w:color w:val="000000"/>
          <w:sz w:val="20"/>
        </w:rPr>
        <w:t>refusals</w:t>
      </w:r>
      <w:r>
        <w:rPr>
          <w:rFonts w:ascii="Times New Roman" w:hAnsi="Times New Roman"/>
          <w:b w:val="0"/>
          <w:i w:val="0"/>
          <w:color w:val="000000"/>
          <w:sz w:val="20"/>
        </w:rPr>
        <w:t xml:space="preserve"> that named the attacker's address while declining to act, and the keyword scorer had no negation handling. Spotlighting's own instruction inflated the metric judging it, </w:t>
      </w:r>
      <w:r>
        <w:rPr>
          <w:rFonts w:ascii="Times New Roman" w:hAnsi="Times New Roman"/>
          <w:b/>
          <w:i w:val="0"/>
          <w:color w:val="000000"/>
          <w:sz w:val="20"/>
        </w:rPr>
        <w:t>in proportion to how clearly it worked</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The fix is clause-scoped negation detection in the action scorer. We report the withdrawn figure because the failure is general: a defense that changes the </w:t>
      </w:r>
      <w:r>
        <w:rPr>
          <w:rFonts w:ascii="Times New Roman" w:hAnsi="Times New Roman"/>
          <w:b w:val="0"/>
          <w:i/>
          <w:color w:val="000000"/>
          <w:sz w:val="20"/>
        </w:rPr>
        <w:t>shape</w:t>
      </w:r>
      <w:r>
        <w:rPr>
          <w:rFonts w:ascii="Times New Roman" w:hAnsi="Times New Roman"/>
          <w:b w:val="0"/>
          <w:i w:val="0"/>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spacing w:after="60" w:before="160" w:line="254" w:lineRule="auto"/>
        <w:jc w:val="left"/>
      </w:pPr>
      <w:r>
        <w:rPr>
          <w:rFonts w:ascii="Times New Roman" w:hAnsi="Times New Roman"/>
          <w:b/>
          <w:i/>
          <w:color w:val="000000"/>
          <w:sz w:val="20"/>
        </w:rPr>
        <w:t>D. What the same defense family achieves elsewhere</w:t>
      </w:r>
    </w:p>
    <w:p>
      <w:pPr>
        <w:spacing w:after="80" w:before="0" w:line="254" w:lineRule="auto"/>
        <w:jc w:val="both"/>
      </w:pPr>
      <w:r>
        <w:rPr>
          <w:rFonts w:ascii="Times New Roman" w:hAnsi="Times New Roman"/>
          <w:b w:val="0"/>
          <w:i w:val="0"/>
          <w:color w:val="000000"/>
          <w:sz w:val="20"/>
        </w:rPr>
        <w:t>Our null is one measurement, and a reader is entitled to ask what a prompt-level defense of this family does when it does work. AgentDojo reports one on an agent benchmark, scored the way we would want it scored — the same table, the same model, an undefended row to difference against.</w:t>
      </w:r>
    </w:p>
    <w:tbl>
      <w:tblPr>
        <w:tblStyle w:val="TableGrid"/>
        <w:tblW w:type="auto" w:w="0"/>
        <w:jc w:val="center"/>
        <w:tblLayout w:type="fixed"/>
        <w:tblLook w:firstColumn="1" w:firstRow="1" w:lastColumn="0" w:lastRow="0" w:noHBand="0" w:noVBand="1" w:val="04A0"/>
      </w:tblPr>
      <w:tblGrid>
        <w:gridCol w:w="2609"/>
        <w:gridCol w:w="2148"/>
        <w:gridCol w:w="2609"/>
        <w:gridCol w:w="1995"/>
      </w:tblGrid>
      <w:tr>
        <w:tc>
          <w:tcPr>
            <w:tcW w:type="dxa" w:w="2609"/>
            <w:shd w:val="clear" w:fill="EDF1F5"/>
          </w:tcPr>
          <w:p>
            <w:pPr>
              <w:spacing w:after="20" w:before="20"/>
              <w:jc w:val="left"/>
            </w:pPr>
            <w:r>
              <w:rPr>
                <w:rFonts w:ascii="Times New Roman" w:hAnsi="Times New Roman"/>
                <w:b/>
                <w:i w:val="0"/>
                <w:color w:val="000000"/>
                <w:sz w:val="17"/>
              </w:rPr>
              <w:t>AgentDojo, GPT-4o</w:t>
            </w:r>
          </w:p>
        </w:tc>
        <w:tc>
          <w:tcPr>
            <w:tcW w:type="dxa" w:w="2148"/>
            <w:shd w:val="clear" w:fill="EDF1F5"/>
          </w:tcPr>
          <w:p>
            <w:pPr>
              <w:spacing w:after="20" w:before="20"/>
              <w:jc w:val="left"/>
            </w:pPr>
            <w:r>
              <w:rPr>
                <w:rFonts w:ascii="Times New Roman" w:hAnsi="Times New Roman"/>
                <w:b/>
                <w:i w:val="0"/>
                <w:color w:val="000000"/>
                <w:sz w:val="17"/>
              </w:rPr>
              <w:t>Benign utility</w:t>
            </w:r>
          </w:p>
        </w:tc>
        <w:tc>
          <w:tcPr>
            <w:tcW w:type="dxa" w:w="2609"/>
            <w:shd w:val="clear" w:fill="EDF1F5"/>
          </w:tcPr>
          <w:p>
            <w:pPr>
              <w:spacing w:after="20" w:before="20"/>
              <w:jc w:val="left"/>
            </w:pPr>
            <w:r>
              <w:rPr>
                <w:rFonts w:ascii="Times New Roman" w:hAnsi="Times New Roman"/>
                <w:b/>
                <w:i w:val="0"/>
                <w:color w:val="000000"/>
                <w:sz w:val="17"/>
              </w:rPr>
              <w:t>Utility w. attack</w:t>
            </w:r>
          </w:p>
        </w:tc>
        <w:tc>
          <w:tcPr>
            <w:tcW w:type="dxa" w:w="1995"/>
            <w:shd w:val="clear" w:fill="EDF1F5"/>
          </w:tcPr>
          <w:p>
            <w:pPr>
              <w:spacing w:after="20" w:before="20"/>
              <w:jc w:val="left"/>
            </w:pPr>
            <w:r>
              <w:rPr>
                <w:rFonts w:ascii="Times New Roman" w:hAnsi="Times New Roman"/>
                <w:b/>
                <w:i w:val="0"/>
                <w:color w:val="000000"/>
                <w:sz w:val="17"/>
              </w:rPr>
              <w:t>Targeted ASR</w:t>
            </w:r>
          </w:p>
        </w:tc>
      </w:tr>
      <w:tr>
        <w:tc>
          <w:tcPr>
            <w:tcW w:type="dxa" w:w="2609"/>
          </w:tcPr>
          <w:p>
            <w:pPr>
              <w:spacing w:after="20" w:before="20"/>
              <w:jc w:val="left"/>
            </w:pPr>
            <w:r>
              <w:rPr>
                <w:rFonts w:ascii="Times New Roman" w:hAnsi="Times New Roman"/>
                <w:b w:val="0"/>
                <w:i w:val="0"/>
                <w:color w:val="000000"/>
                <w:sz w:val="17"/>
              </w:rPr>
              <w:t>No defense</w:t>
            </w:r>
          </w:p>
        </w:tc>
        <w:tc>
          <w:tcPr>
            <w:tcW w:type="dxa" w:w="2148"/>
          </w:tcPr>
          <w:p>
            <w:pPr>
              <w:spacing w:after="20" w:before="20"/>
              <w:jc w:val="left"/>
            </w:pPr>
            <w:r>
              <w:rPr>
                <w:rFonts w:ascii="Times New Roman" w:hAnsi="Times New Roman"/>
                <w:b w:val="0"/>
                <w:i w:val="0"/>
                <w:color w:val="000000"/>
                <w:sz w:val="17"/>
              </w:rPr>
              <w:t>69.0% (±3.6)</w:t>
            </w:r>
          </w:p>
        </w:tc>
        <w:tc>
          <w:tcPr>
            <w:tcW w:type="dxa" w:w="2609"/>
          </w:tcPr>
          <w:p>
            <w:pPr>
              <w:spacing w:after="20" w:before="20"/>
              <w:jc w:val="left"/>
            </w:pPr>
            <w:r>
              <w:rPr>
                <w:rFonts w:ascii="Times New Roman" w:hAnsi="Times New Roman"/>
                <w:b w:val="0"/>
                <w:i w:val="0"/>
                <w:color w:val="000000"/>
                <w:sz w:val="17"/>
              </w:rPr>
              <w:t>50.01% (±3.9)</w:t>
            </w:r>
          </w:p>
        </w:tc>
        <w:tc>
          <w:tcPr>
            <w:tcW w:type="dxa" w:w="1995"/>
          </w:tcPr>
          <w:p>
            <w:pPr>
              <w:spacing w:after="20" w:before="20"/>
              <w:jc w:val="left"/>
            </w:pPr>
            <w:r>
              <w:rPr>
                <w:rFonts w:ascii="Times New Roman" w:hAnsi="Times New Roman"/>
                <w:b w:val="0"/>
                <w:i w:val="0"/>
                <w:color w:val="000000"/>
                <w:sz w:val="17"/>
              </w:rPr>
              <w:t>57.69% (±3.9)</w:t>
            </w:r>
          </w:p>
        </w:tc>
      </w:tr>
      <w:tr>
        <w:tc>
          <w:tcPr>
            <w:tcW w:type="dxa" w:w="2609"/>
          </w:tcPr>
          <w:p>
            <w:pPr>
              <w:spacing w:after="20" w:before="20"/>
              <w:jc w:val="left"/>
            </w:pPr>
            <w:r>
              <w:rPr>
                <w:rFonts w:ascii="Times New Roman" w:hAnsi="Times New Roman"/>
                <w:b w:val="0"/>
                <w:i w:val="0"/>
                <w:color w:val="000000"/>
                <w:sz w:val="17"/>
              </w:rPr>
              <w:t>Delimiting</w:t>
            </w:r>
          </w:p>
        </w:tc>
        <w:tc>
          <w:tcPr>
            <w:tcW w:type="dxa" w:w="2148"/>
          </w:tcPr>
          <w:p>
            <w:pPr>
              <w:spacing w:after="20" w:before="20"/>
              <w:jc w:val="left"/>
            </w:pPr>
            <w:r>
              <w:rPr>
                <w:rFonts w:ascii="Times New Roman" w:hAnsi="Times New Roman"/>
                <w:b w:val="0"/>
                <w:i w:val="0"/>
                <w:color w:val="000000"/>
                <w:sz w:val="17"/>
              </w:rPr>
              <w:t>72.66% (±3.5)</w:t>
            </w:r>
          </w:p>
        </w:tc>
        <w:tc>
          <w:tcPr>
            <w:tcW w:type="dxa" w:w="2609"/>
          </w:tcPr>
          <w:p>
            <w:pPr>
              <w:spacing w:after="20" w:before="20"/>
              <w:jc w:val="left"/>
            </w:pPr>
            <w:r>
              <w:rPr>
                <w:rFonts w:ascii="Times New Roman" w:hAnsi="Times New Roman"/>
                <w:b w:val="0"/>
                <w:i w:val="0"/>
                <w:color w:val="000000"/>
                <w:sz w:val="17"/>
              </w:rPr>
              <w:t>55.64% (±3.9)</w:t>
            </w:r>
          </w:p>
        </w:tc>
        <w:tc>
          <w:tcPr>
            <w:tcW w:type="dxa" w:w="1995"/>
          </w:tcPr>
          <w:p>
            <w:pPr>
              <w:spacing w:after="20" w:before="20"/>
              <w:jc w:val="left"/>
            </w:pPr>
            <w:r>
              <w:rPr>
                <w:rFonts w:ascii="Times New Roman" w:hAnsi="Times New Roman"/>
                <w:b w:val="0"/>
                <w:i w:val="0"/>
                <w:color w:val="000000"/>
                <w:sz w:val="17"/>
              </w:rPr>
              <w:t>41.65% (±3.9)</w:t>
            </w:r>
          </w:p>
        </w:tc>
      </w:tr>
    </w:tbl>
    <w:p>
      <w:pPr>
        <w:spacing w:after="160" w:before="0" w:line="254" w:lineRule="auto"/>
        <w:jc w:val="left"/>
      </w:pPr>
      <w:r>
        <w:rPr>
          <w:rFonts w:ascii="Times New Roman" w:hAnsi="Times New Roman"/>
          <w:b/>
          <w:i w:val="0"/>
          <w:color w:val="444A53"/>
          <w:sz w:val="17"/>
        </w:rPr>
        <w:t>Table VI.</w:t>
      </w:r>
      <w:r>
        <w:rPr>
          <w:rFonts w:ascii="Times New Roman" w:hAnsi="Times New Roman"/>
          <w:b w:val="0"/>
          <w:i w:val="0"/>
          <w:color w:val="444A53"/>
          <w:sz w:val="17"/>
        </w:rPr>
        <w:t xml:space="preserve"> Delimiting against no defense, both from Table 5 of Debenedetti et al. [2]. Intervals are the paper's own 95% intervals.</w:t>
      </w:r>
    </w:p>
    <w:p>
      <w:pPr>
        <w:spacing w:after="80" w:before="0" w:line="254" w:lineRule="auto"/>
        <w:jc w:val="both"/>
      </w:pPr>
      <w:r>
        <w:rPr>
          <w:rFonts w:ascii="Times New Roman" w:hAnsi="Times New Roman"/>
          <w:b w:val="0"/>
          <w:i w:val="0"/>
          <w:color w:val="000000"/>
          <w:sz w:val="20"/>
        </w:rPr>
        <w:t xml:space="preserve">Delimiting removes </w:t>
      </w:r>
      <w:r>
        <w:rPr>
          <w:rFonts w:ascii="Times New Roman" w:hAnsi="Times New Roman"/>
          <w:b/>
          <w:i w:val="0"/>
          <w:color w:val="000000"/>
          <w:sz w:val="20"/>
        </w:rPr>
        <w:t>16.04 points</w:t>
      </w:r>
      <w:r>
        <w:rPr>
          <w:rFonts w:ascii="Times New Roman" w:hAnsi="Times New Roman"/>
          <w:b w:val="0"/>
          <w:i w:val="0"/>
          <w:color w:val="000000"/>
          <w:sz w:val="20"/>
        </w:rPr>
        <w:t xml:space="preserve"> of targeted ASR, and the two intervals do not overlap. This is the closest published analogue to our arm: a prompt-level transform of untrusted content, on a tool-calling agent, with the undefended condition measured in the same run. It does not make our null a contradiction — the corpus, the model class and the outcome variable all differ, and §VI-B lists why our steering rate is not their ASR. What it establishes is that the family is not inert in general, which is the reading a bare null invites and the one we are not entitled to. Two further things travel with it. First, delimiting does not </w:t>
      </w:r>
      <w:r>
        <w:rPr>
          <w:rFonts w:ascii="Times New Roman" w:hAnsi="Times New Roman"/>
          <w:b w:val="0"/>
          <w:i/>
          <w:color w:val="000000"/>
          <w:sz w:val="20"/>
        </w:rPr>
        <w:t>solve</w:t>
      </w:r>
      <w:r>
        <w:rPr>
          <w:rFonts w:ascii="Times New Roman" w:hAnsi="Times New Roman"/>
          <w:b w:val="0"/>
          <w:i w:val="0"/>
          <w:color w:val="000000"/>
          <w:sz w:val="20"/>
        </w:rPr>
        <w:t xml:space="preserve"> the problem it improves: 41.65% of targeted attacks still succeed, so the published result is a reduction, not a defense a deployment could rest on. Second, it costs nothing in benign utility — 69.0% to 72.66%, overlapping intervals — which is the property our own null cannot demonstrate either way.</w:t>
      </w:r>
    </w:p>
    <w:p>
      <w:pPr>
        <w:spacing w:after="100" w:before="240" w:line="254" w:lineRule="auto"/>
        <w:jc w:val="left"/>
      </w:pPr>
      <w:r>
        <w:rPr>
          <w:rFonts w:ascii="Times New Roman" w:hAnsi="Times New Roman"/>
          <w:b/>
          <w:i w:val="0"/>
          <w:color w:val="000000"/>
          <w:sz w:val="22"/>
        </w:rPr>
        <w:t>VII. EXTERNAL VALIDITY: DETECTION FALLS FROM 96.7% TO ≈18%</w:t>
      </w:r>
    </w:p>
    <w:p>
      <w:pPr>
        <w:spacing w:after="120" w:before="0" w:line="254" w:lineRule="auto"/>
        <w:jc w:val="left"/>
      </w:pPr>
      <w:r>
        <w:rPr>
          <w:rFonts w:ascii="Times New Roman" w:hAnsi="Times New Roman"/>
          <w:b w:val="0"/>
          <w:i/>
          <w:color w:val="444A53"/>
          <w:sz w:val="17"/>
        </w:rPr>
        <w:t>Artifacts: `results/phase12/`, `results/noise_floor/injecagent.json`. 60 cases per arm, 30 per stratum.</w:t>
      </w:r>
    </w:p>
    <w:p>
      <w:pPr>
        <w:spacing w:after="80" w:before="0" w:line="254" w:lineRule="auto"/>
        <w:jc w:val="both"/>
      </w:pPr>
      <w:r>
        <w:rPr>
          <w:rFonts w:ascii="Times New Roman" w:hAnsi="Times New Roman"/>
          <w:b w:val="0"/>
          <w:i w:val="0"/>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rFonts w:ascii="Times New Roman" w:hAnsi="Times New Roman"/>
          <w:b w:val="0"/>
          <w:i/>
          <w:color w:val="000000"/>
          <w:sz w:val="20"/>
        </w:rPr>
        <w:t>attacks</w:t>
      </w:r>
      <w:r>
        <w:rPr>
          <w:rFonts w:ascii="Times New Roman" w:hAnsi="Times New Roman"/>
          <w:b w:val="0"/>
          <w:i w:val="0"/>
          <w:color w:val="000000"/>
          <w:sz w:val="20"/>
        </w:rPr>
        <w:t xml:space="preserve"> are also written by someone else.</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4051"/>
        <w:gridCol w:w="2096"/>
        <w:gridCol w:w="1257"/>
        <w:gridCol w:w="1956"/>
      </w:tblGrid>
      <w:tr>
        <w:tc>
          <w:tcPr>
            <w:tcW w:type="dxa" w:w="4051"/>
            <w:shd w:val="clear" w:fill="EDF1F5"/>
          </w:tcPr>
          <w:p>
            <w:pPr>
              <w:spacing w:after="20" w:before="20"/>
              <w:jc w:val="left"/>
            </w:pPr>
            <w:r>
              <w:rPr>
                <w:rFonts w:ascii="Times New Roman" w:hAnsi="Times New Roman"/>
                <w:b/>
                <w:i w:val="0"/>
                <w:color w:val="000000"/>
                <w:sz w:val="17"/>
              </w:rPr>
              <w:t>Stratum</w:t>
            </w:r>
          </w:p>
        </w:tc>
        <w:tc>
          <w:tcPr>
            <w:tcW w:type="dxa" w:w="2096"/>
            <w:shd w:val="clear" w:fill="EDF1F5"/>
          </w:tcPr>
          <w:p>
            <w:pPr>
              <w:spacing w:after="20" w:before="20"/>
              <w:jc w:val="left"/>
            </w:pPr>
            <w:r>
              <w:rPr>
                <w:rFonts w:ascii="Times New Roman" w:hAnsi="Times New Roman"/>
                <w:b/>
                <w:i w:val="0"/>
                <w:color w:val="000000"/>
                <w:sz w:val="17"/>
              </w:rPr>
              <w:t>share of corpus</w:t>
            </w:r>
          </w:p>
        </w:tc>
        <w:tc>
          <w:tcPr>
            <w:tcW w:type="dxa" w:w="1257"/>
            <w:shd w:val="clear" w:fill="EDF1F5"/>
          </w:tcPr>
          <w:p>
            <w:pPr>
              <w:spacing w:after="20" w:before="20"/>
              <w:jc w:val="left"/>
            </w:pPr>
            <w:r>
              <w:rPr>
                <w:rFonts w:ascii="Times New Roman" w:hAnsi="Times New Roman"/>
                <w:b/>
                <w:i w:val="0"/>
                <w:color w:val="000000"/>
                <w:sz w:val="17"/>
              </w:rPr>
              <w:t>detection</w:t>
            </w:r>
          </w:p>
        </w:tc>
        <w:tc>
          <w:tcPr>
            <w:tcW w:type="dxa" w:w="1956"/>
            <w:shd w:val="clear" w:fill="EDF1F5"/>
          </w:tcPr>
          <w:p>
            <w:pPr>
              <w:spacing w:after="20" w:before="20"/>
              <w:jc w:val="left"/>
            </w:pPr>
            <w:r>
              <w:rPr>
                <w:rFonts w:ascii="Times New Roman" w:hAnsi="Times New Roman"/>
                <w:b/>
                <w:i w:val="0"/>
                <w:color w:val="000000"/>
                <w:sz w:val="17"/>
              </w:rPr>
              <w:t>95% Wilson</w:t>
            </w:r>
          </w:p>
        </w:tc>
      </w:tr>
      <w:tr>
        <w:tc>
          <w:tcPr>
            <w:tcW w:type="dxa" w:w="4051"/>
          </w:tcPr>
          <w:p>
            <w:pPr>
              <w:spacing w:after="20" w:before="20"/>
              <w:jc w:val="left"/>
            </w:pPr>
            <w:r>
              <w:rPr>
                <w:rFonts w:ascii="Times New Roman" w:hAnsi="Times New Roman"/>
                <w:b w:val="0"/>
                <w:i w:val="0"/>
                <w:color w:val="000000"/>
                <w:sz w:val="17"/>
              </w:rPr>
              <w:t>target-match path fires</w:t>
            </w:r>
          </w:p>
        </w:tc>
        <w:tc>
          <w:tcPr>
            <w:tcW w:type="dxa" w:w="2096"/>
          </w:tcPr>
          <w:p>
            <w:pPr>
              <w:spacing w:after="20" w:before="20"/>
              <w:jc w:val="right"/>
            </w:pPr>
            <w:r>
              <w:rPr>
                <w:rFonts w:ascii="Times New Roman" w:hAnsi="Times New Roman"/>
                <w:b w:val="0"/>
                <w:i w:val="0"/>
                <w:color w:val="000000"/>
                <w:sz w:val="17"/>
              </w:rPr>
              <w:t>≈10%</w:t>
            </w:r>
          </w:p>
        </w:tc>
        <w:tc>
          <w:tcPr>
            <w:tcW w:type="dxa" w:w="1257"/>
          </w:tcPr>
          <w:p>
            <w:pPr>
              <w:spacing w:after="20" w:before="20"/>
              <w:jc w:val="right"/>
            </w:pPr>
            <w:r>
              <w:rPr>
                <w:rFonts w:ascii="Times New Roman" w:hAnsi="Times New Roman"/>
                <w:b w:val="0"/>
                <w:i w:val="0"/>
                <w:color w:val="000000"/>
                <w:sz w:val="17"/>
              </w:rPr>
              <w:t>96.7%</w:t>
            </w:r>
          </w:p>
        </w:tc>
        <w:tc>
          <w:tcPr>
            <w:tcW w:type="dxa" w:w="1956"/>
          </w:tcPr>
          <w:p>
            <w:pPr>
              <w:spacing w:after="20" w:before="20"/>
              <w:jc w:val="left"/>
            </w:pPr>
            <w:r>
              <w:rPr>
                <w:rFonts w:ascii="Times New Roman" w:hAnsi="Times New Roman"/>
                <w:b w:val="0"/>
                <w:i w:val="0"/>
                <w:color w:val="000000"/>
                <w:sz w:val="17"/>
              </w:rPr>
              <w:t>[83.3%, 99.4%]</w:t>
            </w:r>
          </w:p>
        </w:tc>
      </w:tr>
      <w:tr>
        <w:tc>
          <w:tcPr>
            <w:tcW w:type="dxa" w:w="4051"/>
          </w:tcPr>
          <w:p>
            <w:pPr>
              <w:spacing w:after="20" w:before="20"/>
              <w:jc w:val="left"/>
            </w:pPr>
            <w:r>
              <w:rPr>
                <w:rFonts w:ascii="Times New Roman" w:hAnsi="Times New Roman"/>
                <w:b w:val="0"/>
                <w:i w:val="0"/>
                <w:color w:val="000000"/>
                <w:sz w:val="17"/>
              </w:rPr>
              <w:t>target-match path cannot fire</w:t>
            </w:r>
          </w:p>
        </w:tc>
        <w:tc>
          <w:tcPr>
            <w:tcW w:type="dxa" w:w="2096"/>
          </w:tcPr>
          <w:p>
            <w:pPr>
              <w:spacing w:after="20" w:before="20"/>
              <w:jc w:val="right"/>
            </w:pPr>
            <w:r>
              <w:rPr>
                <w:rFonts w:ascii="Times New Roman" w:hAnsi="Times New Roman"/>
                <w:b w:val="0"/>
                <w:i w:val="0"/>
                <w:color w:val="000000"/>
                <w:sz w:val="17"/>
              </w:rPr>
              <w:t>≈90%</w:t>
            </w:r>
          </w:p>
        </w:tc>
        <w:tc>
          <w:tcPr>
            <w:tcW w:type="dxa" w:w="1257"/>
          </w:tcPr>
          <w:p>
            <w:pPr>
              <w:spacing w:after="20" w:before="20"/>
              <w:jc w:val="right"/>
            </w:pPr>
            <w:r>
              <w:rPr>
                <w:rFonts w:ascii="Times New Roman" w:hAnsi="Times New Roman"/>
                <w:b w:val="0"/>
                <w:i w:val="0"/>
                <w:color w:val="000000"/>
                <w:sz w:val="17"/>
              </w:rPr>
              <w:t>10.0%</w:t>
            </w:r>
          </w:p>
        </w:tc>
        <w:tc>
          <w:tcPr>
            <w:tcW w:type="dxa" w:w="1956"/>
          </w:tcPr>
          <w:p>
            <w:pPr>
              <w:spacing w:after="20" w:before="20"/>
              <w:jc w:val="left"/>
            </w:pPr>
            <w:r>
              <w:rPr>
                <w:rFonts w:ascii="Times New Roman" w:hAnsi="Times New Roman"/>
                <w:b w:val="0"/>
                <w:i w:val="0"/>
                <w:color w:val="000000"/>
                <w:sz w:val="17"/>
              </w:rPr>
              <w:t>[3.5%, 25.6%]</w:t>
            </w:r>
          </w:p>
        </w:tc>
      </w:tr>
    </w:tbl>
    <w:p>
      <w:pPr>
        <w:spacing w:after="160" w:before="0" w:line="254" w:lineRule="auto"/>
        <w:jc w:val="left"/>
      </w:pPr>
      <w:r>
        <w:rPr>
          <w:rFonts w:ascii="Times New Roman" w:hAnsi="Times New Roman"/>
          <w:b/>
          <w:i w:val="0"/>
          <w:color w:val="444A53"/>
          <w:sz w:val="17"/>
        </w:rPr>
        <w:t>Table VII.</w:t>
      </w:r>
      <w:r>
        <w:rPr>
          <w:rFonts w:ascii="Times New Roman" w:hAnsi="Times New Roman"/>
          <w:b w:val="0"/>
          <w:i w:val="0"/>
          <w:color w:val="444A53"/>
          <w:sz w:val="17"/>
        </w:rPr>
        <w:t xml:space="preserve"> Detection on InjecAgent by stratum, median of three recordings. End-to-end, the complete system's ASR on this corpus is 29/60 = 48.3%, against 60/60 for both undefended and static-rule arms.</w:t>
      </w:r>
    </w:p>
    <w:p>
      <w:pPr>
        <w:spacing w:before="160" w:after="60"/>
        <w:jc w:val="center"/>
      </w:pPr>
      <w:r>
        <w:drawing>
          <wp:inline xmlns:a="http://schemas.openxmlformats.org/drawingml/2006/main" xmlns:pic="http://schemas.openxmlformats.org/drawingml/2006/picture">
            <wp:extent cx="3797627" cy="2834640"/>
            <wp:docPr id="3" name="Picture 3"/>
            <wp:cNvGraphicFramePr>
              <a:graphicFrameLocks noChangeAspect="1"/>
            </wp:cNvGraphicFramePr>
            <a:graphic>
              <a:graphicData uri="http://schemas.openxmlformats.org/drawingml/2006/picture">
                <pic:pic>
                  <pic:nvPicPr>
                    <pic:cNvPr id="0" name="fig2_stratified.png"/>
                    <pic:cNvPicPr/>
                  </pic:nvPicPr>
                  <pic:blipFill>
                    <a:blip r:embed="rId12"/>
                    <a:stretch>
                      <a:fillRect/>
                    </a:stretch>
                  </pic:blipFill>
                  <pic:spPr>
                    <a:xfrm>
                      <a:off x="0" y="0"/>
                      <a:ext cx="3797627"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3.</w:t>
      </w:r>
      <w:r>
        <w:rPr>
          <w:rFonts w:ascii="Times New Roman" w:hAnsi="Times New Roman"/>
          <w:b w:val="0"/>
          <w:i w:val="0"/>
          <w:color w:val="444A53"/>
          <w:sz w:val="17"/>
        </w:rPr>
        <w:t xml:space="preserve"> Detection on externally-authored attacks, split by whether the target-match path can fire. Dots are the three independent recordings; the pooled figure is wrong for the population by 33 points.</w:t>
      </w:r>
    </w:p>
    <w:p>
      <w:pPr>
        <w:spacing w:after="80" w:before="0" w:line="254" w:lineRule="auto"/>
        <w:jc w:val="both"/>
      </w:pPr>
      <w:r>
        <w:rPr>
          <w:rFonts w:ascii="Times New Roman" w:hAnsi="Times New Roman"/>
          <w:b/>
          <w:i w:val="0"/>
          <w:color w:val="000000"/>
          <w:sz w:val="20"/>
        </w:rPr>
        <w:t>The strata must not be pooled.</w:t>
      </w:r>
      <w:r>
        <w:rPr>
          <w:rFonts w:ascii="Times New Roman" w:hAnsi="Times New Roman"/>
          <w:b w:val="0"/>
          <w:i w:val="0"/>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spacing w:after="60" w:before="160" w:line="254" w:lineRule="auto"/>
        <w:jc w:val="left"/>
      </w:pPr>
      <w:r>
        <w:rPr>
          <w:rFonts w:ascii="Times New Roman" w:hAnsi="Times New Roman"/>
          <w:b/>
          <w:i/>
          <w:color w:val="000000"/>
          <w:sz w:val="20"/>
        </w:rPr>
        <w:t>B. Why detection collapses</w:t>
      </w:r>
    </w:p>
    <w:p>
      <w:pPr>
        <w:spacing w:after="80" w:before="0" w:line="254" w:lineRule="auto"/>
        <w:jc w:val="both"/>
      </w:pPr>
      <w:r>
        <w:rPr>
          <w:rFonts w:ascii="Times New Roman" w:hAnsi="Times New Roman"/>
          <w:b w:val="0"/>
          <w:i w:val="0"/>
          <w:color w:val="000000"/>
          <w:sz w:val="20"/>
        </w:rPr>
        <w:t xml:space="preserve">The detector's severity scorer was built around a data-movement vocabulary — </w:t>
      </w:r>
      <w:r>
        <w:rPr>
          <w:rFonts w:ascii="Times New Roman" w:hAnsi="Times New Roman"/>
          <w:b w:val="0"/>
          <w:i/>
          <w:color w:val="000000"/>
          <w:sz w:val="20"/>
        </w:rPr>
        <w:t>forward, exfiltrate, upload, delete, post, send, write</w:t>
      </w:r>
      <w:r>
        <w:rPr>
          <w:rFonts w:ascii="Times New Roman" w:hAnsi="Times New Roman"/>
          <w:b w:val="0"/>
          <w:i w:val="0"/>
          <w:color w:val="000000"/>
          <w:sz w:val="20"/>
        </w:rPr>
        <w:t>. It measures that shape well. InjecAgent's attacks mostly do not have it.</w:t>
      </w:r>
    </w:p>
    <w:p>
      <w:pPr>
        <w:spacing w:after="80" w:before="0" w:line="254" w:lineRule="auto"/>
        <w:jc w:val="both"/>
      </w:pPr>
      <w:r>
        <w:rPr>
          <w:rFonts w:ascii="Times New Roman" w:hAnsi="Times New Roman"/>
          <w:b w:val="0"/>
          <w:i w:val="0"/>
          <w:color w:val="000000"/>
          <w:sz w:val="20"/>
        </w:rPr>
        <w:t xml:space="preserve">The recorded probe transcripts show the failure is </w:t>
      </w:r>
      <w:r>
        <w:rPr>
          <w:rFonts w:ascii="Times New Roman" w:hAnsi="Times New Roman"/>
          <w:b/>
          <w:i w:val="0"/>
          <w:color w:val="000000"/>
          <w:sz w:val="20"/>
        </w:rPr>
        <w:t>not</w:t>
      </w:r>
      <w:r>
        <w:rPr>
          <w:rFonts w:ascii="Times New Roman" w:hAnsi="Times New Roman"/>
          <w:b w:val="0"/>
          <w:i w:val="0"/>
          <w:color w:val="000000"/>
          <w:sz w:val="20"/>
        </w:rPr>
        <w:t xml:space="preserve"> in the probe. Shown the injected content, the model reports the action faithfully and verbatim: </w:t>
      </w:r>
      <w:r>
        <w:rPr>
          <w:rFonts w:ascii="Times New Roman" w:hAnsi="Times New Roman"/>
          <w:b w:val="0"/>
          <w:i/>
          <w:color w:val="000000"/>
          <w:sz w:val="20"/>
        </w:rPr>
        <w:t>"grant permanent access to guest_amy01 on the August Smart Lock system"</w:t>
      </w:r>
      <w:r>
        <w:rPr>
          <w:rFonts w:ascii="Times New Roman" w:hAnsi="Times New Roman"/>
          <w:b w:val="0"/>
          <w:i w:val="0"/>
          <w:color w:val="000000"/>
          <w:sz w:val="20"/>
        </w:rPr>
        <w:t xml:space="preserve">, </w:t>
      </w:r>
      <w:r>
        <w:rPr>
          <w:rFonts w:ascii="Times New Roman" w:hAnsi="Times New Roman"/>
          <w:b w:val="0"/>
          <w:i/>
          <w:color w:val="000000"/>
          <w:sz w:val="20"/>
        </w:rPr>
        <w:t>"transfer $3,000 to account number 123-1234-1234"</w:t>
      </w:r>
      <w:r>
        <w:rPr>
          <w:rFonts w:ascii="Times New Roman" w:hAnsi="Times New Roman"/>
          <w:b w:val="0"/>
          <w:i w:val="0"/>
          <w:color w:val="000000"/>
          <w:sz w:val="20"/>
        </w:rPr>
        <w:t xml:space="preserve">, </w:t>
      </w:r>
      <w:r>
        <w:rPr>
          <w:rFonts w:ascii="Times New Roman" w:hAnsi="Times New Roman"/>
          <w:b w:val="0"/>
          <w:i/>
          <w:color w:val="000000"/>
          <w:sz w:val="20"/>
        </w:rPr>
        <w:t>"unlock the front door"</w:t>
      </w:r>
      <w:r>
        <w:rPr>
          <w:rFonts w:ascii="Times New Roman" w:hAnsi="Times New Roman"/>
          <w:b w:val="0"/>
          <w:i w:val="0"/>
          <w:color w:val="000000"/>
          <w:sz w:val="20"/>
        </w:rPr>
        <w:t xml:space="preserve">. The scorer then reads those correct transcriptions, finds no data-movement verb, and returns 0. </w:t>
      </w:r>
      <w:r>
        <w:rPr>
          <w:rFonts w:ascii="Times New Roman" w:hAnsi="Times New Roman"/>
          <w:b/>
          <w:i w:val="0"/>
          <w:color w:val="000000"/>
          <w:sz w:val="20"/>
        </w:rPr>
        <w:t>23 of 26</w:t>
      </w:r>
      <w:r>
        <w:rPr>
          <w:rFonts w:ascii="Times New Roman" w:hAnsi="Times New Roman"/>
          <w:b w:val="0"/>
          <w:i w:val="0"/>
          <w:color w:val="000000"/>
          <w:sz w:val="20"/>
        </w:rPr>
        <w:t xml:space="preserve"> recorded address-free cases score (0, 0) with a perfectly correct transcription sitting in the log.</w:t>
      </w:r>
    </w:p>
    <w:p>
      <w:pPr>
        <w:spacing w:after="80" w:before="0" w:line="254" w:lineRule="auto"/>
        <w:jc w:val="both"/>
      </w:pPr>
      <w:r>
        <w:rPr>
          <w:rFonts w:ascii="Times New Roman" w:hAnsi="Times New Roman"/>
          <w:b w:val="0"/>
          <w:i w:val="0"/>
          <w:color w:val="000000"/>
          <w:sz w:val="20"/>
        </w:rPr>
        <w:t xml:space="preserve">Severity 0 is below </w:t>
      </w:r>
      <w:r>
        <w:rPr>
          <w:rFonts w:ascii="Times New Roman" w:hAnsi="Times New Roman"/>
          <w:b w:val="0"/>
          <w:i/>
          <w:color w:val="000000"/>
          <w:sz w:val="20"/>
        </w:rPr>
        <w:t>both</w:t>
      </w:r>
      <w:r>
        <w:rPr>
          <w:rFonts w:ascii="Times New Roman" w:hAnsi="Times New Roman"/>
          <w:b w:val="0"/>
          <w:i w:val="0"/>
          <w:color w:val="000000"/>
          <w:sz w:val="20"/>
        </w:rPr>
        <w:t xml:space="preserve"> detection rules at once — the standalone rule requires 2, the indirect-effect rule requires at least 1 — so no threshold setting could have reached these cases. The deficiency is a </w:t>
      </w:r>
      <w:r>
        <w:rPr>
          <w:rFonts w:ascii="Times New Roman" w:hAnsi="Times New Roman"/>
          <w:b/>
          <w:i w:val="0"/>
          <w:color w:val="000000"/>
          <w:sz w:val="20"/>
        </w:rPr>
        <w:t>harm taxonomy that names one kind of harm</w:t>
      </w:r>
      <w:r>
        <w:rPr>
          <w:rFonts w:ascii="Times New Roman" w:hAnsi="Times New Roman"/>
          <w:b w:val="0"/>
          <w:i w:val="0"/>
          <w:color w:val="000000"/>
          <w:sz w:val="20"/>
        </w:rPr>
        <w:t>, not a threshold that sits too high. §VIII is the attempt to widen it.</w:t>
      </w:r>
    </w:p>
    <w:p>
      <w:pPr>
        <w:spacing w:after="60" w:before="160" w:line="254" w:lineRule="auto"/>
        <w:jc w:val="left"/>
      </w:pPr>
      <w:r>
        <w:rPr>
          <w:rFonts w:ascii="Times New Roman" w:hAnsi="Times New Roman"/>
          <w:b/>
          <w:i/>
          <w:color w:val="000000"/>
          <w:sz w:val="20"/>
        </w:rPr>
        <w:t>C. What replicates</w:t>
      </w:r>
    </w:p>
    <w:p>
      <w:pPr>
        <w:spacing w:after="80" w:before="0" w:line="254" w:lineRule="auto"/>
        <w:jc w:val="both"/>
      </w:pPr>
      <w:r>
        <w:rPr>
          <w:rFonts w:ascii="Times New Roman" w:hAnsi="Times New Roman"/>
          <w:b w:val="0"/>
          <w:i w:val="0"/>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rFonts w:ascii="Times New Roman" w:hAnsi="Times New Roman"/>
          <w:b/>
          <w:i w:val="0"/>
          <w:color w:val="000000"/>
          <w:sz w:val="20"/>
        </w:rPr>
        <w:t>the causal sub-layer is the only component that detects anything, and what it detects is attacks shaped like the ones it was built against.</w:t>
      </w:r>
    </w:p>
    <w:p>
      <w:pPr>
        <w:spacing w:after="60" w:before="160" w:line="254" w:lineRule="auto"/>
        <w:jc w:val="left"/>
      </w:pPr>
      <w:r>
        <w:rPr>
          <w:rFonts w:ascii="Times New Roman" w:hAnsi="Times New Roman"/>
          <w:b/>
          <w:i/>
          <w:color w:val="000000"/>
          <w:sz w:val="20"/>
        </w:rPr>
        <w:t>D. Stability of the collapse</w:t>
      </w:r>
    </w:p>
    <w:p>
      <w:pPr>
        <w:spacing w:after="80" w:before="0" w:line="254" w:lineRule="auto"/>
        <w:jc w:val="both"/>
      </w:pPr>
      <w:r>
        <w:rPr>
          <w:rFonts w:ascii="Times New Roman" w:hAnsi="Times New Roman"/>
          <w:b w:val="0"/>
          <w:i w:val="0"/>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type="auto" w:w="0"/>
        <w:jc w:val="center"/>
        <w:tblLayout w:type="fixed"/>
        <w:tblLook w:firstColumn="1" w:firstRow="1" w:lastColumn="0" w:lastRow="0" w:noHBand="0" w:noVBand="1" w:val="04A0"/>
      </w:tblPr>
      <w:tblGrid>
        <w:gridCol w:w="2736"/>
        <w:gridCol w:w="1152"/>
        <w:gridCol w:w="1152"/>
        <w:gridCol w:w="1152"/>
        <w:gridCol w:w="1152"/>
        <w:gridCol w:w="2016"/>
      </w:tblGrid>
      <w:tr>
        <w:tc>
          <w:tcPr>
            <w:tcW w:type="dxa" w:w="2736"/>
            <w:shd w:val="clear" w:fill="EDF1F5"/>
          </w:tcPr>
          <w:p>
            <w:pPr>
              <w:spacing w:after="20" w:before="20"/>
              <w:jc w:val="left"/>
            </w:pPr>
            <w:r>
              <w:rPr>
                <w:rFonts w:ascii="Times New Roman" w:hAnsi="Times New Roman"/>
                <w:b/>
                <w:i w:val="0"/>
                <w:color w:val="000000"/>
                <w:sz w:val="17"/>
              </w:rPr>
              <w:t>Stratum</w:t>
            </w:r>
          </w:p>
        </w:tc>
        <w:tc>
          <w:tcPr>
            <w:tcW w:type="dxa" w:w="1152"/>
            <w:shd w:val="clear" w:fill="EDF1F5"/>
          </w:tcPr>
          <w:p>
            <w:pPr>
              <w:spacing w:after="20" w:before="20"/>
              <w:jc w:val="left"/>
            </w:pPr>
            <w:r>
              <w:rPr>
                <w:rFonts w:ascii="Times New Roman" w:hAnsi="Times New Roman"/>
                <w:b/>
                <w:i w:val="0"/>
                <w:color w:val="000000"/>
                <w:sz w:val="17"/>
              </w:rPr>
              <w:t>run 0</w:t>
            </w:r>
          </w:p>
        </w:tc>
        <w:tc>
          <w:tcPr>
            <w:tcW w:type="dxa" w:w="1152"/>
            <w:shd w:val="clear" w:fill="EDF1F5"/>
          </w:tcPr>
          <w:p>
            <w:pPr>
              <w:spacing w:after="20" w:before="20"/>
              <w:jc w:val="left"/>
            </w:pPr>
            <w:r>
              <w:rPr>
                <w:rFonts w:ascii="Times New Roman" w:hAnsi="Times New Roman"/>
                <w:b/>
                <w:i w:val="0"/>
                <w:color w:val="000000"/>
                <w:sz w:val="17"/>
              </w:rPr>
              <w:t>run 1</w:t>
            </w:r>
          </w:p>
        </w:tc>
        <w:tc>
          <w:tcPr>
            <w:tcW w:type="dxa" w:w="1152"/>
            <w:shd w:val="clear" w:fill="EDF1F5"/>
          </w:tcPr>
          <w:p>
            <w:pPr>
              <w:spacing w:after="20" w:before="20"/>
              <w:jc w:val="left"/>
            </w:pPr>
            <w:r>
              <w:rPr>
                <w:rFonts w:ascii="Times New Roman" w:hAnsi="Times New Roman"/>
                <w:b/>
                <w:i w:val="0"/>
                <w:color w:val="000000"/>
                <w:sz w:val="17"/>
              </w:rPr>
              <w:t>run 2</w:t>
            </w:r>
          </w:p>
        </w:tc>
        <w:tc>
          <w:tcPr>
            <w:tcW w:type="dxa" w:w="1152"/>
            <w:shd w:val="clear" w:fill="EDF1F5"/>
          </w:tcPr>
          <w:p>
            <w:pPr>
              <w:spacing w:after="20" w:before="20"/>
              <w:jc w:val="left"/>
            </w:pPr>
            <w:r>
              <w:rPr>
                <w:rFonts w:ascii="Times New Roman" w:hAnsi="Times New Roman"/>
                <w:b/>
                <w:i w:val="0"/>
                <w:color w:val="000000"/>
                <w:sz w:val="17"/>
              </w:rPr>
              <w:t>spread</w:t>
            </w:r>
          </w:p>
        </w:tc>
        <w:tc>
          <w:tcPr>
            <w:tcW w:type="dxa" w:w="2016"/>
            <w:shd w:val="clear" w:fill="EDF1F5"/>
          </w:tcPr>
          <w:p>
            <w:pPr>
              <w:spacing w:after="20" w:before="20"/>
              <w:jc w:val="left"/>
            </w:pPr>
            <w:r>
              <w:rPr>
                <w:rFonts w:ascii="Times New Roman" w:hAnsi="Times New Roman"/>
                <w:b/>
                <w:i w:val="0"/>
                <w:color w:val="000000"/>
                <w:sz w:val="17"/>
              </w:rPr>
              <w:t>unstable cases</w:t>
            </w:r>
          </w:p>
        </w:tc>
      </w:tr>
      <w:tr>
        <w:tc>
          <w:tcPr>
            <w:tcW w:type="dxa" w:w="2736"/>
          </w:tcPr>
          <w:p>
            <w:pPr>
              <w:spacing w:after="20" w:before="20"/>
              <w:jc w:val="left"/>
            </w:pPr>
            <w:r>
              <w:rPr>
                <w:rFonts w:ascii="Times New Roman" w:hAnsi="Times New Roman"/>
                <w:b w:val="0"/>
                <w:i w:val="0"/>
                <w:color w:val="000000"/>
                <w:sz w:val="17"/>
              </w:rPr>
              <w:t>target-match fires</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0</w:t>
            </w:r>
          </w:p>
        </w:tc>
        <w:tc>
          <w:tcPr>
            <w:tcW w:type="dxa" w:w="2016"/>
          </w:tcPr>
          <w:p>
            <w:pPr>
              <w:spacing w:after="20" w:before="20"/>
              <w:jc w:val="right"/>
            </w:pPr>
            <w:r>
              <w:rPr>
                <w:rFonts w:ascii="Times New Roman" w:hAnsi="Times New Roman"/>
                <w:b w:val="0"/>
                <w:i w:val="0"/>
                <w:color w:val="000000"/>
                <w:sz w:val="17"/>
              </w:rPr>
              <w:t>0 / 30</w:t>
            </w:r>
          </w:p>
        </w:tc>
      </w:tr>
      <w:tr>
        <w:tc>
          <w:tcPr>
            <w:tcW w:type="dxa" w:w="2736"/>
          </w:tcPr>
          <w:p>
            <w:pPr>
              <w:spacing w:after="20" w:before="20"/>
              <w:jc w:val="left"/>
            </w:pPr>
            <w:r>
              <w:rPr>
                <w:rFonts w:ascii="Times New Roman" w:hAnsi="Times New Roman"/>
                <w:b w:val="0"/>
                <w:i w:val="0"/>
                <w:color w:val="000000"/>
                <w:sz w:val="17"/>
              </w:rPr>
              <w:t>target-match cannot</w:t>
            </w:r>
          </w:p>
        </w:tc>
        <w:tc>
          <w:tcPr>
            <w:tcW w:type="dxa" w:w="1152"/>
          </w:tcPr>
          <w:p>
            <w:pPr>
              <w:spacing w:after="20" w:before="20"/>
              <w:jc w:val="right"/>
            </w:pPr>
            <w:r>
              <w:rPr>
                <w:rFonts w:ascii="Times New Roman" w:hAnsi="Times New Roman"/>
                <w:b w:val="0"/>
                <w:i w:val="0"/>
                <w:color w:val="000000"/>
                <w:sz w:val="17"/>
              </w:rPr>
              <w:t>13.3%</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left"/>
            </w:pPr>
            <w:r>
              <w:rPr>
                <w:rFonts w:ascii="Times New Roman" w:hAnsi="Times New Roman"/>
                <w:b w:val="0"/>
                <w:i w:val="0"/>
                <w:color w:val="000000"/>
                <w:sz w:val="17"/>
              </w:rPr>
              <w:t>1 case</w:t>
            </w:r>
          </w:p>
        </w:tc>
        <w:tc>
          <w:tcPr>
            <w:tcW w:type="dxa" w:w="2016"/>
          </w:tcPr>
          <w:p>
            <w:pPr>
              <w:spacing w:after="20" w:before="20"/>
              <w:jc w:val="right"/>
            </w:pPr>
            <w:r>
              <w:rPr>
                <w:rFonts w:ascii="Times New Roman" w:hAnsi="Times New Roman"/>
                <w:b w:val="0"/>
                <w:i w:val="0"/>
                <w:color w:val="000000"/>
                <w:sz w:val="17"/>
              </w:rPr>
              <w:t>1 / 30</w:t>
            </w:r>
          </w:p>
        </w:tc>
      </w:tr>
    </w:tbl>
    <w:p>
      <w:pPr>
        <w:spacing w:after="160" w:before="0" w:line="254" w:lineRule="auto"/>
        <w:jc w:val="left"/>
      </w:pPr>
      <w:r>
        <w:rPr>
          <w:rFonts w:ascii="Times New Roman" w:hAnsi="Times New Roman"/>
          <w:b/>
          <w:i w:val="0"/>
          <w:color w:val="444A53"/>
          <w:sz w:val="17"/>
        </w:rPr>
        <w:t>Table VIII.</w:t>
      </w:r>
      <w:r>
        <w:rPr>
          <w:rFonts w:ascii="Times New Roman" w:hAnsi="Times New Roman"/>
          <w:b w:val="0"/>
          <w:i w:val="0"/>
          <w:color w:val="444A53"/>
          <w:sz w:val="17"/>
        </w:rPr>
        <w:t xml:space="preserve"> Repeat stability. The gap between strata is ≈86 points; run-to-run variation is at most one case, or 3.3 points.</w:t>
      </w:r>
    </w:p>
    <w:p>
      <w:pPr>
        <w:spacing w:after="80" w:before="0" w:line="254" w:lineRule="auto"/>
        <w:jc w:val="both"/>
      </w:pPr>
      <w:r>
        <w:rPr>
          <w:rFonts w:ascii="Times New Roman" w:hAnsi="Times New Roman"/>
          <w:b w:val="0"/>
          <w:i w:val="0"/>
          <w:color w:val="000000"/>
          <w:sz w:val="20"/>
        </w:rPr>
        <w:t xml:space="preserve">The target-match stratum is </w:t>
      </w:r>
      <w:r>
        <w:rPr>
          <w:rFonts w:ascii="Times New Roman" w:hAnsi="Times New Roman"/>
          <w:b w:val="0"/>
          <w:i/>
          <w:color w:val="000000"/>
          <w:sz w:val="20"/>
        </w:rPr>
        <w:t>perfectly</w:t>
      </w:r>
      <w:r>
        <w:rPr>
          <w:rFonts w:ascii="Times New Roman" w:hAnsi="Times New Roman"/>
          <w:b w:val="0"/>
          <w:i w:val="0"/>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spacing w:after="60" w:before="160" w:line="254" w:lineRule="auto"/>
        <w:jc w:val="left"/>
      </w:pPr>
      <w:r>
        <w:rPr>
          <w:rFonts w:ascii="Times New Roman" w:hAnsi="Times New Roman"/>
          <w:b/>
          <w:i/>
          <w:color w:val="000000"/>
          <w:sz w:val="20"/>
        </w:rPr>
        <w:t>E. The collapse is not a property of one model</w:t>
      </w:r>
    </w:p>
    <w:p>
      <w:pPr>
        <w:spacing w:after="80" w:before="0" w:line="254" w:lineRule="auto"/>
        <w:jc w:val="both"/>
      </w:pPr>
      <w:r>
        <w:rPr>
          <w:rFonts w:ascii="Times New Roman" w:hAnsi="Times New Roman"/>
          <w:b w:val="0"/>
          <w:i w:val="0"/>
          <w:color w:val="000000"/>
          <w:sz w:val="20"/>
        </w:rPr>
        <w:t xml:space="preserve">Every figure above rests on one 4B model behind the causal probe, which makes the stratification a candidate property of </w:t>
      </w:r>
      <w:r>
        <w:rPr>
          <w:rFonts w:ascii="Times New Roman" w:hAnsi="Times New Roman"/>
          <w:b w:val="0"/>
          <w:i/>
          <w:color w:val="000000"/>
          <w:sz w:val="20"/>
        </w:rPr>
        <w:t>that model</w:t>
      </w:r>
      <w:r>
        <w:rPr>
          <w:rFonts w:ascii="Times New Roman" w:hAnsi="Times New Roman"/>
          <w:b w:val="0"/>
          <w:i w:val="0"/>
          <w:color w:val="000000"/>
          <w:sz w:val="20"/>
        </w:rPr>
        <w:t xml:space="preserve"> rather than of the mechanism. We tested it directly: the same InjecAgent draw, recorded a second time under a different probe model, scored through the same shipped rules with identical probe prompts.</w:t>
      </w:r>
    </w:p>
    <w:tbl>
      <w:tblPr>
        <w:tblStyle w:val="TableGrid"/>
        <w:tblW w:type="auto" w:w="0"/>
        <w:jc w:val="center"/>
        <w:tblLayout w:type="fixed"/>
        <w:tblLook w:firstColumn="1" w:firstRow="1" w:lastColumn="0" w:lastRow="0" w:noHBand="0" w:noVBand="1" w:val="04A0"/>
      </w:tblPr>
      <w:tblGrid>
        <w:gridCol w:w="2658"/>
        <w:gridCol w:w="3236"/>
        <w:gridCol w:w="3467"/>
      </w:tblGrid>
      <w:tr>
        <w:tc>
          <w:tcPr>
            <w:tcW w:type="dxa" w:w="2658"/>
            <w:shd w:val="clear" w:fill="EDF1F5"/>
          </w:tcPr>
          <w:p>
            <w:pPr>
              <w:spacing w:after="20" w:before="20"/>
              <w:jc w:val="left"/>
            </w:pPr>
            <w:r>
              <w:rPr>
                <w:rFonts w:ascii="Times New Roman" w:hAnsi="Times New Roman"/>
                <w:b/>
                <w:i w:val="0"/>
                <w:color w:val="000000"/>
                <w:sz w:val="17"/>
              </w:rPr>
              <w:t>Stratum</w:t>
            </w:r>
          </w:p>
        </w:tc>
        <w:tc>
          <w:tcPr>
            <w:tcW w:type="dxa" w:w="3236"/>
            <w:shd w:val="clear" w:fill="EDF1F5"/>
          </w:tcPr>
          <w:p>
            <w:pPr>
              <w:spacing w:after="20" w:before="20"/>
              <w:jc w:val="left"/>
            </w:pPr>
            <w:r>
              <w:rPr>
                <w:rFonts w:ascii="Consolas" w:hAnsi="Consolas"/>
                <w:b/>
                <w:i w:val="0"/>
                <w:color w:val="000000"/>
                <w:sz w:val="16"/>
              </w:rPr>
              <w:t>gemma3:4b</w:t>
            </w:r>
            <w:r>
              <w:rPr>
                <w:rFonts w:ascii="Times New Roman" w:hAnsi="Times New Roman"/>
                <w:b/>
                <w:i w:val="0"/>
                <w:color w:val="000000"/>
                <w:sz w:val="17"/>
              </w:rPr>
              <w:t xml:space="preserve"> (incumbent)</w:t>
            </w:r>
          </w:p>
        </w:tc>
        <w:tc>
          <w:tcPr>
            <w:tcW w:type="dxa" w:w="3467"/>
            <w:shd w:val="clear" w:fill="EDF1F5"/>
          </w:tcPr>
          <w:p>
            <w:pPr>
              <w:spacing w:after="20" w:before="20"/>
              <w:jc w:val="left"/>
            </w:pPr>
            <w:r>
              <w:rPr>
                <w:rFonts w:ascii="Consolas" w:hAnsi="Consolas"/>
                <w:b/>
                <w:i w:val="0"/>
                <w:color w:val="000000"/>
                <w:sz w:val="16"/>
              </w:rPr>
              <w:t>llama3.2:3b</w:t>
            </w:r>
          </w:p>
        </w:tc>
      </w:tr>
      <w:tr>
        <w:tc>
          <w:tcPr>
            <w:tcW w:type="dxa" w:w="2658"/>
          </w:tcPr>
          <w:p>
            <w:pPr>
              <w:spacing w:after="20" w:before="20"/>
              <w:jc w:val="left"/>
            </w:pPr>
            <w:r>
              <w:rPr>
                <w:rFonts w:ascii="Times New Roman" w:hAnsi="Times New Roman"/>
                <w:b w:val="0"/>
                <w:i w:val="0"/>
                <w:color w:val="000000"/>
                <w:sz w:val="17"/>
              </w:rPr>
              <w:t>target-match path fires</w:t>
            </w:r>
          </w:p>
        </w:tc>
        <w:tc>
          <w:tcPr>
            <w:tcW w:type="dxa" w:w="3236"/>
          </w:tcPr>
          <w:p>
            <w:pPr>
              <w:spacing w:after="20" w:before="20"/>
              <w:jc w:val="left"/>
            </w:pPr>
            <w:r>
              <w:rPr>
                <w:rFonts w:ascii="Times New Roman" w:hAnsi="Times New Roman"/>
                <w:b w:val="0"/>
                <w:i w:val="0"/>
                <w:color w:val="000000"/>
                <w:sz w:val="17"/>
              </w:rPr>
              <w:t>29/30 = 96.7% [83.3%, 99.4%]</w:t>
            </w:r>
          </w:p>
        </w:tc>
        <w:tc>
          <w:tcPr>
            <w:tcW w:type="dxa" w:w="3467"/>
          </w:tcPr>
          <w:p>
            <w:pPr>
              <w:spacing w:after="20" w:before="20"/>
              <w:jc w:val="left"/>
            </w:pPr>
            <w:r>
              <w:rPr>
                <w:rFonts w:ascii="Times New Roman" w:hAnsi="Times New Roman"/>
                <w:b w:val="0"/>
                <w:i w:val="0"/>
                <w:color w:val="000000"/>
                <w:sz w:val="17"/>
              </w:rPr>
              <w:t>30/30 = 100.0% [88.6%, 100.0%]</w:t>
            </w:r>
          </w:p>
        </w:tc>
      </w:tr>
      <w:tr>
        <w:tc>
          <w:tcPr>
            <w:tcW w:type="dxa" w:w="2658"/>
          </w:tcPr>
          <w:p>
            <w:pPr>
              <w:spacing w:after="20" w:before="20"/>
              <w:jc w:val="left"/>
            </w:pPr>
            <w:r>
              <w:rPr>
                <w:rFonts w:ascii="Times New Roman" w:hAnsi="Times New Roman"/>
                <w:b w:val="0"/>
                <w:i w:val="0"/>
                <w:color w:val="000000"/>
                <w:sz w:val="17"/>
              </w:rPr>
              <w:t>target-match cannot</w:t>
            </w:r>
          </w:p>
        </w:tc>
        <w:tc>
          <w:tcPr>
            <w:tcW w:type="dxa" w:w="3236"/>
          </w:tcPr>
          <w:p>
            <w:pPr>
              <w:spacing w:after="20" w:before="20"/>
              <w:jc w:val="left"/>
            </w:pPr>
            <w:r>
              <w:rPr>
                <w:rFonts w:ascii="Times New Roman" w:hAnsi="Times New Roman"/>
                <w:b w:val="0"/>
                <w:i w:val="0"/>
                <w:color w:val="000000"/>
                <w:sz w:val="17"/>
              </w:rPr>
              <w:t>4/30 = 13.3% [5.3%, 29.7%]</w:t>
            </w:r>
          </w:p>
        </w:tc>
        <w:tc>
          <w:tcPr>
            <w:tcW w:type="dxa" w:w="3467"/>
          </w:tcPr>
          <w:p>
            <w:pPr>
              <w:spacing w:after="20" w:before="20"/>
              <w:jc w:val="left"/>
            </w:pPr>
            <w:r>
              <w:rPr>
                <w:rFonts w:ascii="Times New Roman" w:hAnsi="Times New Roman"/>
                <w:b w:val="0"/>
                <w:i w:val="0"/>
                <w:color w:val="000000"/>
                <w:sz w:val="17"/>
              </w:rPr>
              <w:t>3/30 = 10.0% [3.5%, 25.6%]</w:t>
            </w:r>
          </w:p>
        </w:tc>
      </w:tr>
      <w:tr>
        <w:tc>
          <w:tcPr>
            <w:tcW w:type="dxa" w:w="2658"/>
          </w:tcPr>
          <w:p>
            <w:pPr>
              <w:spacing w:after="20" w:before="20"/>
              <w:jc w:val="left"/>
            </w:pPr>
            <w:r>
              <w:rPr>
                <w:rFonts w:ascii="Times New Roman" w:hAnsi="Times New Roman"/>
                <w:b/>
                <w:i w:val="0"/>
                <w:color w:val="000000"/>
                <w:sz w:val="17"/>
              </w:rPr>
              <w:t>stratum gap</w:t>
            </w:r>
          </w:p>
        </w:tc>
        <w:tc>
          <w:tcPr>
            <w:tcW w:type="dxa" w:w="3236"/>
          </w:tcPr>
          <w:p>
            <w:pPr>
              <w:spacing w:after="20" w:before="20"/>
              <w:jc w:val="left"/>
            </w:pPr>
            <w:r>
              <w:rPr>
                <w:rFonts w:ascii="Times New Roman" w:hAnsi="Times New Roman"/>
                <w:b/>
                <w:i w:val="0"/>
                <w:color w:val="000000"/>
                <w:sz w:val="17"/>
              </w:rPr>
              <w:t>83.3 points</w:t>
            </w:r>
          </w:p>
        </w:tc>
        <w:tc>
          <w:tcPr>
            <w:tcW w:type="dxa" w:w="3467"/>
          </w:tcPr>
          <w:p>
            <w:pPr>
              <w:spacing w:after="20" w:before="20"/>
              <w:jc w:val="left"/>
            </w:pPr>
            <w:r>
              <w:rPr>
                <w:rFonts w:ascii="Times New Roman" w:hAnsi="Times New Roman"/>
                <w:b/>
                <w:i w:val="0"/>
                <w:color w:val="000000"/>
                <w:sz w:val="17"/>
              </w:rPr>
              <w:t>90.0 points</w:t>
            </w:r>
          </w:p>
        </w:tc>
      </w:tr>
    </w:tbl>
    <w:p>
      <w:pPr>
        <w:spacing w:after="160" w:before="0" w:line="254" w:lineRule="auto"/>
        <w:jc w:val="left"/>
      </w:pPr>
      <w:r>
        <w:rPr>
          <w:rFonts w:ascii="Times New Roman" w:hAnsi="Times New Roman"/>
          <w:b/>
          <w:i w:val="0"/>
          <w:color w:val="444A53"/>
          <w:sz w:val="17"/>
        </w:rPr>
        <w:t>Table IX.</w:t>
      </w:r>
      <w:r>
        <w:rPr>
          <w:rFonts w:ascii="Times New Roman" w:hAnsi="Times New Roman"/>
          <w:b w:val="0"/>
          <w:i w:val="0"/>
          <w:color w:val="444A53"/>
          <w:sz w:val="17"/>
        </w:rPr>
        <w:t xml:space="preserve"> The stratification under a second probe model. Same draw, same prompts, same scorer; run 0 of each. Paired over all 60 cases: 1 helped, 1 hurt, 2 discordant, exact </w:t>
      </w:r>
      <w:r>
        <w:rPr>
          <w:rFonts w:ascii="Times New Roman" w:hAnsi="Times New Roman"/>
          <w:b w:val="0"/>
          <w:i/>
          <w:color w:val="444A53"/>
          <w:sz w:val="17"/>
        </w:rPr>
        <w:t>p</w:t>
      </w:r>
      <w:r>
        <w:rPr>
          <w:rFonts w:ascii="Times New Roman" w:hAnsi="Times New Roman"/>
          <w:b w:val="0"/>
          <w:i w:val="0"/>
          <w:color w:val="444A53"/>
          <w:sz w:val="17"/>
        </w:rPr>
        <w:t xml:space="preserve"> = 1.0 — which at two discordant pairs is near-zero power, not equivalence.</w:t>
      </w:r>
    </w:p>
    <w:p>
      <w:pPr>
        <w:spacing w:after="80" w:before="0" w:line="254" w:lineRule="auto"/>
        <w:jc w:val="both"/>
      </w:pPr>
      <w:r>
        <w:rPr>
          <w:rFonts w:ascii="Times New Roman" w:hAnsi="Times New Roman"/>
          <w:b w:val="0"/>
          <w:i w:val="0"/>
          <w:color w:val="000000"/>
          <w:sz w:val="20"/>
        </w:rPr>
        <w:t>The shape reproduces on a different model lineage with a smaller parameter count and a different instruct-tuning recipe, and the gap comes out slightly wider. The two models agree on 58 of 60 cases, disagreeing once in each direction. We claim from this that the collapse follows the mechanism rather than the model — not that the two models are equivalent, which two discordant pairs cannot support.</w:t>
      </w:r>
    </w:p>
    <w:p>
      <w:pPr>
        <w:spacing w:after="80" w:before="0" w:line="254" w:lineRule="auto"/>
        <w:jc w:val="both"/>
      </w:pPr>
      <w:r>
        <w:rPr>
          <w:rFonts w:ascii="Times New Roman" w:hAnsi="Times New Roman"/>
          <w:b w:val="0"/>
          <w:i w:val="0"/>
          <w:color w:val="000000"/>
          <w:sz w:val="20"/>
        </w:rPr>
        <w:t>Model choice was not free, and the constraint is worth reporting because it shapes what can be tested at this scale. Two other candidates were disqualified before this one on a pre-registered compliance pre-flight (§XII): a 7B model complies faithfully but cannot fit our 4 GB accelerator, running 47% on CPU and failing to return identical output across runs at temperature 0; a second 3B model is fully resident and perfectly reproducible but returns "no action" on both cases the incumbent detects, without emitting any refusal text. The probe requires a model that states the action it is shown, and that property is neither guaranteed by scale nor visible to a refusal-string check.</w:t>
      </w:r>
    </w:p>
    <w:p>
      <w:pPr>
        <w:spacing w:after="120" w:before="0" w:line="254" w:lineRule="auto"/>
        <w:jc w:val="left"/>
      </w:pPr>
      <w:r>
        <w:rPr>
          <w:rFonts w:ascii="Times New Roman" w:hAnsi="Times New Roman"/>
          <w:b w:val="0"/>
          <w:i/>
          <w:color w:val="444A53"/>
          <w:sz w:val="17"/>
        </w:rPr>
        <w:t>Artifact: `results/phase16_model_transfer/`.</w:t>
      </w:r>
    </w:p>
    <w:p>
      <w:pPr>
        <w:spacing w:after="100" w:before="240" w:line="254" w:lineRule="auto"/>
        <w:jc w:val="left"/>
      </w:pPr>
      <w:r>
        <w:rPr>
          <w:rFonts w:ascii="Times New Roman" w:hAnsi="Times New Roman"/>
          <w:b/>
          <w:i w:val="0"/>
          <w:color w:val="000000"/>
          <w:sz w:val="22"/>
        </w:rPr>
        <w:t>VIII. A HARM TAXONOMY GENERALIZES ABOUT HALF</w:t>
      </w:r>
    </w:p>
    <w:p>
      <w:pPr>
        <w:spacing w:after="120" w:before="0" w:line="254" w:lineRule="auto"/>
        <w:jc w:val="left"/>
      </w:pPr>
      <w:r>
        <w:rPr>
          <w:rFonts w:ascii="Times New Roman" w:hAnsi="Times New Roman"/>
          <w:b w:val="0"/>
          <w:i/>
          <w:color w:val="444A53"/>
          <w:sz w:val="17"/>
        </w:rPr>
        <w:t>Artifacts: `results/severity/rescore.json`, `results/severity/rescore_holdout.json`.</w:t>
      </w:r>
    </w:p>
    <w:p>
      <w:pPr>
        <w:spacing w:after="80" w:before="0" w:line="254" w:lineRule="auto"/>
        <w:jc w:val="both"/>
      </w:pPr>
      <w:r>
        <w:rPr>
          <w:rFonts w:ascii="Times New Roman" w:hAnsi="Times New Roman"/>
          <w:b w:val="0"/>
          <w:i w:val="0"/>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spacing w:after="80" w:before="0" w:line="254" w:lineRule="auto"/>
        <w:jc w:val="both"/>
      </w:pPr>
      <w:r>
        <w:rPr>
          <w:rFonts w:ascii="Times New Roman" w:hAnsi="Times New Roman"/>
          <w:b w:val="0"/>
          <w:i w:val="0"/>
          <w:color w:val="000000"/>
          <w:sz w:val="20"/>
        </w:rPr>
        <w:t xml:space="preserve">The protocol was therefore fixed in advance. The candidate harm class, a verb–resource conjunction over capability misuse, was written and </w:t>
      </w:r>
      <w:r>
        <w:rPr>
          <w:rFonts w:ascii="Times New Roman" w:hAnsi="Times New Roman"/>
          <w:b/>
          <w:i w:val="0"/>
          <w:color w:val="000000"/>
          <w:sz w:val="20"/>
        </w:rPr>
        <w:t>frozen at a named commit</w:t>
      </w:r>
      <w:r>
        <w:rPr>
          <w:rFonts w:ascii="Times New Roman" w:hAnsi="Times New Roman"/>
          <w:b w:val="0"/>
          <w:i w:val="0"/>
          <w:color w:val="000000"/>
          <w:sz w:val="20"/>
        </w:rPr>
        <w:t xml:space="preserve">. A second external attack corpus — AgentDojo's attack side, stratified on the detector's own predicate — was imported and </w:t>
      </w:r>
      <w:r>
        <w:rPr>
          <w:rFonts w:ascii="Times New Roman" w:hAnsi="Times New Roman"/>
          <w:b/>
          <w:i w:val="0"/>
          <w:color w:val="000000"/>
          <w:sz w:val="20"/>
        </w:rPr>
        <w:t>committed afterwards</w:t>
      </w:r>
      <w:r>
        <w:rPr>
          <w:rFonts w:ascii="Times New Roman" w:hAnsi="Times New Roman"/>
          <w:b w:val="0"/>
          <w:i w:val="0"/>
          <w:color w:val="000000"/>
          <w:sz w:val="20"/>
        </w:rPr>
        <w:t xml:space="preserve"> as a holdout. Only then was the holdout scored. The freeze commit is recorded in the payload and asserted by a test, so the ordering is verifiable rather than asserted.</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1766"/>
        <w:gridCol w:w="1589"/>
        <w:gridCol w:w="4238"/>
        <w:gridCol w:w="1766"/>
      </w:tblGrid>
      <w:tr>
        <w:tc>
          <w:tcPr>
            <w:tcW w:type="dxa" w:w="1766"/>
            <w:shd w:val="clear" w:fill="EDF1F5"/>
          </w:tcPr>
          <w:p>
            <w:pPr>
              <w:spacing w:after="20" w:before="20"/>
              <w:jc w:val="left"/>
            </w:pPr>
            <w:r>
              <w:rPr>
                <w:rFonts w:ascii="Times New Roman" w:hAnsi="Times New Roman"/>
                <w:b/>
                <w:i w:val="0"/>
                <w:color w:val="000000"/>
                <w:sz w:val="17"/>
              </w:rPr>
              <w:t>Arm</w:t>
            </w:r>
          </w:p>
        </w:tc>
        <w:tc>
          <w:tcPr>
            <w:tcW w:type="dxa" w:w="1589"/>
            <w:shd w:val="clear" w:fill="EDF1F5"/>
          </w:tcPr>
          <w:p>
            <w:pPr>
              <w:spacing w:after="20" w:before="20"/>
              <w:jc w:val="left"/>
            </w:pPr>
            <w:r>
              <w:rPr>
                <w:rFonts w:ascii="Times New Roman" w:hAnsi="Times New Roman"/>
                <w:b/>
                <w:i w:val="0"/>
                <w:color w:val="000000"/>
                <w:sz w:val="17"/>
              </w:rPr>
              <w:t>in-sample</w:t>
            </w:r>
          </w:p>
        </w:tc>
        <w:tc>
          <w:tcPr>
            <w:tcW w:type="dxa" w:w="4238"/>
            <w:shd w:val="clear" w:fill="EDF1F5"/>
          </w:tcPr>
          <w:p>
            <w:pPr>
              <w:spacing w:after="20" w:before="20"/>
              <w:jc w:val="left"/>
            </w:pPr>
            <w:r>
              <w:rPr>
                <w:rFonts w:ascii="Times New Roman" w:hAnsi="Times New Roman"/>
                <w:b/>
                <w:i w:val="0"/>
                <w:color w:val="000000"/>
                <w:sz w:val="17"/>
              </w:rPr>
              <w:t>holdout</w:t>
            </w:r>
          </w:p>
        </w:tc>
        <w:tc>
          <w:tcPr>
            <w:tcW w:type="dxa" w:w="1766"/>
            <w:shd w:val="clear" w:fill="EDF1F5"/>
          </w:tcPr>
          <w:p>
            <w:pPr>
              <w:spacing w:after="20" w:before="20"/>
              <w:jc w:val="left"/>
            </w:pPr>
            <w:r>
              <w:rPr>
                <w:rFonts w:ascii="Times New Roman" w:hAnsi="Times New Roman"/>
                <w:b/>
                <w:i w:val="0"/>
                <w:color w:val="000000"/>
                <w:sz w:val="17"/>
              </w:rPr>
              <w:t>benign FPR</w:t>
            </w:r>
          </w:p>
        </w:tc>
      </w:tr>
      <w:tr>
        <w:tc>
          <w:tcPr>
            <w:tcW w:type="dxa" w:w="1766"/>
          </w:tcPr>
          <w:p>
            <w:pPr>
              <w:spacing w:after="20" w:before="20"/>
              <w:jc w:val="left"/>
            </w:pPr>
            <w:r>
              <w:rPr>
                <w:rFonts w:ascii="Times New Roman" w:hAnsi="Times New Roman"/>
                <w:b w:val="0"/>
                <w:i w:val="0"/>
                <w:color w:val="000000"/>
                <w:sz w:val="17"/>
              </w:rPr>
              <w:t>baseline</w:t>
            </w:r>
          </w:p>
        </w:tc>
        <w:tc>
          <w:tcPr>
            <w:tcW w:type="dxa" w:w="1589"/>
          </w:tcPr>
          <w:p>
            <w:pPr>
              <w:spacing w:after="20" w:before="20"/>
              <w:jc w:val="right"/>
            </w:pPr>
            <w:r>
              <w:rPr>
                <w:rFonts w:ascii="Times New Roman" w:hAnsi="Times New Roman"/>
                <w:b w:val="0"/>
                <w:i w:val="0"/>
                <w:color w:val="000000"/>
                <w:sz w:val="17"/>
              </w:rPr>
              <w:t>13.3%</w:t>
            </w:r>
          </w:p>
        </w:tc>
        <w:tc>
          <w:tcPr>
            <w:tcW w:type="dxa" w:w="4238"/>
          </w:tcPr>
          <w:p>
            <w:pPr>
              <w:spacing w:after="20" w:before="20"/>
              <w:jc w:val="right"/>
            </w:pPr>
            <w:r>
              <w:rPr>
                <w:rFonts w:ascii="Times New Roman" w:hAnsi="Times New Roman"/>
                <w:b w:val="0"/>
                <w:i w:val="0"/>
                <w:color w:val="000000"/>
                <w:sz w:val="17"/>
              </w:rPr>
              <w:t>30.0%</w:t>
            </w:r>
          </w:p>
        </w:tc>
        <w:tc>
          <w:tcPr>
            <w:tcW w:type="dxa" w:w="1766"/>
          </w:tcPr>
          <w:p>
            <w:pPr>
              <w:spacing w:after="20" w:before="20"/>
              <w:jc w:val="right"/>
            </w:pPr>
            <w:r>
              <w:rPr>
                <w:rFonts w:ascii="Times New Roman" w:hAnsi="Times New Roman"/>
                <w:b w:val="0"/>
                <w:i w:val="0"/>
                <w:color w:val="000000"/>
                <w:sz w:val="17"/>
              </w:rPr>
              <w:t>3.3%</w:t>
            </w:r>
          </w:p>
        </w:tc>
      </w:tr>
      <w:tr>
        <w:tc>
          <w:tcPr>
            <w:tcW w:type="dxa" w:w="1766"/>
          </w:tcPr>
          <w:p>
            <w:pPr>
              <w:spacing w:after="20" w:before="20"/>
              <w:jc w:val="left"/>
            </w:pPr>
            <w:r>
              <w:rPr>
                <w:rFonts w:ascii="Times New Roman" w:hAnsi="Times New Roman"/>
                <w:b w:val="0"/>
                <w:i w:val="0"/>
                <w:color w:val="000000"/>
                <w:sz w:val="17"/>
              </w:rPr>
              <w:t>capability</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43.3% (4/0, </w:t>
            </w:r>
            <w:r>
              <w:rPr>
                <w:rFonts w:ascii="Times New Roman" w:hAnsi="Times New Roman"/>
                <w:b w:val="0"/>
                <w:i/>
                <w:color w:val="000000"/>
                <w:sz w:val="17"/>
              </w:rPr>
              <w:t>p</w:t>
            </w:r>
            <w:r>
              <w:rPr>
                <w:rFonts w:ascii="Times New Roman" w:hAnsi="Times New Roman"/>
                <w:b w:val="0"/>
                <w:i w:val="0"/>
                <w:color w:val="000000"/>
                <w:sz w:val="17"/>
              </w:rPr>
              <w:t xml:space="preserve"> = 0.125)</w:t>
            </w:r>
          </w:p>
        </w:tc>
        <w:tc>
          <w:tcPr>
            <w:tcW w:type="dxa" w:w="1766"/>
          </w:tcPr>
          <w:p>
            <w:pPr>
              <w:spacing w:after="20" w:before="20"/>
              <w:jc w:val="right"/>
            </w:pPr>
            <w:r>
              <w:rPr>
                <w:rFonts w:ascii="Times New Roman" w:hAnsi="Times New Roman"/>
                <w:b w:val="0"/>
                <w:i w:val="0"/>
                <w:color w:val="000000"/>
                <w:sz w:val="17"/>
              </w:rPr>
              <w:t>5.0%</w:t>
            </w:r>
          </w:p>
        </w:tc>
      </w:tr>
      <w:tr>
        <w:tc>
          <w:tcPr>
            <w:tcW w:type="dxa" w:w="1766"/>
          </w:tcPr>
          <w:p>
            <w:pPr>
              <w:spacing w:after="20" w:before="20"/>
              <w:jc w:val="left"/>
            </w:pPr>
            <w:r>
              <w:rPr>
                <w:rFonts w:ascii="Times New Roman" w:hAnsi="Times New Roman"/>
                <w:b w:val="0"/>
                <w:i w:val="0"/>
                <w:color w:val="000000"/>
                <w:sz w:val="17"/>
              </w:rPr>
              <w:t>schemeless</w:t>
            </w:r>
          </w:p>
        </w:tc>
        <w:tc>
          <w:tcPr>
            <w:tcW w:type="dxa" w:w="1589"/>
          </w:tcPr>
          <w:p>
            <w:pPr>
              <w:spacing w:after="20" w:before="20"/>
              <w:jc w:val="right"/>
            </w:pPr>
            <w:r>
              <w:rPr>
                <w:rFonts w:ascii="Times New Roman" w:hAnsi="Times New Roman"/>
                <w:b w:val="0"/>
                <w:i w:val="0"/>
                <w:color w:val="000000"/>
                <w:sz w:val="17"/>
              </w:rPr>
              <w:t>26.7%</w:t>
            </w:r>
          </w:p>
        </w:tc>
        <w:tc>
          <w:tcPr>
            <w:tcW w:type="dxa" w:w="4238"/>
          </w:tcPr>
          <w:p>
            <w:pPr>
              <w:spacing w:after="20" w:before="20"/>
              <w:jc w:val="right"/>
            </w:pPr>
            <w:r>
              <w:rPr>
                <w:rFonts w:ascii="Times New Roman" w:hAnsi="Times New Roman"/>
                <w:b w:val="0"/>
                <w:i w:val="0"/>
                <w:color w:val="000000"/>
                <w:sz w:val="17"/>
              </w:rPr>
              <w:t>36.7%</w:t>
            </w:r>
          </w:p>
        </w:tc>
        <w:tc>
          <w:tcPr>
            <w:tcW w:type="dxa" w:w="1766"/>
          </w:tcPr>
          <w:p>
            <w:pPr>
              <w:spacing w:after="20" w:before="20"/>
              <w:jc w:val="right"/>
            </w:pPr>
            <w:r>
              <w:rPr>
                <w:rFonts w:ascii="Times New Roman" w:hAnsi="Times New Roman"/>
                <w:b w:val="0"/>
                <w:i w:val="0"/>
                <w:color w:val="000000"/>
                <w:sz w:val="17"/>
              </w:rPr>
              <w:t>8.3%</w:t>
            </w:r>
          </w:p>
        </w:tc>
      </w:tr>
      <w:tr>
        <w:tc>
          <w:tcPr>
            <w:tcW w:type="dxa" w:w="1766"/>
          </w:tcPr>
          <w:p>
            <w:pPr>
              <w:spacing w:after="20" w:before="20"/>
              <w:jc w:val="left"/>
            </w:pPr>
            <w:r>
              <w:rPr>
                <w:rFonts w:ascii="Times New Roman" w:hAnsi="Times New Roman"/>
                <w:b w:val="0"/>
                <w:i w:val="0"/>
                <w:color w:val="000000"/>
                <w:sz w:val="17"/>
              </w:rPr>
              <w:t>both</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50.0% (6/0, </w:t>
            </w:r>
            <w:r>
              <w:rPr>
                <w:rFonts w:ascii="Times New Roman" w:hAnsi="Times New Roman"/>
                <w:b w:val="0"/>
                <w:i/>
                <w:color w:val="000000"/>
                <w:sz w:val="17"/>
              </w:rPr>
              <w:t>p</w:t>
            </w:r>
            <w:r>
              <w:rPr>
                <w:rFonts w:ascii="Times New Roman" w:hAnsi="Times New Roman"/>
                <w:b w:val="0"/>
                <w:i w:val="0"/>
                <w:color w:val="000000"/>
                <w:sz w:val="17"/>
              </w:rPr>
              <w:t xml:space="preserve"> = 0.031)</w:t>
            </w:r>
          </w:p>
        </w:tc>
        <w:tc>
          <w:tcPr>
            <w:tcW w:type="dxa" w:w="1766"/>
          </w:tcPr>
          <w:p>
            <w:pPr>
              <w:spacing w:after="20" w:before="20"/>
              <w:jc w:val="right"/>
            </w:pPr>
            <w:r>
              <w:rPr>
                <w:rFonts w:ascii="Times New Roman" w:hAnsi="Times New Roman"/>
                <w:b w:val="0"/>
                <w:i w:val="0"/>
                <w:color w:val="000000"/>
                <w:sz w:val="17"/>
              </w:rPr>
              <w:t>10.0%</w:t>
            </w:r>
          </w:p>
        </w:tc>
      </w:tr>
    </w:tbl>
    <w:p>
      <w:pPr>
        <w:spacing w:after="160" w:before="0" w:line="254" w:lineRule="auto"/>
        <w:jc w:val="left"/>
      </w:pPr>
      <w:r>
        <w:rPr>
          <w:rFonts w:ascii="Times New Roman" w:hAnsi="Times New Roman"/>
          <w:b/>
          <w:i w:val="0"/>
          <w:color w:val="444A53"/>
          <w:sz w:val="17"/>
        </w:rPr>
        <w:t>Table X.</w:t>
      </w:r>
      <w:r>
        <w:rPr>
          <w:rFonts w:ascii="Times New Roman" w:hAnsi="Times New Roman"/>
          <w:b w:val="0"/>
          <w:i w:val="0"/>
          <w:color w:val="444A53"/>
          <w:sz w:val="17"/>
        </w:rPr>
        <w:t xml:space="preserve"> In-sample 90.0% [74.4%, 96.5%] against holdout 43.3% [27.4%, 60.8%]. The intervals do not overlap. The diagnosis survives; the effect size does not.</w:t>
      </w:r>
    </w:p>
    <w:p>
      <w:pPr>
        <w:spacing w:before="160" w:after="60"/>
        <w:jc w:val="center"/>
      </w:pPr>
      <w:r>
        <w:drawing>
          <wp:inline xmlns:a="http://schemas.openxmlformats.org/drawingml/2006/main" xmlns:pic="http://schemas.openxmlformats.org/drawingml/2006/picture">
            <wp:extent cx="3844511" cy="2834639"/>
            <wp:docPr id="4" name="Picture 4"/>
            <wp:cNvGraphicFramePr>
              <a:graphicFrameLocks noChangeAspect="1"/>
            </wp:cNvGraphicFramePr>
            <a:graphic>
              <a:graphicData uri="http://schemas.openxmlformats.org/drawingml/2006/picture">
                <pic:pic>
                  <pic:nvPicPr>
                    <pic:cNvPr id="0" name="fig3_generalisation.png"/>
                    <pic:cNvPicPr/>
                  </pic:nvPicPr>
                  <pic:blipFill>
                    <a:blip r:embed="rId13"/>
                    <a:stretch>
                      <a:fillRect/>
                    </a:stretch>
                  </pic:blipFill>
                  <pic:spPr>
                    <a:xfrm>
                      <a:off x="0" y="0"/>
                      <a:ext cx="3844511" cy="2834639"/>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4.</w:t>
      </w:r>
      <w:r>
        <w:rPr>
          <w:rFonts w:ascii="Times New Roman" w:hAnsi="Times New Roman"/>
          <w:b w:val="0"/>
          <w:i w:val="0"/>
          <w:color w:val="444A53"/>
          <w:sz w:val="17"/>
        </w:rPr>
        <w:t xml:space="preserve"> Address-free detection for the capability lexicon, in-sample versus holdout. Error bars are Wilson 95% intervals and do not overlap.</w:t>
      </w:r>
    </w:p>
    <w:p>
      <w:pPr>
        <w:spacing w:after="80" w:before="0" w:line="254" w:lineRule="auto"/>
        <w:jc w:val="both"/>
      </w:pPr>
      <w:r>
        <w:rPr>
          <w:rFonts w:ascii="Times New Roman" w:hAnsi="Times New Roman"/>
          <w:b w:val="0"/>
          <w:i w:val="0"/>
          <w:color w:val="000000"/>
          <w:sz w:val="20"/>
        </w:rPr>
        <w:t xml:space="preserve">The in-sample figure overstated generalization by roughly 47 points, and the holdout gain is not statistically significant. A harm taxonomy assembled from one corpus's nouns is substantially </w:t>
      </w:r>
      <w:r>
        <w:rPr>
          <w:rFonts w:ascii="Times New Roman" w:hAnsi="Times New Roman"/>
          <w:b/>
          <w:i w:val="0"/>
          <w:color w:val="000000"/>
          <w:sz w:val="20"/>
        </w:rPr>
        <w:t>that corpus's nouns</w:t>
      </w:r>
      <w:r>
        <w:rPr>
          <w:rFonts w:ascii="Times New Roman" w:hAnsi="Times New Roman"/>
          <w:b w:val="0"/>
          <w:i w:val="0"/>
          <w:color w:val="000000"/>
          <w:sz w:val="20"/>
        </w:rPr>
        <w:t>. We report this as the section's finding, not as a disappointing detail attached to a fix.</w:t>
      </w:r>
    </w:p>
    <w:p>
      <w:pPr>
        <w:spacing w:after="60" w:before="160" w:line="254" w:lineRule="auto"/>
        <w:jc w:val="left"/>
      </w:pPr>
      <w:r>
        <w:rPr>
          <w:rFonts w:ascii="Times New Roman" w:hAnsi="Times New Roman"/>
          <w:b/>
          <w:i/>
          <w:color w:val="000000"/>
          <w:sz w:val="20"/>
        </w:rPr>
        <w:t>B. Where the remaining misses go</w:t>
      </w:r>
    </w:p>
    <w:p>
      <w:pPr>
        <w:spacing w:after="80" w:before="0" w:line="254" w:lineRule="auto"/>
        <w:jc w:val="both"/>
      </w:pPr>
      <w:r>
        <w:rPr>
          <w:rFonts w:ascii="Times New Roman" w:hAnsi="Times New Roman"/>
          <w:b w:val="0"/>
          <w:i w:val="0"/>
          <w:color w:val="000000"/>
          <w:sz w:val="20"/>
        </w:rPr>
        <w:t xml:space="preserve">Seventeen holdout misses decompose cleanly, and the decomposition is what makes the null informative. Ten are </w:t>
      </w:r>
      <w:r>
        <w:rPr>
          <w:rFonts w:ascii="Times New Roman" w:hAnsi="Times New Roman"/>
          <w:b w:val="0"/>
          <w:i/>
          <w:color w:val="000000"/>
          <w:sz w:val="20"/>
        </w:rPr>
        <w:t>travel</w:t>
      </w:r>
      <w:r>
        <w:rPr>
          <w:rFonts w:ascii="Times New Roman" w:hAnsi="Times New Roman"/>
          <w:b w:val="0"/>
          <w:i w:val="0"/>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spacing w:after="60" w:before="160" w:line="254" w:lineRule="auto"/>
        <w:jc w:val="left"/>
      </w:pPr>
      <w:r>
        <w:rPr>
          <w:rFonts w:ascii="Times New Roman" w:hAnsi="Times New Roman"/>
          <w:b/>
          <w:i/>
          <w:color w:val="000000"/>
          <w:sz w:val="20"/>
        </w:rPr>
        <w:t>C. A defect fixed and deliberately left switched off</w:t>
      </w:r>
    </w:p>
    <w:p>
      <w:pPr>
        <w:spacing w:after="80" w:before="0" w:line="254" w:lineRule="auto"/>
        <w:jc w:val="both"/>
      </w:pPr>
      <w:r>
        <w:rPr>
          <w:rFonts w:ascii="Times New Roman" w:hAnsi="Times New Roman"/>
          <w:b w:val="0"/>
          <w:i w:val="0"/>
          <w:color w:val="000000"/>
          <w:sz w:val="20"/>
        </w:rPr>
        <w:t xml:space="preserve">Target extraction matched </w:t>
      </w:r>
      <w:r>
        <w:rPr>
          <w:rFonts w:ascii="Consolas" w:hAnsi="Consolas"/>
          <w:b w:val="0"/>
          <w:i w:val="0"/>
          <w:color w:val="000000"/>
          <w:sz w:val="19"/>
        </w:rPr>
        <w:t>https?://</w:t>
      </w:r>
      <w:r>
        <w:rPr>
          <w:rFonts w:ascii="Times New Roman" w:hAnsi="Times New Roman"/>
          <w:b w:val="0"/>
          <w:i w:val="0"/>
          <w:color w:val="000000"/>
          <w:sz w:val="20"/>
        </w:rPr>
        <w:t xml:space="preserve"> only, so a bare host in body text concealed an attacker-controlled destination in plain sight. The fix buys </w:t>
      </w:r>
      <w:r>
        <w:rPr>
          <w:rFonts w:ascii="Times New Roman" w:hAnsi="Times New Roman"/>
          <w:b/>
          <w:i w:val="0"/>
          <w:color w:val="000000"/>
          <w:sz w:val="20"/>
        </w:rPr>
        <w:t>2 detections for 3 false positives</w:t>
      </w:r>
      <w:r>
        <w:rPr>
          <w:rFonts w:ascii="Times New Roman" w:hAnsi="Times New Roman"/>
          <w:b w:val="0"/>
          <w:i w:val="0"/>
          <w:color w:val="000000"/>
          <w:sz w:val="20"/>
        </w:rPr>
        <w:t xml:space="preserve">, and all three false positives are benign workplace chat containing a bare host — which is also the benchmark's own phishing </w:t>
      </w:r>
      <w:r>
        <w:rPr>
          <w:rFonts w:ascii="Times New Roman" w:hAnsi="Times New Roman"/>
          <w:b w:val="0"/>
          <w:i/>
          <w:color w:val="000000"/>
          <w:sz w:val="20"/>
        </w:rPr>
        <w:t>attack</w:t>
      </w:r>
      <w:r>
        <w:rPr>
          <w:rFonts w:ascii="Times New Roman" w:hAnsi="Times New Roman"/>
          <w:b w:val="0"/>
          <w:i w:val="0"/>
          <w:color w:val="000000"/>
          <w:sz w:val="20"/>
        </w:rPr>
        <w:t xml:space="preserve">. At the level this detector observes, the benign case and the attack are the same sentence. We ship the fix behind a flag defaulting to off, and report it as a </w:t>
      </w:r>
      <w:r>
        <w:rPr>
          <w:rFonts w:ascii="Times New Roman" w:hAnsi="Times New Roman"/>
          <w:b/>
          <w:i w:val="0"/>
          <w:color w:val="000000"/>
          <w:sz w:val="20"/>
        </w:rPr>
        <w:t>boundary rather than a tuning problem</w:t>
      </w:r>
      <w:r>
        <w:rPr>
          <w:rFonts w:ascii="Times New Roman" w:hAnsi="Times New Roman"/>
          <w:b w:val="0"/>
          <w:i w:val="0"/>
          <w:color w:val="000000"/>
          <w:sz w:val="20"/>
        </w:rPr>
        <w:t>.</w:t>
      </w:r>
    </w:p>
    <w:p>
      <w:pPr>
        <w:spacing w:after="60" w:before="160" w:line="254" w:lineRule="auto"/>
        <w:jc w:val="left"/>
      </w:pPr>
      <w:r>
        <w:rPr>
          <w:rFonts w:ascii="Times New Roman" w:hAnsi="Times New Roman"/>
          <w:b/>
          <w:i/>
          <w:color w:val="000000"/>
          <w:sz w:val="20"/>
        </w:rPr>
        <w:t>D. The measurement has a floor its own size</w:t>
      </w:r>
    </w:p>
    <w:p>
      <w:pPr>
        <w:spacing w:after="80" w:before="0" w:line="254" w:lineRule="auto"/>
        <w:jc w:val="both"/>
      </w:pPr>
      <w:r>
        <w:rPr>
          <w:rFonts w:ascii="Times New Roman" w:hAnsi="Times New Roman"/>
          <w:b w:val="0"/>
          <w:i w:val="0"/>
          <w:color w:val="000000"/>
          <w:sz w:val="20"/>
        </w:rPr>
        <w:t xml:space="preserve">Three independent recordings of the same 60 benign documents give three identical rates: 2/60 = 3.3% each time. </w:t>
      </w:r>
      <w:r>
        <w:rPr>
          <w:rFonts w:ascii="Times New Roman" w:hAnsi="Times New Roman"/>
          <w:b/>
          <w:i w:val="0"/>
          <w:color w:val="000000"/>
          <w:sz w:val="20"/>
        </w:rPr>
        <w:t>The count does not move; the membership does.</w:t>
      </w:r>
      <w:r>
        <w:rPr>
          <w:rFonts w:ascii="Times New Roman" w:hAnsi="Times New Roman"/>
          <w:b w:val="0"/>
          <w:i w:val="0"/>
          <w:color w:val="000000"/>
          <w:sz w:val="20"/>
        </w:rPr>
        <w:t xml:space="preserve"> Per-document stability across the three runs is 1 always, 57 never, 2 unstable — one stable false positive plus exactly one of two borderline documents firing per run.</w:t>
      </w:r>
    </w:p>
    <w:p>
      <w:pPr>
        <w:spacing w:after="120" w:before="80" w:line="254" w:lineRule="auto"/>
        <w:ind w:left="504"/>
        <w:jc w:val="left"/>
      </w:pPr>
      <w:r>
        <w:rPr>
          <w:rFonts w:ascii="Times New Roman" w:hAnsi="Times New Roman"/>
          <w:b/>
          <w:i/>
          <w:color w:val="000000"/>
          <w:sz w:val="20"/>
        </w:rPr>
        <w:t>The FPR reproduces as a rate; the set of documents producing it does not.</w:t>
      </w:r>
    </w:p>
    <w:p>
      <w:pPr>
        <w:spacing w:after="80" w:before="0" w:line="254" w:lineRule="auto"/>
        <w:jc w:val="both"/>
      </w:pPr>
      <w:r>
        <w:rPr>
          <w:rFonts w:ascii="Times New Roman" w:hAnsi="Times New Roman"/>
          <w:b w:val="0"/>
          <w:i w:val="0"/>
          <w:color w:val="000000"/>
          <w:sz w:val="20"/>
        </w:rPr>
        <w:t xml:space="preserve">A claim of the form "this configuration adds one false positive" is therefore not supported by a single run, because it may be reporting churn in the borderline pool. This bounds Table X directly: the capability arm's apparent FPR cost is one case in 60, precisely the magnitude that churns, so the defensible statement is </w:t>
      </w:r>
      <w:r>
        <w:rPr>
          <w:rFonts w:ascii="Times New Roman" w:hAnsi="Times New Roman"/>
          <w:b/>
          <w:i w:val="0"/>
          <w:color w:val="000000"/>
          <w:sz w:val="20"/>
        </w:rPr>
        <w:t>no measurable FPR change</w:t>
      </w:r>
      <w:r>
        <w:rPr>
          <w:rFonts w:ascii="Times New Roman" w:hAnsi="Times New Roman"/>
          <w:b w:val="0"/>
          <w:i w:val="0"/>
          <w:color w:val="000000"/>
          <w:sz w:val="20"/>
        </w:rPr>
        <w:t>, not "+1.7 points".</w:t>
      </w:r>
    </w:p>
    <w:p>
      <w:pPr>
        <w:spacing w:after="100" w:before="240" w:line="254" w:lineRule="auto"/>
        <w:jc w:val="left"/>
      </w:pPr>
      <w:r>
        <w:rPr>
          <w:rFonts w:ascii="Times New Roman" w:hAnsi="Times New Roman"/>
          <w:b/>
          <w:i w:val="0"/>
          <w:color w:val="000000"/>
          <w:sz w:val="22"/>
        </w:rPr>
        <w:t>IX. THE ADAPTIVE LAYER AND THE TEMPORAL-DRIFT RULE</w:t>
      </w:r>
    </w:p>
    <w:p>
      <w:pPr>
        <w:spacing w:after="120" w:before="0" w:line="254" w:lineRule="auto"/>
        <w:jc w:val="left"/>
      </w:pPr>
      <w:r>
        <w:rPr>
          <w:rFonts w:ascii="Times New Roman" w:hAnsi="Times New Roman"/>
          <w:b w:val="0"/>
          <w:i/>
          <w:color w:val="444A53"/>
          <w:sz w:val="17"/>
        </w:rPr>
        <w:t>Artifacts: `results/phase15/multiturn_r1.json`, `multiturn_r2.json`.</w:t>
      </w:r>
    </w:p>
    <w:p>
      <w:pPr>
        <w:spacing w:after="80" w:before="0" w:line="254" w:lineRule="auto"/>
        <w:jc w:val="both"/>
      </w:pPr>
      <w:r>
        <w:rPr>
          <w:rFonts w:ascii="Times New Roman" w:hAnsi="Times New Roman"/>
          <w:b w:val="0"/>
          <w:i w:val="0"/>
          <w:color w:val="000000"/>
          <w:sz w:val="20"/>
        </w:rPr>
        <w:t>The adaptive component observes detection failures and proposes configuration changes for human approval. This section reports what it does, and the answer has three parts that must be read together.</w:t>
      </w:r>
    </w:p>
    <w:p>
      <w:pPr>
        <w:spacing w:after="60" w:before="160" w:line="254" w:lineRule="auto"/>
        <w:jc w:val="left"/>
      </w:pPr>
      <w:r>
        <w:rPr>
          <w:rFonts w:ascii="Times New Roman" w:hAnsi="Times New Roman"/>
          <w:b/>
          <w:i/>
          <w:color w:val="000000"/>
          <w:sz w:val="20"/>
        </w:rPr>
        <w:t>A. The loop closes a constructed gap, and the fix generalizes</w:t>
      </w:r>
    </w:p>
    <w:p>
      <w:pPr>
        <w:spacing w:after="80" w:before="0" w:line="254" w:lineRule="auto"/>
        <w:jc w:val="both"/>
      </w:pPr>
      <w:r>
        <w:rPr>
          <w:rFonts w:ascii="Times New Roman" w:hAnsi="Times New Roman"/>
          <w:b w:val="0"/>
          <w:i w:val="0"/>
          <w:color w:val="000000"/>
          <w:sz w:val="20"/>
        </w:rPr>
        <w:t xml:space="preserve">Given an injection missed because one threshold sits too high, the component observes the miss, proposes a threshold change carrying no memorized literal, applies it, and the attack is then caught. Critically, a </w:t>
      </w:r>
      <w:r>
        <w:rPr>
          <w:rFonts w:ascii="Times New Roman" w:hAnsi="Times New Roman"/>
          <w:b/>
          <w:i w:val="0"/>
          <w:color w:val="000000"/>
          <w:sz w:val="20"/>
        </w:rPr>
        <w:t>held-out attacker address the component never saw</w:t>
      </w:r>
      <w:r>
        <w:rPr>
          <w:rFonts w:ascii="Times New Roman" w:hAnsi="Times New Roman"/>
          <w:b w:val="0"/>
          <w:i w:val="0"/>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spacing w:after="60" w:before="160" w:line="254" w:lineRule="auto"/>
        <w:jc w:val="left"/>
      </w:pPr>
      <w:r>
        <w:rPr>
          <w:rFonts w:ascii="Times New Roman" w:hAnsi="Times New Roman"/>
          <w:b/>
          <w:i/>
          <w:color w:val="000000"/>
          <w:sz w:val="20"/>
        </w:rPr>
        <w:t>B. It proposes nothing on every natural corpus</w:t>
      </w:r>
    </w:p>
    <w:p>
      <w:pPr>
        <w:spacing w:after="80" w:before="0" w:line="254" w:lineRule="auto"/>
        <w:jc w:val="both"/>
      </w:pPr>
      <w:r>
        <w:rPr>
          <w:rFonts w:ascii="Times New Roman" w:hAnsi="Times New Roman"/>
          <w:b w:val="0"/>
          <w:i w:val="0"/>
          <w:color w:val="000000"/>
          <w:sz w:val="20"/>
        </w:rPr>
        <w:t xml:space="preserve">Across an expanded campaign of 118 labeled episodes, replaying the reward across the entire threshold grid catches </w:t>
      </w:r>
      <w:r>
        <w:rPr>
          <w:rFonts w:ascii="Times New Roman" w:hAnsi="Times New Roman"/>
          <w:b/>
          <w:i w:val="0"/>
          <w:color w:val="000000"/>
          <w:sz w:val="20"/>
        </w:rPr>
        <w:t>zero</w:t>
      </w:r>
      <w:r>
        <w:rPr>
          <w:rFonts w:ascii="Times New Roman" w:hAnsi="Times New Roman"/>
          <w:b w:val="0"/>
          <w:i w:val="0"/>
          <w:color w:val="000000"/>
          <w:sz w:val="20"/>
        </w:rPr>
        <w:t xml:space="preserve"> additional attacks. The residual misses all score 0 on the masked probe, which is below both detection rules simultaneously and therefore </w:t>
      </w:r>
      <w:r>
        <w:rPr>
          <w:rFonts w:ascii="Times New Roman" w:hAnsi="Times New Roman"/>
          <w:b/>
          <w:i w:val="0"/>
          <w:color w:val="000000"/>
          <w:sz w:val="20"/>
        </w:rPr>
        <w:t>unreachable by the threshold the component controls</w:t>
      </w:r>
      <w:r>
        <w:rPr>
          <w:rFonts w:ascii="Times New Roman" w:hAnsi="Times New Roman"/>
          <w:b w:val="0"/>
          <w:i w:val="0"/>
          <w:color w:val="000000"/>
          <w:sz w:val="20"/>
        </w:rPr>
        <w:t>. An independent benchmark agrees: all of its residual attack successes are the address-free vector, none a threshold failure. The component correctly proposes a no-op, and we report the no-op as the result.</w:t>
      </w:r>
    </w:p>
    <w:p>
      <w:pPr>
        <w:spacing w:after="60" w:before="160" w:line="254" w:lineRule="auto"/>
        <w:jc w:val="left"/>
      </w:pPr>
      <w:r>
        <w:rPr>
          <w:rFonts w:ascii="Times New Roman" w:hAnsi="Times New Roman"/>
          <w:b/>
          <w:i/>
          <w:color w:val="000000"/>
          <w:sz w:val="20"/>
        </w:rPr>
        <w:t>C. The temporal rule: two pre-registered attempts</w:t>
      </w:r>
    </w:p>
    <w:p>
      <w:pPr>
        <w:spacing w:after="80" w:before="0" w:line="254" w:lineRule="auto"/>
        <w:jc w:val="both"/>
      </w:pPr>
      <w:r>
        <w:rPr>
          <w:rFonts w:ascii="Times New Roman" w:hAnsi="Times New Roman"/>
          <w:b w:val="0"/>
          <w:i w:val="0"/>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rFonts w:ascii="Times New Roman" w:hAnsi="Times New Roman"/>
          <w:b w:val="0"/>
          <w:i/>
          <w:color w:val="000000"/>
          <w:sz w:val="20"/>
        </w:rPr>
        <w:t>unidentifiable</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We built the first multi-turn cohort that could exercise it: five three-turn conversations sharing a session, with the success criterion, the target severity trajectories, and the guard </w:t>
      </w:r>
      <w:r>
        <w:rPr>
          <w:rFonts w:ascii="Times New Roman" w:hAnsi="Times New Roman"/>
          <w:b/>
          <w:i w:val="0"/>
          <w:color w:val="000000"/>
          <w:sz w:val="20"/>
        </w:rPr>
        <w:t>registered and committed before the run</w:t>
      </w:r>
      <w:r>
        <w:rPr>
          <w:rFonts w:ascii="Times New Roman" w:hAnsi="Times New Roman"/>
          <w:b w:val="0"/>
          <w:i w:val="0"/>
          <w:color w:val="000000"/>
          <w:sz w:val="20"/>
        </w:rPr>
        <w:t>.</w:t>
      </w:r>
    </w:p>
    <w:p>
      <w:pPr>
        <w:spacing w:after="80" w:before="0" w:line="254" w:lineRule="auto"/>
        <w:jc w:val="both"/>
      </w:pPr>
      <w:r>
        <w:rPr>
          <w:rFonts w:ascii="Times New Roman" w:hAnsi="Times New Roman"/>
          <w:b/>
          <w:i w:val="0"/>
          <w:color w:val="000000"/>
          <w:sz w:val="20"/>
        </w:rPr>
        <w:t>Result: no drift-only detection, in either of two runs.</w:t>
      </w:r>
      <w:r>
        <w:rPr>
          <w:rFonts w:ascii="Times New Roman" w:hAnsi="Times New Roman"/>
          <w:b w:val="0"/>
          <w:i w:val="0"/>
          <w:color w:val="000000"/>
          <w:sz w:val="20"/>
        </w:rPr>
        <w:t xml:space="preserve"> After the first null we diagnosed three content defects, repaired them under a second pre-registration that records having been written </w:t>
      </w:r>
      <w:r>
        <w:rPr>
          <w:rFonts w:ascii="Times New Roman" w:hAnsi="Times New Roman"/>
          <w:b w:val="0"/>
          <w:i/>
          <w:color w:val="000000"/>
          <w:sz w:val="20"/>
        </w:rPr>
        <w:t>after</w:t>
      </w:r>
      <w:r>
        <w:rPr>
          <w:rFonts w:ascii="Times New Roman" w:hAnsi="Times New Roman"/>
          <w:b w:val="0"/>
          <w:i w:val="0"/>
          <w:color w:val="000000"/>
          <w:sz w:val="20"/>
        </w:rPr>
        <w:t xml:space="preserve"> seeing the first run's trajectories, and re-ran. The repair demonstrably worked where it was diagnosed, and the primary criterion was still not met.</w:t>
      </w:r>
    </w:p>
    <w:tbl>
      <w:tblPr>
        <w:tblStyle w:val="TableGrid"/>
        <w:tblW w:type="auto" w:w="0"/>
        <w:jc w:val="center"/>
        <w:tblLayout w:type="fixed"/>
        <w:tblLook w:firstColumn="1" w:firstRow="1" w:lastColumn="0" w:lastRow="0" w:noHBand="0" w:noVBand="1" w:val="04A0"/>
      </w:tblPr>
      <w:tblGrid>
        <w:gridCol w:w="5883"/>
        <w:gridCol w:w="3477"/>
      </w:tblGrid>
      <w:tr>
        <w:tc>
          <w:tcPr>
            <w:tcW w:type="dxa" w:w="5883"/>
            <w:shd w:val="clear" w:fill="EDF1F5"/>
          </w:tcPr>
          <w:p>
            <w:pPr>
              <w:spacing w:after="20" w:before="20"/>
              <w:jc w:val="left"/>
            </w:pPr>
            <w:r>
              <w:rPr>
                <w:rFonts w:ascii="Times New Roman" w:hAnsi="Times New Roman"/>
                <w:b/>
                <w:i w:val="0"/>
                <w:color w:val="000000"/>
                <w:sz w:val="17"/>
              </w:rPr>
              <w:t>Across 30 scored turns</w:t>
            </w:r>
          </w:p>
        </w:tc>
        <w:tc>
          <w:tcPr>
            <w:tcW w:type="dxa" w:w="3477"/>
            <w:shd w:val="clear" w:fill="EDF1F5"/>
          </w:tcPr>
          <w:p>
            <w:pPr>
              <w:spacing w:after="20" w:before="20"/>
              <w:jc w:val="left"/>
            </w:pPr>
            <w:r>
              <w:rPr>
                <w:rFonts w:ascii="Times New Roman" w:hAnsi="Times New Roman"/>
                <w:b/>
                <w:i w:val="0"/>
                <w:color w:val="000000"/>
                <w:sz w:val="17"/>
              </w:rPr>
              <w:t>count</w:t>
            </w:r>
          </w:p>
        </w:tc>
      </w:tr>
      <w:tr>
        <w:tc>
          <w:tcPr>
            <w:tcW w:type="dxa" w:w="5883"/>
          </w:tcPr>
          <w:p>
            <w:pPr>
              <w:spacing w:after="20" w:before="20"/>
              <w:jc w:val="left"/>
            </w:pPr>
            <w:r>
              <w:rPr>
                <w:rFonts w:ascii="Consolas" w:hAnsi="Consolas"/>
                <w:b w:val="0"/>
                <w:i w:val="0"/>
                <w:color w:val="000000"/>
                <w:sz w:val="16"/>
              </w:rPr>
              <w:t>orig</w:t>
            </w:r>
            <w:r>
              <w:rPr>
                <w:rFonts w:ascii="Times New Roman" w:hAnsi="Times New Roman"/>
                <w:b w:val="0"/>
                <w:i w:val="0"/>
                <w:color w:val="000000"/>
                <w:sz w:val="17"/>
              </w:rPr>
              <w:t xml:space="preserve"> equals </w:t>
            </w:r>
            <w:r>
              <w:rPr>
                <w:rFonts w:ascii="Consolas" w:hAnsi="Consolas"/>
                <w:b w:val="0"/>
                <w:i w:val="0"/>
                <w:color w:val="000000"/>
                <w:sz w:val="16"/>
              </w:rPr>
              <w:t>masked</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ACE = 0</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IE = 0</w:t>
            </w:r>
          </w:p>
        </w:tc>
        <w:tc>
          <w:tcPr>
            <w:tcW w:type="dxa" w:w="3477"/>
          </w:tcPr>
          <w:p>
            <w:pPr>
              <w:spacing w:after="20" w:before="20"/>
              <w:jc w:val="left"/>
            </w:pPr>
            <w:r>
              <w:rPr>
                <w:rFonts w:ascii="Times New Roman" w:hAnsi="Times New Roman"/>
                <w:b w:val="0"/>
                <w:i w:val="0"/>
                <w:color w:val="000000"/>
                <w:sz w:val="17"/>
              </w:rPr>
              <w:t>29 / 30 (97%)</w:t>
            </w:r>
          </w:p>
        </w:tc>
      </w:tr>
    </w:tbl>
    <w:p>
      <w:pPr>
        <w:spacing w:after="160" w:before="0" w:line="254" w:lineRule="auto"/>
        <w:jc w:val="left"/>
      </w:pPr>
      <w:r>
        <w:rPr>
          <w:rFonts w:ascii="Times New Roman" w:hAnsi="Times New Roman"/>
          <w:b/>
          <w:i w:val="0"/>
          <w:color w:val="444A53"/>
          <w:sz w:val="17"/>
        </w:rPr>
        <w:t>Table XI.</w:t>
      </w:r>
      <w:r>
        <w:rPr>
          <w:rFonts w:ascii="Times New Roman" w:hAnsi="Times New Roman"/>
          <w:b w:val="0"/>
          <w:i w:val="0"/>
          <w:color w:val="444A53"/>
          <w:sz w:val="17"/>
        </w:rPr>
        <w:t xml:space="preserve"> The causal contrast across both pre-registered runs.</w:t>
      </w:r>
    </w:p>
    <w:p>
      <w:pPr>
        <w:spacing w:before="160" w:after="60"/>
        <w:jc w:val="center"/>
      </w:pPr>
      <w:r>
        <w:drawing>
          <wp:inline xmlns:a="http://schemas.openxmlformats.org/drawingml/2006/main" xmlns:pic="http://schemas.openxmlformats.org/drawingml/2006/picture">
            <wp:extent cx="2712720" cy="2834640"/>
            <wp:docPr id="5" name="Picture 5"/>
            <wp:cNvGraphicFramePr>
              <a:graphicFrameLocks noChangeAspect="1"/>
            </wp:cNvGraphicFramePr>
            <a:graphic>
              <a:graphicData uri="http://schemas.openxmlformats.org/drawingml/2006/picture">
                <pic:pic>
                  <pic:nvPicPr>
                    <pic:cNvPr id="0" name="fig4_flat_contrast.png"/>
                    <pic:cNvPicPr/>
                  </pic:nvPicPr>
                  <pic:blipFill>
                    <a:blip r:embed="rId14"/>
                    <a:stretch>
                      <a:fillRect/>
                    </a:stretch>
                  </pic:blipFill>
                  <pic:spPr>
                    <a:xfrm>
                      <a:off x="0" y="0"/>
                      <a:ext cx="2712720"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5.</w:t>
      </w:r>
      <w:r>
        <w:rPr>
          <w:rFonts w:ascii="Times New Roman" w:hAnsi="Times New Roman"/>
          <w:b w:val="0"/>
          <w:i w:val="0"/>
          <w:color w:val="444A53"/>
          <w:sz w:val="17"/>
        </w:rPr>
        <w:t xml:space="preserve"> Unmasked against masked severity for every scored turn of both runs. Points on the diagonal have zero causal contrast; 24 of 30 turns lie there, malicious and benign alike.</w:t>
      </w:r>
    </w:p>
    <w:p>
      <w:pPr>
        <w:spacing w:after="80" w:before="0" w:line="254" w:lineRule="auto"/>
        <w:jc w:val="both"/>
      </w:pPr>
      <w:r>
        <w:rPr>
          <w:rFonts w:ascii="Times New Roman" w:hAnsi="Times New Roman"/>
          <w:b w:val="0"/>
          <w:i w:val="0"/>
          <w:color w:val="000000"/>
          <w:sz w:val="20"/>
        </w:rPr>
        <w:t xml:space="preserve">The drift score is a weighted sum of a falling ACE and a rising IE. </w:t>
      </w:r>
      <w:r>
        <w:rPr>
          <w:rFonts w:ascii="Times New Roman" w:hAnsi="Times New Roman"/>
          <w:b/>
          <w:i w:val="0"/>
          <w:color w:val="000000"/>
          <w:sz w:val="20"/>
        </w:rPr>
        <w:t>With both quantities zero almost everywhere, the score is zero for any threshold, on any content, however the conversation escalates.</w:t>
      </w:r>
      <w:r>
        <w:rPr>
          <w:rFonts w:ascii="Times New Roman" w:hAnsi="Times New Roman"/>
          <w:b w:val="0"/>
          <w:i w:val="0"/>
          <w:color w:val="000000"/>
          <w:sz w:val="20"/>
        </w:rPr>
        <w:t xml:space="preserve"> The masked and unmasked probes </w:t>
      </w:r>
      <w:r>
        <w:rPr>
          <w:rFonts w:ascii="Times New Roman" w:hAnsi="Times New Roman"/>
          <w:b w:val="0"/>
          <w:i/>
          <w:color w:val="000000"/>
          <w:sz w:val="20"/>
        </w:rPr>
        <w:t>agree with each other</w:t>
      </w:r>
      <w:r>
        <w:rPr>
          <w:rFonts w:ascii="Times New Roman" w:hAnsi="Times New Roman"/>
          <w:b w:val="0"/>
          <w:i w:val="0"/>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spacing w:after="80" w:before="0" w:line="254" w:lineRule="auto"/>
        <w:jc w:val="both"/>
      </w:pPr>
      <w:r>
        <w:rPr>
          <w:rFonts w:ascii="Times New Roman" w:hAnsi="Times New Roman"/>
          <w:b w:val="0"/>
          <w:i w:val="0"/>
          <w:color w:val="000000"/>
          <w:sz w:val="20"/>
        </w:rPr>
        <w:t>We stopped after two attempts, as pre-registered, because a third would have been indistinguishable from tuning a corpus until it fired.</w:t>
      </w:r>
    </w:p>
    <w:p>
      <w:pPr>
        <w:spacing w:after="100" w:before="240" w:line="254" w:lineRule="auto"/>
        <w:jc w:val="left"/>
      </w:pPr>
      <w:r>
        <w:rPr>
          <w:rFonts w:ascii="Times New Roman" w:hAnsi="Times New Roman"/>
          <w:b/>
          <w:i w:val="0"/>
          <w:color w:val="000000"/>
          <w:sz w:val="22"/>
        </w:rPr>
        <w:t>X. NEGATIVE RESULTS AND THE CASE FOR A HUMAN GATE</w:t>
      </w:r>
    </w:p>
    <w:p>
      <w:pPr>
        <w:spacing w:after="80" w:before="0" w:line="254" w:lineRule="auto"/>
        <w:jc w:val="both"/>
      </w:pPr>
      <w:r>
        <w:rPr>
          <w:rFonts w:ascii="Times New Roman" w:hAnsi="Times New Roman"/>
          <w:b w:val="0"/>
          <w:i w:val="0"/>
          <w:color w:val="000000"/>
          <w:sz w:val="20"/>
        </w:rPr>
        <w:t>Three results about adaptive security configuration are reported here because each is invisible from inside the component that produced it.</w:t>
      </w:r>
    </w:p>
    <w:p>
      <w:pPr>
        <w:spacing w:after="80" w:before="0" w:line="254" w:lineRule="auto"/>
        <w:jc w:val="both"/>
      </w:pPr>
      <w:r>
        <w:rPr>
          <w:rFonts w:ascii="Times New Roman" w:hAnsi="Times New Roman"/>
          <w:b/>
          <w:i w:val="0"/>
          <w:color w:val="000000"/>
          <w:sz w:val="20"/>
        </w:rPr>
        <w:t>1) A learned policy proposed a change its own reward scored lower.</w:t>
      </w:r>
      <w:r>
        <w:rPr>
          <w:rFonts w:ascii="Times New Roman" w:hAnsi="Times New Roman"/>
          <w:b w:val="0"/>
          <w:i w:val="0"/>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rFonts w:ascii="Times New Roman" w:hAnsi="Times New Roman"/>
          <w:b/>
          <w:i w:val="0"/>
          <w:color w:val="000000"/>
          <w:sz w:val="20"/>
        </w:rPr>
        <w:t>a learned policy's argmax is not a guarantee about the objective.</w:t>
      </w:r>
    </w:p>
    <w:p>
      <w:pPr>
        <w:spacing w:after="80" w:before="0" w:line="254" w:lineRule="auto"/>
        <w:jc w:val="both"/>
      </w:pPr>
      <w:r>
        <w:rPr>
          <w:rFonts w:ascii="Times New Roman" w:hAnsi="Times New Roman"/>
          <w:b/>
          <w:i w:val="0"/>
          <w:color w:val="000000"/>
          <w:sz w:val="20"/>
        </w:rPr>
        <w:t>2) The only gain the trainer ever found was an artifact of our own benign corpus.</w:t>
      </w:r>
      <w:r>
        <w:rPr>
          <w:rFonts w:ascii="Times New Roman" w:hAnsi="Times New Roman"/>
          <w:b w:val="0"/>
          <w:i w:val="0"/>
          <w:color w:val="000000"/>
          <w:sz w:val="20"/>
        </w:rPr>
        <w:t xml:space="preserve"> A configuration improving reward from +0.8688 to +0.9046 was verified and minimised over 128 episodes. Evaluated against externally-authored benign documents, the same action produces </w:t>
      </w:r>
      <w:r>
        <w:rPr>
          <w:rFonts w:ascii="Times New Roman" w:hAnsi="Times New Roman"/>
          <w:b/>
          <w:i w:val="0"/>
          <w:color w:val="000000"/>
          <w:sz w:val="20"/>
        </w:rPr>
        <w:t>36 false positives out of 68</w:t>
      </w:r>
      <w:r>
        <w:rPr>
          <w:rFonts w:ascii="Times New Roman" w:hAnsi="Times New Roman"/>
          <w:b w:val="0"/>
          <w:i w:val="0"/>
          <w:color w:val="000000"/>
          <w:sz w:val="20"/>
        </w:rPr>
        <w:t xml:space="preserve">: the learned marker fires on 30 of 60 external benign documents and 0 of 8 of ours. Every trainer safeguard worked correctly and none could see outside the corpus. </w:t>
      </w:r>
      <w:r>
        <w:rPr>
          <w:rFonts w:ascii="Times New Roman" w:hAnsi="Times New Roman"/>
          <w:b/>
          <w:i w:val="0"/>
          <w:color w:val="000000"/>
          <w:sz w:val="20"/>
        </w:rPr>
        <w:t>Safeguards internal to an optimizer cannot detect that the objective is measured on the wrong distribution.</w:t>
      </w:r>
    </w:p>
    <w:p>
      <w:pPr>
        <w:spacing w:after="80" w:before="0" w:line="254" w:lineRule="auto"/>
        <w:jc w:val="both"/>
      </w:pPr>
      <w:r>
        <w:rPr>
          <w:rFonts w:ascii="Times New Roman" w:hAnsi="Times New Roman"/>
          <w:b/>
          <w:i w:val="0"/>
          <w:color w:val="000000"/>
          <w:sz w:val="20"/>
        </w:rPr>
        <w:t>3) The adaptive layer's honest output is a no-op, and the reason is quantified</w:t>
      </w:r>
      <w:r>
        <w:rPr>
          <w:rFonts w:ascii="Times New Roman" w:hAnsi="Times New Roman"/>
          <w:b w:val="0"/>
          <w:i w:val="0"/>
          <w:color w:val="000000"/>
          <w:sz w:val="20"/>
        </w:rPr>
        <w:t xml:space="preserve"> (§IX).</w:t>
      </w:r>
    </w:p>
    <w:p>
      <w:pPr>
        <w:spacing w:after="80" w:before="0" w:line="254" w:lineRule="auto"/>
        <w:jc w:val="both"/>
      </w:pPr>
      <w:r>
        <w:rPr>
          <w:rFonts w:ascii="Times New Roman" w:hAnsi="Times New Roman"/>
          <w:b w:val="0"/>
          <w:i w:val="0"/>
          <w:color w:val="000000"/>
          <w:sz w:val="20"/>
        </w:rPr>
        <w:t xml:space="preserve">Each failure is invisible from inside the component that produced it, and in all three cases every internal check passed. That is the empirical argument for </w:t>
      </w:r>
      <w:r>
        <w:rPr>
          <w:rFonts w:ascii="Times New Roman" w:hAnsi="Times New Roman"/>
          <w:b/>
          <w:i w:val="0"/>
          <w:color w:val="000000"/>
          <w:sz w:val="20"/>
        </w:rPr>
        <w:t>a human gate that recomputes evidence rather than trusting a proposal.</w:t>
      </w:r>
      <w:r>
        <w:rPr>
          <w:rFonts w:ascii="Times New Roman" w:hAnsi="Times New Roman"/>
          <w:b w:val="0"/>
          <w:i w:val="0"/>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spacing w:after="80" w:before="0" w:line="254" w:lineRule="auto"/>
        <w:jc w:val="both"/>
      </w:pPr>
      <w:r>
        <w:rPr>
          <w:rFonts w:ascii="Times New Roman" w:hAnsi="Times New Roman"/>
          <w:b w:val="0"/>
          <w:i w:val="0"/>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spacing w:after="100" w:before="240" w:line="254" w:lineRule="auto"/>
        <w:jc w:val="left"/>
      </w:pPr>
      <w:r>
        <w:rPr>
          <w:rFonts w:ascii="Times New Roman" w:hAnsi="Times New Roman"/>
          <w:b/>
          <w:i w:val="0"/>
          <w:color w:val="000000"/>
          <w:sz w:val="22"/>
        </w:rPr>
        <w:t>XI. POSITIONING AGAINST PUBLISHED RESULTS</w:t>
      </w:r>
    </w:p>
    <w:p>
      <w:pPr>
        <w:spacing w:after="80" w:before="0" w:line="254" w:lineRule="auto"/>
        <w:jc w:val="both"/>
      </w:pPr>
      <w:r>
        <w:rPr>
          <w:rFonts w:ascii="Times New Roman" w:hAnsi="Times New Roman"/>
          <w:b w:val="0"/>
          <w:i w:val="0"/>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type="auto" w:w="0"/>
        <w:jc w:val="center"/>
        <w:tblLayout w:type="fixed"/>
        <w:tblLook w:firstColumn="1" w:firstRow="1" w:lastColumn="0" w:lastRow="0" w:noHBand="0" w:noVBand="1" w:val="04A0"/>
      </w:tblPr>
      <w:tblGrid>
        <w:gridCol w:w="4603"/>
        <w:gridCol w:w="2609"/>
        <w:gridCol w:w="2148"/>
      </w:tblGrid>
      <w:tr>
        <w:tc>
          <w:tcPr>
            <w:tcW w:type="dxa" w:w="4603"/>
            <w:shd w:val="clear" w:fill="EDF1F5"/>
          </w:tcPr>
          <w:p>
            <w:pPr>
              <w:spacing w:after="20" w:before="20"/>
              <w:jc w:val="left"/>
            </w:pPr>
            <w:r>
              <w:rPr>
                <w:rFonts w:ascii="Times New Roman" w:hAnsi="Times New Roman"/>
                <w:b/>
                <w:i w:val="0"/>
                <w:color w:val="000000"/>
                <w:sz w:val="17"/>
              </w:rPr>
              <w:t>System</w:t>
            </w:r>
          </w:p>
        </w:tc>
        <w:tc>
          <w:tcPr>
            <w:tcW w:type="dxa" w:w="2609"/>
            <w:shd w:val="clear" w:fill="EDF1F5"/>
          </w:tcPr>
          <w:p>
            <w:pPr>
              <w:spacing w:after="20" w:before="20"/>
              <w:jc w:val="left"/>
            </w:pPr>
            <w:r>
              <w:rPr>
                <w:rFonts w:ascii="Times New Roman" w:hAnsi="Times New Roman"/>
                <w:b/>
                <w:i w:val="0"/>
                <w:color w:val="000000"/>
                <w:sz w:val="17"/>
              </w:rPr>
              <w:t>Setting</w:t>
            </w:r>
          </w:p>
        </w:tc>
        <w:tc>
          <w:tcPr>
            <w:tcW w:type="dxa" w:w="2148"/>
            <w:shd w:val="clear" w:fill="EDF1F5"/>
          </w:tcPr>
          <w:p>
            <w:pPr>
              <w:spacing w:after="20" w:before="20"/>
              <w:jc w:val="left"/>
            </w:pPr>
            <w:r>
              <w:rPr>
                <w:rFonts w:ascii="Times New Roman" w:hAnsi="Times New Roman"/>
                <w:b/>
                <w:i w:val="0"/>
                <w:color w:val="000000"/>
                <w:sz w:val="17"/>
              </w:rPr>
              <w:t>ASR</w:t>
            </w:r>
          </w:p>
        </w:tc>
      </w:tr>
      <w:tr>
        <w:tc>
          <w:tcPr>
            <w:tcW w:type="dxa" w:w="4603"/>
          </w:tcPr>
          <w:p>
            <w:pPr>
              <w:spacing w:after="20" w:before="20"/>
              <w:jc w:val="left"/>
            </w:pPr>
            <w:r>
              <w:rPr>
                <w:rFonts w:ascii="Times New Roman" w:hAnsi="Times New Roman"/>
                <w:b w:val="0"/>
                <w:i w:val="0"/>
                <w:color w:val="000000"/>
                <w:sz w:val="17"/>
              </w:rPr>
              <w:t>This work, undefended</w:t>
            </w:r>
          </w:p>
        </w:tc>
        <w:tc>
          <w:tcPr>
            <w:tcW w:type="dxa" w:w="2609"/>
          </w:tcPr>
          <w:p>
            <w:pPr>
              <w:spacing w:after="20" w:before="20"/>
              <w:jc w:val="left"/>
            </w:pPr>
            <w:r>
              <w:rPr>
                <w:rFonts w:ascii="Times New Roman" w:hAnsi="Times New Roman"/>
                <w:b w:val="0"/>
                <w:i w:val="0"/>
                <w:color w:val="000000"/>
                <w:sz w:val="17"/>
              </w:rPr>
              <w:t>3–4B local models</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This work, static rules only</w:t>
            </w:r>
          </w:p>
        </w:tc>
        <w:tc>
          <w:tcPr>
            <w:tcW w:type="dxa" w:w="2609"/>
          </w:tcPr>
          <w:p>
            <w:pPr>
              <w:spacing w:after="20" w:before="20"/>
              <w:jc w:val="left"/>
            </w:pPr>
            <w:r>
              <w:rPr>
                <w:rFonts w:ascii="Times New Roman" w:hAnsi="Times New Roman"/>
                <w:b w:val="0"/>
                <w:i w:val="0"/>
                <w:color w:val="000000"/>
                <w:sz w:val="17"/>
              </w:rPr>
              <w:t>same</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ReAct-prompted Llama2-70B [1]</w:t>
            </w:r>
          </w:p>
        </w:tc>
        <w:tc>
          <w:tcPr>
            <w:tcW w:type="dxa" w:w="2609"/>
          </w:tcPr>
          <w:p>
            <w:pPr>
              <w:spacing w:after="20" w:before="20"/>
              <w:jc w:val="left"/>
            </w:pPr>
            <w:r>
              <w:rPr>
                <w:rFonts w:ascii="Times New Roman" w:hAnsi="Times New Roman"/>
                <w:b w:val="0"/>
                <w:i w:val="0"/>
                <w:color w:val="000000"/>
                <w:sz w:val="17"/>
              </w:rPr>
              <w:t>base and enhanced</w:t>
            </w:r>
          </w:p>
        </w:tc>
        <w:tc>
          <w:tcPr>
            <w:tcW w:type="dxa" w:w="2148"/>
          </w:tcPr>
          <w:p>
            <w:pPr>
              <w:spacing w:after="20" w:before="20"/>
              <w:jc w:val="right"/>
            </w:pPr>
            <w:r>
              <w:rPr>
                <w:rFonts w:ascii="Times New Roman" w:hAnsi="Times New Roman"/>
                <w:b w:val="0"/>
                <w:i w:val="0"/>
                <w:color w:val="000000"/>
                <w:sz w:val="17"/>
              </w:rPr>
              <w:t>&gt;80%</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enhanced</w:t>
            </w:r>
          </w:p>
        </w:tc>
        <w:tc>
          <w:tcPr>
            <w:tcW w:type="dxa" w:w="2148"/>
          </w:tcPr>
          <w:p>
            <w:pPr>
              <w:spacing w:after="20" w:before="20"/>
              <w:jc w:val="right"/>
            </w:pPr>
            <w:r>
              <w:rPr>
                <w:rFonts w:ascii="Times New Roman" w:hAnsi="Times New Roman"/>
                <w:b w:val="0"/>
                <w:i w:val="0"/>
                <w:color w:val="000000"/>
                <w:sz w:val="17"/>
              </w:rPr>
              <w:t>47%</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24%</w:t>
            </w:r>
          </w:p>
        </w:tc>
      </w:tr>
      <w:tr>
        <w:tc>
          <w:tcPr>
            <w:tcW w:type="dxa" w:w="4603"/>
          </w:tcPr>
          <w:p>
            <w:pPr>
              <w:spacing w:after="20" w:before="20"/>
              <w:jc w:val="left"/>
            </w:pPr>
            <w:r>
              <w:rPr>
                <w:rFonts w:ascii="Times New Roman" w:hAnsi="Times New Roman"/>
                <w:b w:val="0"/>
                <w:i w:val="0"/>
                <w:color w:val="000000"/>
                <w:sz w:val="17"/>
              </w:rPr>
              <w:t>Fine-tuned GPT-4 / GPT-3.5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3.8% / 6.6%</w:t>
            </w:r>
          </w:p>
        </w:tc>
      </w:tr>
    </w:tbl>
    <w:p>
      <w:pPr>
        <w:spacing w:after="160" w:before="0" w:line="254" w:lineRule="auto"/>
        <w:jc w:val="left"/>
      </w:pPr>
      <w:r>
        <w:rPr>
          <w:rFonts w:ascii="Times New Roman" w:hAnsi="Times New Roman"/>
          <w:b/>
          <w:i w:val="0"/>
          <w:color w:val="444A53"/>
          <w:sz w:val="17"/>
        </w:rPr>
        <w:t>Table XII.</w:t>
      </w:r>
      <w:r>
        <w:rPr>
          <w:rFonts w:ascii="Times New Roman" w:hAnsi="Times New Roman"/>
          <w:b w:val="0"/>
          <w:i w:val="0"/>
          <w:color w:val="444A53"/>
          <w:sz w:val="17"/>
        </w:rPr>
        <w:t xml:space="preserve"> Attack success on InjecAgent's direct-harm split. Published figures are ASR-valid over all attack types and carry no interval.</w:t>
      </w:r>
    </w:p>
    <w:p>
      <w:pPr>
        <w:spacing w:after="80" w:before="0" w:line="254" w:lineRule="auto"/>
        <w:jc w:val="both"/>
      </w:pPr>
      <w:r>
        <w:rPr>
          <w:rFonts w:ascii="Times New Roman" w:hAnsi="Times New Roman"/>
          <w:b w:val="0"/>
          <w:i w:val="0"/>
          <w:color w:val="000000"/>
          <w:sz w:val="20"/>
        </w:rPr>
        <w:t xml:space="preserve">This is a floor check, not a result. Our 100% is the </w:t>
      </w:r>
      <w:r>
        <w:rPr>
          <w:rFonts w:ascii="Times New Roman" w:hAnsi="Times New Roman"/>
          <w:b w:val="0"/>
          <w:i/>
          <w:color w:val="000000"/>
          <w:sz w:val="20"/>
        </w:rPr>
        <w:t>undefended</w:t>
      </w:r>
      <w:r>
        <w:rPr>
          <w:rFonts w:ascii="Times New Roman" w:hAnsi="Times New Roman"/>
          <w:b w:val="0"/>
          <w:i w:val="0"/>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type="auto" w:w="0"/>
        <w:jc w:val="center"/>
        <w:tblLayout w:type="fixed"/>
        <w:tblLook w:firstColumn="1" w:firstRow="1" w:lastColumn="0" w:lastRow="0" w:noHBand="0" w:noVBand="1" w:val="04A0"/>
      </w:tblPr>
      <w:tblGrid>
        <w:gridCol w:w="5051"/>
        <w:gridCol w:w="3120"/>
        <w:gridCol w:w="1189"/>
      </w:tblGrid>
      <w:tr>
        <w:tc>
          <w:tcPr>
            <w:tcW w:type="dxa" w:w="5051"/>
            <w:shd w:val="clear" w:fill="EDF1F5"/>
          </w:tcPr>
          <w:p>
            <w:pPr>
              <w:spacing w:after="20" w:before="20"/>
              <w:jc w:val="left"/>
            </w:pPr>
            <w:r>
              <w:rPr>
                <w:rFonts w:ascii="Times New Roman" w:hAnsi="Times New Roman"/>
                <w:b/>
                <w:i w:val="0"/>
                <w:color w:val="000000"/>
                <w:sz w:val="17"/>
              </w:rPr>
              <w:t>Detector</w:t>
            </w:r>
          </w:p>
        </w:tc>
        <w:tc>
          <w:tcPr>
            <w:tcW w:type="dxa" w:w="3120"/>
            <w:shd w:val="clear" w:fill="EDF1F5"/>
          </w:tcPr>
          <w:p>
            <w:pPr>
              <w:spacing w:after="20" w:before="20"/>
              <w:jc w:val="left"/>
            </w:pPr>
            <w:r>
              <w:rPr>
                <w:rFonts w:ascii="Times New Roman" w:hAnsi="Times New Roman"/>
                <w:b/>
                <w:i w:val="0"/>
                <w:color w:val="000000"/>
                <w:sz w:val="17"/>
              </w:rPr>
              <w:t>Detection (100 − FNR)</w:t>
            </w:r>
          </w:p>
        </w:tc>
        <w:tc>
          <w:tcPr>
            <w:tcW w:type="dxa" w:w="1189"/>
            <w:shd w:val="clear" w:fill="EDF1F5"/>
          </w:tcPr>
          <w:p>
            <w:pPr>
              <w:spacing w:after="20" w:before="20"/>
              <w:jc w:val="left"/>
            </w:pPr>
            <w:r>
              <w:rPr>
                <w:rFonts w:ascii="Times New Roman" w:hAnsi="Times New Roman"/>
                <w:b/>
                <w:i w:val="0"/>
                <w:color w:val="000000"/>
                <w:sz w:val="17"/>
              </w:rPr>
              <w:t>FPR</w:t>
            </w:r>
          </w:p>
        </w:tc>
      </w:tr>
      <w:tr>
        <w:tc>
          <w:tcPr>
            <w:tcW w:type="dxa" w:w="5051"/>
          </w:tcPr>
          <w:p>
            <w:pPr>
              <w:spacing w:after="20" w:before="20"/>
              <w:jc w:val="left"/>
            </w:pPr>
            <w:r>
              <w:rPr>
                <w:rFonts w:ascii="Times New Roman" w:hAnsi="Times New Roman"/>
                <w:b w:val="0"/>
                <w:i w:val="0"/>
                <w:color w:val="000000"/>
                <w:sz w:val="17"/>
              </w:rPr>
              <w:t>This work — target-bearing stratum</w:t>
            </w:r>
          </w:p>
        </w:tc>
        <w:tc>
          <w:tcPr>
            <w:tcW w:type="dxa" w:w="3120"/>
          </w:tcPr>
          <w:p>
            <w:pPr>
              <w:spacing w:after="20" w:before="20"/>
              <w:jc w:val="right"/>
            </w:pPr>
            <w:r>
              <w:rPr>
                <w:rFonts w:ascii="Times New Roman" w:hAnsi="Times New Roman"/>
                <w:b w:val="0"/>
                <w:i w:val="0"/>
                <w:color w:val="000000"/>
                <w:sz w:val="17"/>
              </w:rPr>
              <w:t>96.7%</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This work — no-target stratum</w:t>
            </w:r>
          </w:p>
        </w:tc>
        <w:tc>
          <w:tcPr>
            <w:tcW w:type="dxa" w:w="3120"/>
          </w:tcPr>
          <w:p>
            <w:pPr>
              <w:spacing w:after="20" w:before="20"/>
              <w:jc w:val="right"/>
            </w:pPr>
            <w:r>
              <w:rPr>
                <w:rFonts w:ascii="Times New Roman" w:hAnsi="Times New Roman"/>
                <w:b w:val="0"/>
                <w:i w:val="0"/>
                <w:color w:val="000000"/>
                <w:sz w:val="17"/>
              </w:rPr>
              <w:t>10.0%</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PIShield [4]</w:t>
            </w:r>
          </w:p>
        </w:tc>
        <w:tc>
          <w:tcPr>
            <w:tcW w:type="dxa" w:w="3120"/>
          </w:tcPr>
          <w:p>
            <w:pPr>
              <w:spacing w:after="20" w:before="20"/>
              <w:jc w:val="right"/>
            </w:pPr>
            <w:r>
              <w:rPr>
                <w:rFonts w:ascii="Times New Roman" w:hAnsi="Times New Roman"/>
                <w:b w:val="0"/>
                <w:i w:val="0"/>
                <w:color w:val="000000"/>
                <w:sz w:val="17"/>
              </w:rPr>
              <w:t>98.6%</w:t>
            </w:r>
          </w:p>
        </w:tc>
        <w:tc>
          <w:tcPr>
            <w:tcW w:type="dxa" w:w="1189"/>
          </w:tcPr>
          <w:p>
            <w:pPr>
              <w:spacing w:after="20" w:before="20"/>
              <w:jc w:val="right"/>
            </w:pPr>
            <w:r>
              <w:rPr>
                <w:rFonts w:ascii="Times New Roman" w:hAnsi="Times New Roman"/>
                <w:b w:val="0"/>
                <w:i w:val="0"/>
                <w:color w:val="000000"/>
                <w:sz w:val="17"/>
              </w:rPr>
              <w:t>0.5%</w:t>
            </w:r>
          </w:p>
        </w:tc>
      </w:tr>
      <w:tr>
        <w:tc>
          <w:tcPr>
            <w:tcW w:type="dxa" w:w="5051"/>
          </w:tcPr>
          <w:p>
            <w:pPr>
              <w:spacing w:after="20" w:before="20"/>
              <w:jc w:val="left"/>
            </w:pPr>
            <w:r>
              <w:rPr>
                <w:rFonts w:ascii="Times New Roman" w:hAnsi="Times New Roman"/>
                <w:b w:val="0"/>
                <w:i w:val="0"/>
                <w:color w:val="000000"/>
                <w:sz w:val="17"/>
              </w:rPr>
              <w:t>PromptGuard [4]</w:t>
            </w:r>
          </w:p>
        </w:tc>
        <w:tc>
          <w:tcPr>
            <w:tcW w:type="dxa" w:w="3120"/>
          </w:tcPr>
          <w:p>
            <w:pPr>
              <w:spacing w:after="20" w:before="20"/>
              <w:jc w:val="right"/>
            </w:pPr>
            <w:r>
              <w:rPr>
                <w:rFonts w:ascii="Times New Roman" w:hAnsi="Times New Roman"/>
                <w:b w:val="0"/>
                <w:i w:val="0"/>
                <w:color w:val="000000"/>
                <w:sz w:val="17"/>
              </w:rPr>
              <w:t>91.3%</w:t>
            </w:r>
          </w:p>
        </w:tc>
        <w:tc>
          <w:tcPr>
            <w:tcW w:type="dxa" w:w="1189"/>
          </w:tcPr>
          <w:p>
            <w:pPr>
              <w:spacing w:after="20" w:before="20"/>
              <w:jc w:val="right"/>
            </w:pPr>
            <w:r>
              <w:rPr>
                <w:rFonts w:ascii="Times New Roman" w:hAnsi="Times New Roman"/>
                <w:b w:val="0"/>
                <w:i w:val="0"/>
                <w:color w:val="000000"/>
                <w:sz w:val="17"/>
              </w:rPr>
              <w:t>40.3%</w:t>
            </w:r>
          </w:p>
        </w:tc>
      </w:tr>
      <w:tr>
        <w:tc>
          <w:tcPr>
            <w:tcW w:type="dxa" w:w="5051"/>
          </w:tcPr>
          <w:p>
            <w:pPr>
              <w:spacing w:after="20" w:before="20"/>
              <w:jc w:val="left"/>
            </w:pPr>
            <w:r>
              <w:rPr>
                <w:rFonts w:ascii="Times New Roman" w:hAnsi="Times New Roman"/>
                <w:b w:val="0"/>
                <w:i w:val="0"/>
                <w:color w:val="000000"/>
                <w:sz w:val="17"/>
              </w:rPr>
              <w:t>DataSentinel [4]</w:t>
            </w:r>
          </w:p>
        </w:tc>
        <w:tc>
          <w:tcPr>
            <w:tcW w:type="dxa" w:w="3120"/>
          </w:tcPr>
          <w:p>
            <w:pPr>
              <w:spacing w:after="20" w:before="20"/>
              <w:jc w:val="right"/>
            </w:pPr>
            <w:r>
              <w:rPr>
                <w:rFonts w:ascii="Times New Roman" w:hAnsi="Times New Roman"/>
                <w:b w:val="0"/>
                <w:i w:val="0"/>
                <w:color w:val="000000"/>
                <w:sz w:val="17"/>
              </w:rPr>
              <w:t>89.6%</w:t>
            </w:r>
          </w:p>
        </w:tc>
        <w:tc>
          <w:tcPr>
            <w:tcW w:type="dxa" w:w="1189"/>
          </w:tcPr>
          <w:p>
            <w:pPr>
              <w:spacing w:after="20" w:before="20"/>
              <w:jc w:val="right"/>
            </w:pPr>
            <w:r>
              <w:rPr>
                <w:rFonts w:ascii="Times New Roman" w:hAnsi="Times New Roman"/>
                <w:b w:val="0"/>
                <w:i w:val="0"/>
                <w:color w:val="000000"/>
                <w:sz w:val="17"/>
              </w:rPr>
              <w:t>33.6%</w:t>
            </w:r>
          </w:p>
        </w:tc>
      </w:tr>
      <w:tr>
        <w:tc>
          <w:tcPr>
            <w:tcW w:type="dxa" w:w="5051"/>
          </w:tcPr>
          <w:p>
            <w:pPr>
              <w:spacing w:after="20" w:before="20"/>
              <w:jc w:val="left"/>
            </w:pPr>
            <w:r>
              <w:rPr>
                <w:rFonts w:ascii="Times New Roman" w:hAnsi="Times New Roman"/>
                <w:b w:val="0"/>
                <w:i w:val="0"/>
                <w:color w:val="000000"/>
                <w:sz w:val="17"/>
              </w:rPr>
              <w:t>TaskTracker [4]</w:t>
            </w:r>
          </w:p>
        </w:tc>
        <w:tc>
          <w:tcPr>
            <w:tcW w:type="dxa" w:w="3120"/>
          </w:tcPr>
          <w:p>
            <w:pPr>
              <w:spacing w:after="20" w:before="20"/>
              <w:jc w:val="right"/>
            </w:pPr>
            <w:r>
              <w:rPr>
                <w:rFonts w:ascii="Times New Roman" w:hAnsi="Times New Roman"/>
                <w:b w:val="0"/>
                <w:i w:val="0"/>
                <w:color w:val="000000"/>
                <w:sz w:val="17"/>
              </w:rPr>
              <w:t>68.3%</w:t>
            </w:r>
          </w:p>
        </w:tc>
        <w:tc>
          <w:tcPr>
            <w:tcW w:type="dxa" w:w="1189"/>
          </w:tcPr>
          <w:p>
            <w:pPr>
              <w:spacing w:after="20" w:before="20"/>
              <w:jc w:val="right"/>
            </w:pPr>
            <w:r>
              <w:rPr>
                <w:rFonts w:ascii="Times New Roman" w:hAnsi="Times New Roman"/>
                <w:b w:val="0"/>
                <w:i w:val="0"/>
                <w:color w:val="000000"/>
                <w:sz w:val="17"/>
              </w:rPr>
              <w:t>27.4%</w:t>
            </w:r>
          </w:p>
        </w:tc>
      </w:tr>
      <w:tr>
        <w:tc>
          <w:tcPr>
            <w:tcW w:type="dxa" w:w="5051"/>
          </w:tcPr>
          <w:p>
            <w:pPr>
              <w:spacing w:after="20" w:before="20"/>
              <w:jc w:val="left"/>
            </w:pPr>
            <w:r>
              <w:rPr>
                <w:rFonts w:ascii="Times New Roman" w:hAnsi="Times New Roman"/>
                <w:b w:val="0"/>
                <w:i w:val="0"/>
                <w:color w:val="000000"/>
                <w:sz w:val="17"/>
              </w:rPr>
              <w:t>PromptArmor [4]</w:t>
            </w:r>
          </w:p>
        </w:tc>
        <w:tc>
          <w:tcPr>
            <w:tcW w:type="dxa" w:w="3120"/>
          </w:tcPr>
          <w:p>
            <w:pPr>
              <w:spacing w:after="20" w:before="20"/>
              <w:jc w:val="right"/>
            </w:pPr>
            <w:r>
              <w:rPr>
                <w:rFonts w:ascii="Times New Roman" w:hAnsi="Times New Roman"/>
                <w:b w:val="0"/>
                <w:i w:val="0"/>
                <w:color w:val="000000"/>
                <w:sz w:val="17"/>
              </w:rPr>
              <w:t>54.1%</w:t>
            </w:r>
          </w:p>
        </w:tc>
        <w:tc>
          <w:tcPr>
            <w:tcW w:type="dxa" w:w="1189"/>
          </w:tcPr>
          <w:p>
            <w:pPr>
              <w:spacing w:after="20" w:before="20"/>
              <w:jc w:val="right"/>
            </w:pPr>
            <w:r>
              <w:rPr>
                <w:rFonts w:ascii="Times New Roman" w:hAnsi="Times New Roman"/>
                <w:b w:val="0"/>
                <w:i w:val="0"/>
                <w:color w:val="000000"/>
                <w:sz w:val="17"/>
              </w:rPr>
              <w:t>1.3%</w:t>
            </w:r>
          </w:p>
        </w:tc>
      </w:tr>
      <w:tr>
        <w:tc>
          <w:tcPr>
            <w:tcW w:type="dxa" w:w="5051"/>
          </w:tcPr>
          <w:p>
            <w:pPr>
              <w:spacing w:after="20" w:before="20"/>
              <w:jc w:val="left"/>
            </w:pPr>
            <w:r>
              <w:rPr>
                <w:rFonts w:ascii="Times New Roman" w:hAnsi="Times New Roman"/>
                <w:b w:val="0"/>
                <w:i w:val="0"/>
                <w:color w:val="000000"/>
                <w:sz w:val="17"/>
              </w:rPr>
              <w:t>AttentionTracker [4]</w:t>
            </w:r>
          </w:p>
        </w:tc>
        <w:tc>
          <w:tcPr>
            <w:tcW w:type="dxa" w:w="3120"/>
          </w:tcPr>
          <w:p>
            <w:pPr>
              <w:spacing w:after="20" w:before="20"/>
              <w:jc w:val="right"/>
            </w:pPr>
            <w:r>
              <w:rPr>
                <w:rFonts w:ascii="Times New Roman" w:hAnsi="Times New Roman"/>
                <w:b w:val="0"/>
                <w:i w:val="0"/>
                <w:color w:val="000000"/>
                <w:sz w:val="17"/>
              </w:rPr>
              <w:t>44.7%</w:t>
            </w:r>
          </w:p>
        </w:tc>
        <w:tc>
          <w:tcPr>
            <w:tcW w:type="dxa" w:w="1189"/>
          </w:tcPr>
          <w:p>
            <w:pPr>
              <w:spacing w:after="20" w:before="20"/>
              <w:jc w:val="right"/>
            </w:pPr>
            <w:r>
              <w:rPr>
                <w:rFonts w:ascii="Times New Roman" w:hAnsi="Times New Roman"/>
                <w:b w:val="0"/>
                <w:i w:val="0"/>
                <w:color w:val="000000"/>
                <w:sz w:val="17"/>
              </w:rPr>
              <w:t>32.8%</w:t>
            </w:r>
          </w:p>
        </w:tc>
      </w:tr>
      <w:tr>
        <w:tc>
          <w:tcPr>
            <w:tcW w:type="dxa" w:w="5051"/>
          </w:tcPr>
          <w:p>
            <w:pPr>
              <w:spacing w:after="20" w:before="20"/>
              <w:jc w:val="left"/>
            </w:pPr>
            <w:r>
              <w:rPr>
                <w:rFonts w:ascii="Times New Roman" w:hAnsi="Times New Roman"/>
                <w:b w:val="0"/>
                <w:i w:val="0"/>
                <w:color w:val="000000"/>
                <w:sz w:val="17"/>
              </w:rPr>
              <w:t>InjecGuard [4]</w:t>
            </w:r>
          </w:p>
        </w:tc>
        <w:tc>
          <w:tcPr>
            <w:tcW w:type="dxa" w:w="3120"/>
          </w:tcPr>
          <w:p>
            <w:pPr>
              <w:spacing w:after="20" w:before="20"/>
              <w:jc w:val="right"/>
            </w:pPr>
            <w:r>
              <w:rPr>
                <w:rFonts w:ascii="Times New Roman" w:hAnsi="Times New Roman"/>
                <w:b w:val="0"/>
                <w:i w:val="0"/>
                <w:color w:val="000000"/>
                <w:sz w:val="17"/>
              </w:rPr>
              <w:t>33.7%</w:t>
            </w:r>
          </w:p>
        </w:tc>
        <w:tc>
          <w:tcPr>
            <w:tcW w:type="dxa" w:w="1189"/>
          </w:tcPr>
          <w:p>
            <w:pPr>
              <w:spacing w:after="20" w:before="20"/>
              <w:jc w:val="right"/>
            </w:pPr>
            <w:r>
              <w:rPr>
                <w:rFonts w:ascii="Times New Roman" w:hAnsi="Times New Roman"/>
                <w:b w:val="0"/>
                <w:i w:val="0"/>
                <w:color w:val="000000"/>
                <w:sz w:val="17"/>
              </w:rPr>
              <w:t>8.2%</w:t>
            </w:r>
          </w:p>
        </w:tc>
      </w:tr>
      <w:tr>
        <w:tc>
          <w:tcPr>
            <w:tcW w:type="dxa" w:w="5051"/>
          </w:tcPr>
          <w:p>
            <w:pPr>
              <w:spacing w:after="20" w:before="20"/>
              <w:jc w:val="left"/>
            </w:pPr>
            <w:r>
              <w:rPr>
                <w:rFonts w:ascii="Times New Roman" w:hAnsi="Times New Roman"/>
                <w:b w:val="0"/>
                <w:i w:val="0"/>
                <w:color w:val="000000"/>
                <w:sz w:val="17"/>
              </w:rPr>
              <w:t>ProtectAI-deberta [4]</w:t>
            </w:r>
          </w:p>
        </w:tc>
        <w:tc>
          <w:tcPr>
            <w:tcW w:type="dxa" w:w="3120"/>
          </w:tcPr>
          <w:p>
            <w:pPr>
              <w:spacing w:after="20" w:before="20"/>
              <w:jc w:val="right"/>
            </w:pPr>
            <w:r>
              <w:rPr>
                <w:rFonts w:ascii="Times New Roman" w:hAnsi="Times New Roman"/>
                <w:b w:val="0"/>
                <w:i w:val="0"/>
                <w:color w:val="000000"/>
                <w:sz w:val="17"/>
              </w:rPr>
              <w:t>24.1%</w:t>
            </w:r>
          </w:p>
        </w:tc>
        <w:tc>
          <w:tcPr>
            <w:tcW w:type="dxa" w:w="1189"/>
          </w:tcPr>
          <w:p>
            <w:pPr>
              <w:spacing w:after="20" w:before="20"/>
              <w:jc w:val="right"/>
            </w:pPr>
            <w:r>
              <w:rPr>
                <w:rFonts w:ascii="Times New Roman" w:hAnsi="Times New Roman"/>
                <w:b w:val="0"/>
                <w:i w:val="0"/>
                <w:color w:val="000000"/>
                <w:sz w:val="17"/>
              </w:rPr>
              <w:t>10.1%</w:t>
            </w:r>
          </w:p>
        </w:tc>
      </w:tr>
    </w:tbl>
    <w:p>
      <w:pPr>
        <w:spacing w:after="160" w:before="0" w:line="254" w:lineRule="auto"/>
        <w:jc w:val="left"/>
      </w:pPr>
      <w:r>
        <w:rPr>
          <w:rFonts w:ascii="Times New Roman" w:hAnsi="Times New Roman"/>
          <w:b/>
          <w:i w:val="0"/>
          <w:color w:val="444A53"/>
          <w:sz w:val="17"/>
        </w:rPr>
        <w:t>Table XIII.</w:t>
      </w:r>
      <w:r>
        <w:rPr>
          <w:rFonts w:ascii="Times New Roman" w:hAnsi="Times New Roman"/>
          <w:b w:val="0"/>
          <w:i w:val="0"/>
          <w:color w:val="444A53"/>
          <w:sz w:val="17"/>
        </w:rPr>
        <w:t xml:space="preserve"> Detection against published detectors. Published figures are averages over six text benchmarks as reported in [4]; ours are measured on an agent loop over injected tool output at one fixed threshold.</w:t>
      </w:r>
    </w:p>
    <w:p>
      <w:pPr>
        <w:spacing w:after="80" w:before="0" w:line="254" w:lineRule="auto"/>
        <w:jc w:val="both"/>
      </w:pPr>
      <w:r>
        <w:rPr>
          <w:rFonts w:ascii="Times New Roman" w:hAnsi="Times New Roman"/>
          <w:b w:val="0"/>
          <w:i w:val="0"/>
          <w:color w:val="000000"/>
          <w:sz w:val="20"/>
        </w:rPr>
        <w:t xml:space="preserve">Those detectors trade false positives against misses along one axis, and a paper's contribution is usually a better point on that curve. </w:t>
      </w:r>
      <w:r>
        <w:rPr>
          <w:rFonts w:ascii="Times New Roman" w:hAnsi="Times New Roman"/>
          <w:b/>
          <w:i w:val="0"/>
          <w:color w:val="000000"/>
          <w:sz w:val="20"/>
        </w:rPr>
        <w:t>Ours does not sit on that curve.</w:t>
      </w:r>
      <w:r>
        <w:rPr>
          <w:rFonts w:ascii="Times New Roman" w:hAnsi="Times New Roman"/>
          <w:b w:val="0"/>
          <w:i w:val="0"/>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spacing w:after="80" w:before="0" w:line="254" w:lineRule="auto"/>
        <w:jc w:val="both"/>
      </w:pPr>
      <w:r>
        <w:rPr>
          <w:rFonts w:ascii="Times New Roman" w:hAnsi="Times New Roman"/>
          <w:b w:val="0"/>
          <w:i w:val="0"/>
          <w:color w:val="000000"/>
          <w:sz w:val="20"/>
        </w:rPr>
        <w:t xml:space="preserve">For defenses, spotlighting is reported at "&gt;50% to below 2%" on GPT-family models [3] against our null on 3–4B local models with action selection as the outcome (§VI), and AgentDojo's tool filter at 7.5% ASR [2] against our Layer 4, which §V reports as redundant. The gap between our spotlighting null and the published figure is most likely a gap in setting, and we say so rather than claiming a contradiction. The most informative external point is AgentDojo's own delimiting arm (§VI-D): </w:t>
      </w:r>
      <w:r>
        <w:rPr>
          <w:rFonts w:ascii="Times New Roman" w:hAnsi="Times New Roman"/>
          <w:b/>
          <w:i w:val="0"/>
          <w:color w:val="000000"/>
          <w:sz w:val="20"/>
        </w:rPr>
        <w:t>57.69% → 41.65%</w:t>
      </w:r>
      <w:r>
        <w:rPr>
          <w:rFonts w:ascii="Times New Roman" w:hAnsi="Times New Roman"/>
          <w:b w:val="0"/>
          <w:i w:val="0"/>
          <w:color w:val="000000"/>
          <w:sz w:val="20"/>
        </w:rPr>
        <w:t xml:space="preserve"> targeted ASR against an undefended row measured in the same table [2]. It is the only published prompt-level result here that carries its own undefended baseline, which is what makes it a difference rather than a level — and at 41.65% remaining it is also the clearest published statement that this family reduces rather than removes the exposure.</w:t>
      </w:r>
    </w:p>
    <w:p>
      <w:pPr>
        <w:spacing w:after="100" w:before="240" w:line="254" w:lineRule="auto"/>
        <w:jc w:val="left"/>
      </w:pPr>
      <w:r>
        <w:rPr>
          <w:rFonts w:ascii="Times New Roman" w:hAnsi="Times New Roman"/>
          <w:b/>
          <w:i w:val="0"/>
          <w:color w:val="000000"/>
          <w:sz w:val="22"/>
        </w:rPr>
        <w:t>XII. LIMITATIONS</w:t>
      </w:r>
    </w:p>
    <w:p>
      <w:pPr>
        <w:spacing w:after="80" w:before="0" w:line="254" w:lineRule="auto"/>
        <w:jc w:val="both"/>
      </w:pPr>
      <w:r>
        <w:rPr>
          <w:rFonts w:ascii="Times New Roman" w:hAnsi="Times New Roman"/>
          <w:b/>
          <w:i w:val="0"/>
          <w:color w:val="000000"/>
          <w:sz w:val="20"/>
        </w:rPr>
        <w:t>Two models, one scorer, one scale.</w:t>
      </w:r>
      <w:r>
        <w:rPr>
          <w:rFonts w:ascii="Times New Roman" w:hAnsi="Times New Roman"/>
          <w:b w:val="0"/>
          <w:i w:val="0"/>
          <w:color w:val="000000"/>
          <w:sz w:val="20"/>
        </w:rPr>
        <w:t xml:space="preserve"> The stratified collapse is no longer a single-model result: §VII-E reproduces it under a second probe model of a different lineage, with the gap slightly wider (90.0 points against 83.3). But both models are 3–4B and locally hosted, and one keyword scorer sits behind every number. The multi-turn finding — the causal contrast being zero on 80% of turns — was measured on the incumbent alone and has </w:t>
      </w:r>
      <w:r>
        <w:rPr>
          <w:rFonts w:ascii="Times New Roman" w:hAnsi="Times New Roman"/>
          <w:b w:val="0"/>
          <w:i/>
          <w:color w:val="000000"/>
          <w:sz w:val="20"/>
        </w:rPr>
        <w:t>not</w:t>
      </w:r>
      <w:r>
        <w:rPr>
          <w:rFonts w:ascii="Times New Roman" w:hAnsi="Times New Roman"/>
          <w:b w:val="0"/>
          <w:i w:val="0"/>
          <w:color w:val="000000"/>
          <w:sz w:val="20"/>
        </w:rPr>
        <w:t xml:space="preserve"> been repeated on a second model.</w:t>
      </w:r>
    </w:p>
    <w:p>
      <w:pPr>
        <w:spacing w:after="80" w:before="0" w:line="254" w:lineRule="auto"/>
        <w:jc w:val="both"/>
      </w:pPr>
      <w:r>
        <w:rPr>
          <w:rFonts w:ascii="Times New Roman" w:hAnsi="Times New Roman"/>
          <w:b/>
          <w:i w:val="0"/>
          <w:color w:val="000000"/>
          <w:sz w:val="20"/>
        </w:rPr>
        <w:t>Model choice is constrained, not free, and we can now price the constraint.</w:t>
      </w:r>
      <w:r>
        <w:rPr>
          <w:rFonts w:ascii="Times New Roman" w:hAnsi="Times New Roman"/>
          <w:b w:val="0"/>
          <w:i w:val="0"/>
          <w:color w:val="000000"/>
          <w:sz w:val="20"/>
        </w:rPr>
        <w:t xml:space="preserve"> The probe needs a model that states the action it is shown under the masked regime; a more refusal-prone model produces no signal at all. Of three candidates available to us, two were disqualified before any cohort was recorded. A 7B model complies faithfully but does not fit a 4 GB accelerator: it runs 47% on CPU and does not return identical output across runs at temperature 0, so it cannot resolve effects of the size we compare. A second 3B model is fully resident and byte-identical across repeats, and returns "no action" on both cases the incumbent detects — while emitting no refusal text at all, so a refusal-string check would score it as compliant. The property the probe depends on is neither guaranteed by scale nor visible to the obvious check for it, and on this hardware the two failure modes bracket the usable range from either side. The approach cannot simply be moved to a stronger, better-aligned model: the property being exploited to </w:t>
      </w:r>
      <w:r>
        <w:rPr>
          <w:rFonts w:ascii="Times New Roman" w:hAnsi="Times New Roman"/>
          <w:b w:val="0"/>
          <w:i/>
          <w:color w:val="000000"/>
          <w:sz w:val="20"/>
        </w:rPr>
        <w:t>measure</w:t>
      </w:r>
      <w:r>
        <w:rPr>
          <w:rFonts w:ascii="Times New Roman" w:hAnsi="Times New Roman"/>
          <w:b w:val="0"/>
          <w:i w:val="0"/>
          <w:color w:val="000000"/>
          <w:sz w:val="20"/>
        </w:rPr>
        <w:t xml:space="preserve"> the attack is the same property that makes the model vulnerable to it.</w:t>
      </w:r>
    </w:p>
    <w:p>
      <w:pPr>
        <w:spacing w:after="80" w:before="0" w:line="254" w:lineRule="auto"/>
        <w:jc w:val="both"/>
      </w:pPr>
      <w:r>
        <w:rPr>
          <w:rFonts w:ascii="Times New Roman" w:hAnsi="Times New Roman"/>
          <w:b/>
          <w:i w:val="0"/>
          <w:color w:val="000000"/>
          <w:sz w:val="20"/>
        </w:rPr>
        <w:t>The benign corpus is 60 external documents, and that is a census rather than a sample.</w:t>
      </w:r>
      <w:r>
        <w:rPr>
          <w:rFonts w:ascii="Times New Roman" w:hAnsi="Times New Roman"/>
          <w:b w:val="0"/>
          <w:i w:val="0"/>
          <w:color w:val="000000"/>
          <w:sz w:val="20"/>
        </w:rPr>
        <w:t xml:space="preserve"> The 60 are the complete benign content of AgentDojo v0.1.35's </w:t>
      </w:r>
      <w:r>
        <w:rPr>
          <w:rFonts w:ascii="Consolas" w:hAnsi="Consolas"/>
          <w:b w:val="0"/>
          <w:i w:val="0"/>
          <w:color w:val="000000"/>
          <w:sz w:val="19"/>
        </w:rPr>
        <w:t>workspace</w:t>
      </w:r>
      <w:r>
        <w:rPr>
          <w:rFonts w:ascii="Times New Roman" w:hAnsi="Times New Roman"/>
          <w:b w:val="0"/>
          <w:i w:val="0"/>
          <w:color w:val="000000"/>
          <w:sz w:val="20"/>
        </w:rPr>
        <w:t xml:space="preserve"> and </w:t>
      </w:r>
      <w:r>
        <w:rPr>
          <w:rFonts w:ascii="Consolas" w:hAnsi="Consolas"/>
          <w:b w:val="0"/>
          <w:i w:val="0"/>
          <w:color w:val="000000"/>
          <w:sz w:val="19"/>
        </w:rPr>
        <w:t>slack</w:t>
      </w:r>
      <w:r>
        <w:rPr>
          <w:rFonts w:ascii="Times New Roman" w:hAnsi="Times New Roman"/>
          <w:b w:val="0"/>
          <w:i w:val="0"/>
          <w:color w:val="000000"/>
          <w:sz w:val="20"/>
        </w:rPr>
        <w:t xml:space="preserve"> suites under our committed in-domain filter — re-harvested from a fresh wheel item-for-item, with zero disjoint episodes remaining. Every route to a larger </w:t>
      </w:r>
      <w:r>
        <w:rPr>
          <w:rFonts w:ascii="Times New Roman" w:hAnsi="Times New Roman"/>
          <w:b w:val="0"/>
          <w:i/>
          <w:color w:val="000000"/>
          <w:sz w:val="20"/>
        </w:rPr>
        <w:t>n</w:t>
      </w:r>
      <w:r>
        <w:rPr>
          <w:rFonts w:ascii="Times New Roman" w:hAnsi="Times New Roman"/>
          <w:b w:val="0"/>
          <w:i w:val="0"/>
          <w:color w:val="000000"/>
          <w:sz w:val="20"/>
        </w:rPr>
        <w:t xml:space="preserve"> changes the sourcing policy rather than deepening the draw: the only ones reaching 110 admit off-domain </w:t>
      </w:r>
      <w:r>
        <w:rPr>
          <w:rFonts w:ascii="Consolas" w:hAnsi="Consolas"/>
          <w:b w:val="0"/>
          <w:i w:val="0"/>
          <w:color w:val="000000"/>
          <w:sz w:val="19"/>
        </w:rPr>
        <w:t>travel</w:t>
      </w:r>
      <w:r>
        <w:rPr>
          <w:rFonts w:ascii="Times New Roman" w:hAnsi="Times New Roman"/>
          <w:b w:val="0"/>
          <w:i w:val="0"/>
          <w:color w:val="000000"/>
          <w:sz w:val="20"/>
        </w:rPr>
        <w:t xml:space="preserve"> reviews, which carry no address or URL an action could name and would therefore lower the measured FPR for reasons unrelated to the defense. Nor would width arrive if they did — at a rate near 3.3% the projected interval narrows from 10.5 points at </w:t>
      </w:r>
      <w:r>
        <w:rPr>
          <w:rFonts w:ascii="Times New Roman" w:hAnsi="Times New Roman"/>
          <w:b w:val="0"/>
          <w:i/>
          <w:color w:val="000000"/>
          <w:sz w:val="20"/>
        </w:rPr>
        <w:t>n</w:t>
      </w:r>
      <w:r>
        <w:rPr>
          <w:rFonts w:ascii="Times New Roman" w:hAnsi="Times New Roman"/>
          <w:b w:val="0"/>
          <w:i w:val="0"/>
          <w:color w:val="000000"/>
          <w:sz w:val="20"/>
        </w:rPr>
        <w:t xml:space="preserve">=60 only to 7.2 at </w:t>
      </w:r>
      <w:r>
        <w:rPr>
          <w:rFonts w:ascii="Times New Roman" w:hAnsi="Times New Roman"/>
          <w:b w:val="0"/>
          <w:i/>
          <w:color w:val="000000"/>
          <w:sz w:val="20"/>
        </w:rPr>
        <w:t>n</w:t>
      </w:r>
      <w:r>
        <w:rPr>
          <w:rFonts w:ascii="Times New Roman" w:hAnsi="Times New Roman"/>
          <w:b w:val="0"/>
          <w:i w:val="0"/>
          <w:color w:val="000000"/>
          <w:sz w:val="20"/>
        </w:rPr>
        <w:t xml:space="preserve">=115, because the interval is wide where the rate sits near zero, not mainly because </w:t>
      </w:r>
      <w:r>
        <w:rPr>
          <w:rFonts w:ascii="Times New Roman" w:hAnsi="Times New Roman"/>
          <w:b w:val="0"/>
          <w:i/>
          <w:color w:val="000000"/>
          <w:sz w:val="20"/>
        </w:rPr>
        <w:t>n</w:t>
      </w:r>
      <w:r>
        <w:rPr>
          <w:rFonts w:ascii="Times New Roman" w:hAnsi="Times New Roman"/>
          <w:b w:val="0"/>
          <w:i w:val="0"/>
          <w:color w:val="000000"/>
          <w:sz w:val="20"/>
        </w:rPr>
        <w:t xml:space="preserve"> is 60. The interval is genuinely wide and a two-point FPR difference remains unresolvable; the limitation is that a </w:t>
      </w:r>
      <w:r>
        <w:rPr>
          <w:rFonts w:ascii="Times New Roman" w:hAnsi="Times New Roman"/>
          <w:b w:val="0"/>
          <w:i/>
          <w:color w:val="000000"/>
          <w:sz w:val="20"/>
        </w:rPr>
        <w:t>second</w:t>
      </w:r>
      <w:r>
        <w:rPr>
          <w:rFonts w:ascii="Times New Roman" w:hAnsi="Times New Roman"/>
          <w:b w:val="0"/>
          <w:i w:val="0"/>
          <w:color w:val="000000"/>
          <w:sz w:val="20"/>
        </w:rPr>
        <w:t xml:space="preserve"> external benign corpus is needed, not more of this one.</w:t>
      </w:r>
    </w:p>
    <w:p>
      <w:pPr>
        <w:spacing w:after="80" w:before="0" w:line="254" w:lineRule="auto"/>
        <w:jc w:val="both"/>
      </w:pPr>
      <w:r>
        <w:rPr>
          <w:rFonts w:ascii="Times New Roman" w:hAnsi="Times New Roman"/>
          <w:b/>
          <w:i w:val="0"/>
          <w:color w:val="000000"/>
          <w:sz w:val="20"/>
        </w:rPr>
        <w:t>Per-document FPR does not reproduce</w:t>
      </w:r>
      <w:r>
        <w:rPr>
          <w:rFonts w:ascii="Times New Roman" w:hAnsi="Times New Roman"/>
          <w:b w:val="0"/>
          <w:i w:val="0"/>
          <w:color w:val="000000"/>
          <w:sz w:val="20"/>
        </w:rPr>
        <w:t xml:space="preserve"> (§VIII-D), which bounds several comparisons to "no measurable change".</w:t>
      </w:r>
    </w:p>
    <w:p>
      <w:pPr>
        <w:spacing w:after="80" w:before="0" w:line="254" w:lineRule="auto"/>
        <w:jc w:val="both"/>
      </w:pPr>
      <w:r>
        <w:rPr>
          <w:rFonts w:ascii="Times New Roman" w:hAnsi="Times New Roman"/>
          <w:b/>
          <w:i w:val="0"/>
          <w:color w:val="000000"/>
          <w:sz w:val="20"/>
        </w:rPr>
        <w:t>Single-repeat strata in the harm-taxonomy analysis,</w:t>
      </w:r>
      <w:r>
        <w:rPr>
          <w:rFonts w:ascii="Times New Roman" w:hAnsi="Times New Roman"/>
          <w:b w:val="0"/>
          <w:i w:val="0"/>
          <w:color w:val="000000"/>
          <w:sz w:val="20"/>
        </w:rPr>
        <w:t xml:space="preserve"> and </w:t>
      </w:r>
      <w:r>
        <w:rPr>
          <w:rFonts w:ascii="Times New Roman" w:hAnsi="Times New Roman"/>
          <w:b/>
          <w:i w:val="0"/>
          <w:color w:val="000000"/>
          <w:sz w:val="20"/>
        </w:rPr>
        <w:t>three malicious sessions per multi-turn run.</w:t>
      </w:r>
      <w:r>
        <w:rPr>
          <w:rFonts w:ascii="Times New Roman" w:hAnsi="Times New Roman"/>
          <w:b w:val="0"/>
          <w:i w:val="0"/>
          <w:color w:val="000000"/>
          <w:sz w:val="20"/>
        </w:rPr>
        <w:t xml:space="preserve"> The latter is an existence question, not a rate; the negative result is strong not because n is large but because the mechanism's </w:t>
      </w:r>
      <w:r>
        <w:rPr>
          <w:rFonts w:ascii="Times New Roman" w:hAnsi="Times New Roman"/>
          <w:b w:val="0"/>
          <w:i/>
          <w:color w:val="000000"/>
          <w:sz w:val="20"/>
        </w:rPr>
        <w:t>input</w:t>
      </w:r>
      <w:r>
        <w:rPr>
          <w:rFonts w:ascii="Times New Roman" w:hAnsi="Times New Roman"/>
          <w:b w:val="0"/>
          <w:i w:val="0"/>
          <w:color w:val="000000"/>
          <w:sz w:val="20"/>
        </w:rPr>
        <w:t xml:space="preserve"> was measured at zero across all 30 turns.</w:t>
      </w:r>
    </w:p>
    <w:p>
      <w:pPr>
        <w:spacing w:after="80" w:before="0" w:line="254" w:lineRule="auto"/>
        <w:jc w:val="both"/>
      </w:pPr>
      <w:r>
        <w:rPr>
          <w:rFonts w:ascii="Times New Roman" w:hAnsi="Times New Roman"/>
          <w:b/>
          <w:i w:val="0"/>
          <w:color w:val="000000"/>
          <w:sz w:val="20"/>
        </w:rPr>
        <w:t>The second multi-turn cohort was written after seeing the first run's trajectories.</w:t>
      </w:r>
      <w:r>
        <w:rPr>
          <w:rFonts w:ascii="Times New Roman" w:hAnsi="Times New Roman"/>
          <w:b w:val="0"/>
          <w:i w:val="0"/>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spacing w:after="80" w:before="0" w:line="254" w:lineRule="auto"/>
        <w:jc w:val="both"/>
      </w:pPr>
      <w:r>
        <w:rPr>
          <w:rFonts w:ascii="Times New Roman" w:hAnsi="Times New Roman"/>
          <w:b/>
          <w:i w:val="0"/>
          <w:color w:val="000000"/>
          <w:sz w:val="20"/>
        </w:rPr>
        <w:t>The campaign detection headline is measured on attacks we wrote.</w:t>
      </w:r>
      <w:r>
        <w:rPr>
          <w:rFonts w:ascii="Times New Roman" w:hAnsi="Times New Roman"/>
          <w:b w:val="0"/>
          <w:i w:val="0"/>
          <w:color w:val="000000"/>
          <w:sz w:val="20"/>
        </w:rPr>
        <w:t xml:space="preserve"> It is regenerable — </w:t>
      </w:r>
      <w:r>
        <w:rPr>
          <w:rFonts w:ascii="Consolas" w:hAnsi="Consolas"/>
          <w:b w:val="0"/>
          <w:i w:val="0"/>
          <w:color w:val="000000"/>
          <w:sz w:val="19"/>
        </w:rPr>
        <w:t>results/campaign/</w:t>
      </w:r>
      <w:r>
        <w:rPr>
          <w:rFonts w:ascii="Times New Roman" w:hAnsi="Times New Roman"/>
          <w:b w:val="0"/>
          <w:i w:val="0"/>
          <w:color w:val="000000"/>
          <w:sz w:val="20"/>
        </w:rPr>
        <w:t xml:space="preserve"> carries the per-case outcomes for all 188 episodes and a run manifest — but that manifest records a </w:t>
      </w:r>
      <w:r>
        <w:rPr>
          <w:rFonts w:ascii="Times New Roman" w:hAnsi="Times New Roman"/>
          <w:b w:val="0"/>
          <w:i/>
          <w:color w:val="000000"/>
          <w:sz w:val="20"/>
        </w:rPr>
        <w:t>replay</w:t>
      </w:r>
      <w:r>
        <w:rPr>
          <w:rFonts w:ascii="Times New Roman" w:hAnsi="Times New Roman"/>
          <w:b w:val="0"/>
          <w:i w:val="0"/>
          <w:color w:val="000000"/>
          <w:sz w:val="20"/>
        </w:rPr>
        <w:t xml:space="preserve"> over checkpoint files which are not themselves tracked, and the original run left no manifest of its own. A reader can recompute every rate from the committed artifact; a reader cannot rebuild the artifact's inputs without re-running the campaign.</w:t>
      </w:r>
    </w:p>
    <w:p>
      <w:pPr>
        <w:spacing w:after="80" w:before="0" w:line="254" w:lineRule="auto"/>
        <w:jc w:val="both"/>
      </w:pPr>
      <w:r>
        <w:rPr>
          <w:rFonts w:ascii="Times New Roman" w:hAnsi="Times New Roman"/>
          <w:b/>
          <w:i w:val="0"/>
          <w:color w:val="000000"/>
          <w:sz w:val="20"/>
        </w:rPr>
        <w:t>System limits.</w:t>
      </w:r>
      <w:r>
        <w:rPr>
          <w:rFonts w:ascii="Times New Roman" w:hAnsi="Times New Roman"/>
          <w:b w:val="0"/>
          <w:i w:val="0"/>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spacing w:after="80" w:before="0" w:line="254" w:lineRule="auto"/>
        <w:jc w:val="both"/>
      </w:pPr>
      <w:r>
        <w:rPr>
          <w:rFonts w:ascii="Times New Roman" w:hAnsi="Times New Roman"/>
          <w:b/>
          <w:i w:val="0"/>
          <w:color w:val="000000"/>
          <w:sz w:val="20"/>
        </w:rPr>
        <w:t>What would change the conclusions.</w:t>
      </w:r>
      <w:r>
        <w:rPr>
          <w:rFonts w:ascii="Times New Roman" w:hAnsi="Times New Roman"/>
          <w:b w:val="0"/>
          <w:i w:val="0"/>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spacing w:after="100" w:before="240" w:line="254" w:lineRule="auto"/>
        <w:jc w:val="left"/>
      </w:pPr>
      <w:r>
        <w:rPr>
          <w:rFonts w:ascii="Times New Roman" w:hAnsi="Times New Roman"/>
          <w:b/>
          <w:i w:val="0"/>
          <w:color w:val="000000"/>
          <w:sz w:val="22"/>
        </w:rPr>
        <w:t>XIII. CONCLUSION</w:t>
      </w:r>
    </w:p>
    <w:p>
      <w:pPr>
        <w:spacing w:after="80" w:before="0" w:line="254" w:lineRule="auto"/>
        <w:jc w:val="both"/>
      </w:pPr>
      <w:r>
        <w:rPr>
          <w:rFonts w:ascii="Times New Roman" w:hAnsi="Times New Roman"/>
          <w:b w:val="0"/>
          <w:i w:val="0"/>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spacing w:after="80" w:before="0" w:line="254" w:lineRule="auto"/>
        <w:jc w:val="both"/>
      </w:pPr>
      <w:r>
        <w:rPr>
          <w:rFonts w:ascii="Times New Roman" w:hAnsi="Times New Roman"/>
          <w:b w:val="0"/>
          <w:i w:val="0"/>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spacing w:after="100" w:before="240" w:line="254" w:lineRule="auto"/>
        <w:jc w:val="left"/>
      </w:pPr>
      <w:r>
        <w:rPr>
          <w:rFonts w:ascii="Times New Roman" w:hAnsi="Times New Roman"/>
          <w:b/>
          <w:i w:val="0"/>
          <w:color w:val="000000"/>
          <w:sz w:val="22"/>
        </w:rPr>
        <w:t>DATA AND CODE AVAILABILITY</w:t>
      </w:r>
    </w:p>
    <w:p>
      <w:pPr>
        <w:spacing w:after="80" w:before="0" w:line="254" w:lineRule="auto"/>
        <w:jc w:val="both"/>
      </w:pPr>
      <w:r>
        <w:rPr>
          <w:rFonts w:ascii="Times New Roman" w:hAnsi="Times New Roman"/>
          <w:b w:val="0"/>
          <w:i w:val="0"/>
          <w:color w:val="000000"/>
          <w:sz w:val="20"/>
        </w:rPr>
        <w:t xml:space="preserve">All results are regenerable by committed commands over the released artifact. Each phase directory under </w:t>
      </w:r>
      <w:r>
        <w:rPr>
          <w:rFonts w:ascii="Consolas" w:hAnsi="Consolas"/>
          <w:b w:val="0"/>
          <w:i w:val="0"/>
          <w:color w:val="000000"/>
          <w:sz w:val="19"/>
        </w:rPr>
        <w:t>results/</w:t>
      </w:r>
      <w:r>
        <w:rPr>
          <w:rFonts w:ascii="Times New Roman" w:hAnsi="Times New Roman"/>
          <w:b w:val="0"/>
          <w:i w:val="0"/>
          <w:color w:val="000000"/>
          <w:sz w:val="20"/>
        </w:rPr>
        <w:t xml:space="preserve"> contains the benchmark payload and a run manifest recording commit SHA, working-tree cleanliness, model tags, corpus version, inference-server GPU state and a seeding statement. A deterministic test suite of 494 tests runs in approximately 12 seconds with no model, no network and no GPU; it pins the failure modes of each measurement instrument rather than only the behaviour of the system. External corpora are vendored with source, licence and version recorded.</w:t>
      </w:r>
    </w:p>
    <w:p>
      <w:pPr>
        <w:spacing w:after="100" w:before="240" w:line="254" w:lineRule="auto"/>
        <w:jc w:val="left"/>
      </w:pPr>
      <w:r>
        <w:rPr>
          <w:rFonts w:ascii="Times New Roman" w:hAnsi="Times New Roman"/>
          <w:b/>
          <w:i w:val="0"/>
          <w:color w:val="000000"/>
          <w:sz w:val="22"/>
        </w:rPr>
        <w:t>REFERENCES</w:t>
      </w:r>
    </w:p>
    <w:p>
      <w:pPr>
        <w:spacing w:after="80" w:before="0" w:line="254" w:lineRule="auto"/>
        <w:jc w:val="both"/>
      </w:pPr>
      <w:r>
        <w:rPr>
          <w:rFonts w:ascii="Times New Roman" w:hAnsi="Times New Roman"/>
          <w:b w:val="0"/>
          <w:i w:val="0"/>
          <w:color w:val="000000"/>
          <w:sz w:val="20"/>
        </w:rPr>
        <w:t xml:space="preserve">[1] Q. Zhan, Z. Liang, Z. Ying, and D. Kang, "InjecAgent: Benchmarking indirect prompt injections in tool-integrated large language model agents," in </w:t>
      </w:r>
      <w:r>
        <w:rPr>
          <w:rFonts w:ascii="Times New Roman" w:hAnsi="Times New Roman"/>
          <w:b w:val="0"/>
          <w:i/>
          <w:color w:val="000000"/>
          <w:sz w:val="20"/>
        </w:rPr>
        <w:t>Findings of the Association for Computational Linguistics: ACL 2024</w:t>
      </w:r>
      <w:r>
        <w:rPr>
          <w:rFonts w:ascii="Times New Roman" w:hAnsi="Times New Roman"/>
          <w:b w:val="0"/>
          <w:i w:val="0"/>
          <w:color w:val="000000"/>
          <w:sz w:val="20"/>
        </w:rPr>
        <w:t>, 2024.</w:t>
      </w:r>
    </w:p>
    <w:p>
      <w:pPr>
        <w:spacing w:after="80" w:before="0" w:line="254" w:lineRule="auto"/>
        <w:jc w:val="both"/>
      </w:pPr>
      <w:r>
        <w:rPr>
          <w:rFonts w:ascii="Times New Roman" w:hAnsi="Times New Roman"/>
          <w:b w:val="0"/>
          <w:i w:val="0"/>
          <w:color w:val="000000"/>
          <w:sz w:val="20"/>
        </w:rPr>
        <w:t xml:space="preserve">[2] E. Debenedetti, J. Zhang, M. Balunović, L. Beurer-Kellner, M. Fischer, and F. Tramèr, "AgentDojo: A dynamic environment to evaluate prompt injection attacks and defenses for LLM agents," in </w:t>
      </w:r>
      <w:r>
        <w:rPr>
          <w:rFonts w:ascii="Times New Roman" w:hAnsi="Times New Roman"/>
          <w:b w:val="0"/>
          <w:i/>
          <w:color w:val="000000"/>
          <w:sz w:val="20"/>
        </w:rPr>
        <w:t>Advances in Neural Information Processing Systems, Datasets and Benchmarks Track</w:t>
      </w:r>
      <w:r>
        <w:rPr>
          <w:rFonts w:ascii="Times New Roman" w:hAnsi="Times New Roman"/>
          <w:b w:val="0"/>
          <w:i w:val="0"/>
          <w:color w:val="000000"/>
          <w:sz w:val="20"/>
        </w:rPr>
        <w:t>, 2024. arXiv:2406.13352.</w:t>
      </w:r>
    </w:p>
    <w:p>
      <w:pPr>
        <w:spacing w:after="80" w:before="0" w:line="254" w:lineRule="auto"/>
        <w:jc w:val="both"/>
      </w:pPr>
      <w:r>
        <w:rPr>
          <w:rFonts w:ascii="Times New Roman" w:hAnsi="Times New Roman"/>
          <w:b w:val="0"/>
          <w:i w:val="0"/>
          <w:color w:val="000000"/>
          <w:sz w:val="20"/>
        </w:rPr>
        <w:t>[3] K. Hines, G. Lopez, M. Hall, F. Zarfati, Y. Zunger, and E. Kiciman, "Defending against indirect prompt injection attacks with spotlighting," arXiv:2403.14720, 2024.</w:t>
      </w:r>
    </w:p>
    <w:p>
      <w:pPr>
        <w:spacing w:after="80" w:before="0" w:line="254" w:lineRule="auto"/>
        <w:jc w:val="both"/>
      </w:pPr>
      <w:r>
        <w:rPr>
          <w:rFonts w:ascii="Times New Roman" w:hAnsi="Times New Roman"/>
          <w:b w:val="0"/>
          <w:i w:val="0"/>
          <w:color w:val="000000"/>
          <w:sz w:val="20"/>
        </w:rPr>
        <w:t>[4] W. Zou, Y. Liu, Y. Wang, Y. Chen, N. Gong, and J. Jia, "PIShield: Detecting prompt injection attacks via intrinsic LLM features," arXiv:2510.14005.</w:t>
      </w:r>
    </w:p>
    <w:p>
      <w:pPr>
        <w:spacing w:after="80" w:before="0" w:line="254" w:lineRule="auto"/>
        <w:jc w:val="both"/>
      </w:pPr>
      <w:r>
        <w:rPr>
          <w:rFonts w:ascii="Times New Roman" w:hAnsi="Times New Roman"/>
          <w:b w:val="0"/>
          <w:i w:val="0"/>
          <w:color w:val="000000"/>
          <w:sz w:val="20"/>
        </w:rPr>
        <w:t xml:space="preserve">[5] K. Greshake, S. Abdelnabi, S. Mishra, C. Endres, T. Holz, and M. Fritz, "Not what you've signed up for: Compromising real-world LLM-integrated applications with indirect prompt injection," in </w:t>
      </w:r>
      <w:r>
        <w:rPr>
          <w:rFonts w:ascii="Times New Roman" w:hAnsi="Times New Roman"/>
          <w:b w:val="0"/>
          <w:i/>
          <w:color w:val="000000"/>
          <w:sz w:val="20"/>
        </w:rPr>
        <w:t>Proc. 16th ACM Workshop on Artificial Intelligence and Security (AISec)</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[6] S. Yao, J. Zhao, D. Yu, N. Du, I. Shafran, K. Narasimhan, and Y. Cao, "ReAct: Synergizing reasoning and acting in language models," in </w:t>
      </w:r>
      <w:r>
        <w:rPr>
          <w:rFonts w:ascii="Times New Roman" w:hAnsi="Times New Roman"/>
          <w:b w:val="0"/>
          <w:i/>
          <w:color w:val="000000"/>
          <w:sz w:val="20"/>
        </w:rPr>
        <w:t>Proc. International Conference on Learning Representations (ICLR)</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[7] E. B. Wilson, "Probable inference, the law of succession, and statistical inference," </w:t>
      </w:r>
      <w:r>
        <w:rPr>
          <w:rFonts w:ascii="Times New Roman" w:hAnsi="Times New Roman"/>
          <w:b w:val="0"/>
          <w:i/>
          <w:color w:val="000000"/>
          <w:sz w:val="20"/>
        </w:rPr>
        <w:t>Journal of the American Statistical Association</w:t>
      </w:r>
      <w:r>
        <w:rPr>
          <w:rFonts w:ascii="Times New Roman" w:hAnsi="Times New Roman"/>
          <w:b w:val="0"/>
          <w:i w:val="0"/>
          <w:color w:val="000000"/>
          <w:sz w:val="20"/>
        </w:rPr>
        <w:t>, vol. 22, no. 158, pp. 209–212, 1927.</w:t>
      </w:r>
    </w:p>
    <w:p>
      <w:pPr>
        <w:spacing w:after="80" w:before="0" w:line="254" w:lineRule="auto"/>
        <w:jc w:val="both"/>
      </w:pPr>
      <w:r>
        <w:rPr>
          <w:rFonts w:ascii="Times New Roman" w:hAnsi="Times New Roman"/>
          <w:b w:val="0"/>
          <w:i w:val="0"/>
          <w:color w:val="000000"/>
          <w:sz w:val="20"/>
        </w:rPr>
        <w:t xml:space="preserve">[8] Q. McNemar, "Note on the sampling error of the difference between correlated proportions or percentages," </w:t>
      </w:r>
      <w:r>
        <w:rPr>
          <w:rFonts w:ascii="Times New Roman" w:hAnsi="Times New Roman"/>
          <w:b w:val="0"/>
          <w:i/>
          <w:color w:val="000000"/>
          <w:sz w:val="20"/>
        </w:rPr>
        <w:t>Psychometrika</w:t>
      </w:r>
      <w:r>
        <w:rPr>
          <w:rFonts w:ascii="Times New Roman" w:hAnsi="Times New Roman"/>
          <w:b w:val="0"/>
          <w:i w:val="0"/>
          <w:color w:val="000000"/>
          <w:sz w:val="20"/>
        </w:rPr>
        <w:t>, vol. 12, no. 2, pp. 153–157, 1947.</w:t>
      </w:r>
    </w:p>
    <w:p>
      <w:pPr>
        <w:spacing w:after="80" w:before="0" w:line="254" w:lineRule="auto"/>
        <w:jc w:val="both"/>
      </w:pPr>
      <w:r>
        <w:rPr>
          <w:rFonts w:ascii="Times New Roman" w:hAnsi="Times New Roman"/>
          <w:b w:val="0"/>
          <w:i w:val="0"/>
          <w:color w:val="000000"/>
          <w:sz w:val="20"/>
        </w:rPr>
        <w:t>[9] T. Zhang, Y. Xu, J. Wang, K. Guo, X. Xu, B. Xiao, Q. Guan, J. Fan, J. Liu, Z. Liu, and H. Hu, "AgentSentry: Mitigating indirect prompt injection in LLM agents via temporal causal diagnostics and context purification," arXiv:2602.22724, 2026.</w:t>
      </w:r>
    </w:p>
    <w:p>
      <w:pPr>
        <w:spacing w:after="80" w:before="0" w:line="254" w:lineRule="auto"/>
        <w:jc w:val="both"/>
      </w:pPr>
      <w:r>
        <w:rPr>
          <w:rFonts w:ascii="Times New Roman" w:hAnsi="Times New Roman"/>
          <w:b w:val="0"/>
          <w:i w:val="0"/>
          <w:color w:val="000000"/>
          <w:sz w:val="20"/>
        </w:rPr>
        <w:t>[10] P. He, C. Li, B. Zhao, T. Du, and S. Ji, "Automatic red teaming LLM-based agents with Model Context Protocol tools," arXiv:2509.21011, 2025.</w:t>
      </w:r>
    </w:p>
    <w:p>
      <w:pPr>
        <w:spacing w:after="80" w:before="0" w:line="254" w:lineRule="auto"/>
        <w:jc w:val="both"/>
      </w:pPr>
      <w:r>
        <w:rPr>
          <w:rFonts w:ascii="Times New Roman" w:hAnsi="Times New Roman"/>
          <w:b w:val="0"/>
          <w:i w:val="0"/>
          <w:color w:val="000000"/>
          <w:sz w:val="20"/>
        </w:rPr>
        <w:t>[11] Y. Yang, C. Gao, D. Wu, Y. Chen, Y. Li, and S. Wang, "MCPSecBench: A systematic security benchmark and playground for testing Model Context Protocols," arXiv:2508.13220, 2025.</w:t>
      </w:r>
    </w:p>
    <w:p>
      <w:pPr>
        <w:spacing w:after="80" w:before="0" w:line="254" w:lineRule="auto"/>
        <w:jc w:val="both"/>
      </w:pPr>
      <w:r>
        <w:rPr>
          <w:rFonts w:ascii="Times New Roman" w:hAnsi="Times New Roman"/>
          <w:b w:val="0"/>
          <w:i w:val="0"/>
          <w:color w:val="000000"/>
          <w:sz w:val="20"/>
        </w:rPr>
        <w:t>[12] M. Bhatt, V. S. Narajala, and I. Habler, "ETDI: Mitigating tool squatting and rug pull attacks in Model Context Protocol (MCP) by using OAuth-enhanced tool definitions and policy-based access control," arXiv:2506.01333, 2025.</w:t>
      </w:r>
    </w:p>
    <w:p>
      <w:pPr>
        <w:spacing w:after="80" w:before="0" w:line="254" w:lineRule="auto"/>
        <w:jc w:val="both"/>
      </w:pPr>
      <w:r>
        <w:rPr>
          <w:rFonts w:ascii="Times New Roman" w:hAnsi="Times New Roman"/>
          <w:b w:val="0"/>
          <w:i w:val="0"/>
          <w:color w:val="000000"/>
          <w:sz w:val="20"/>
        </w:rPr>
        <w:t xml:space="preserve">[13] M. A. Ferrag, N. Tihanyi, D. Hamouda, L. Maglaras, A. Lakas, and M. Debbah, "From prompt injections to protocol exploits: Threats in LLM-powered AI agents workflows," </w:t>
      </w:r>
      <w:r>
        <w:rPr>
          <w:rFonts w:ascii="Times New Roman" w:hAnsi="Times New Roman"/>
          <w:b w:val="0"/>
          <w:i/>
          <w:color w:val="000000"/>
          <w:sz w:val="20"/>
        </w:rPr>
        <w:t>ICT Express</w:t>
      </w:r>
      <w:r>
        <w:rPr>
          <w:rFonts w:ascii="Times New Roman" w:hAnsi="Times New Roman"/>
          <w:b w:val="0"/>
          <w:i w:val="0"/>
          <w:color w:val="000000"/>
          <w:sz w:val="20"/>
        </w:rPr>
        <w:t>, 2025. arXiv:2506.23260.</w:t>
      </w:r>
    </w:p>
    <w:p>
      <w:pPr>
        <w:spacing w:after="80" w:before="0" w:line="254" w:lineRule="auto"/>
        <w:jc w:val="both"/>
      </w:pPr>
      <w:r>
        <w:rPr>
          <w:rFonts w:ascii="Times New Roman" w:hAnsi="Times New Roman"/>
          <w:b w:val="0"/>
          <w:i w:val="0"/>
          <w:color w:val="000000"/>
          <w:sz w:val="20"/>
        </w:rPr>
        <w:t>[14] J. Fu, Y. Zhang, and Y. Wang, "Can LLM infer risk information from MCP server system logs?," arXiv:2511.05867, 2025.</w:t>
      </w:r>
    </w:p>
    <w:p>
      <w:pPr>
        <w:sectPr>
          <w:footerReference w:type="default" r:id="rId9"/>
          <w:pgSz w:w="12240" w:h="15840"/>
          <w:pgMar w:top="1440" w:right="1440" w:bottom="1440" w:left="1440" w:header="720" w:footer="720" w:gutter="0"/>
          <w:cols w:space="720"/>
          <w:docGrid w:linePitch="360"/>
        </w:sectPr>
      </w:pPr>
    </w:p>
    <w:p>
      <w:pPr>
        <w:spacing w:after="100" w:before="240" w:line="254" w:lineRule="auto"/>
        <w:jc w:val="left"/>
      </w:pPr>
      <w:r>
        <w:rPr>
          <w:rFonts w:ascii="Times New Roman" w:hAnsi="Times New Roman"/>
          <w:b/>
          <w:i w:val="0"/>
          <w:color w:val="000000"/>
          <w:sz w:val="22"/>
        </w:rPr>
        <w:t>APPENDIX A: IMPLEMENTATION DIAGRAM</w:t>
      </w:r>
    </w:p>
    <w:p>
      <w:pPr>
        <w:spacing w:after="80" w:before="0" w:line="254" w:lineRule="auto"/>
        <w:jc w:val="both"/>
      </w:pPr>
      <w:r>
        <w:rPr>
          <w:rFonts w:ascii="Times New Roman" w:hAnsi="Times New Roman"/>
          <w:b w:val="0"/>
          <w:i w:val="0"/>
          <w:color w:val="000000"/>
          <w:sz w:val="20"/>
        </w:rPr>
        <w:t xml:space="preserve">The figure below is the implementation-level architecture, reproduced for completeness. Unlike Fig. 1 it shows every module and every feedback path, including the red-team loop, the evaluation module and the off-machine training environment. </w:t>
      </w:r>
      <w:r>
        <w:rPr>
          <w:rFonts w:ascii="Times New Roman" w:hAnsi="Times New Roman"/>
          <w:b/>
          <w:i w:val="0"/>
          <w:color w:val="000000"/>
          <w:sz w:val="20"/>
        </w:rPr>
        <w:t>Every component shown is built and validated</w:t>
      </w:r>
      <w:r>
        <w:rPr>
          <w:rFonts w:ascii="Times New Roman" w:hAnsi="Times New Roman"/>
          <w:b w:val="0"/>
          <w:i w:val="0"/>
          <w:color w:val="000000"/>
          <w:sz w:val="20"/>
        </w:rPr>
        <w:t xml:space="preserve"> — five specified-but-unimplemented boxes that earlier versions of this figure carried have been removed rather than drawn, so nothing in the diagram describes work that does not exist. Dashed arrows mark the adaptive feedback path; green marks offline measurement paths that make no model calls; italic marks components built and measured that ship disabled.</w:t>
      </w:r>
    </w:p>
    <w:p>
      <w:pPr>
        <w:spacing w:before="160" w:after="60"/>
        <w:jc w:val="center"/>
      </w:pPr>
      <w:r>
        <w:drawing>
          <wp:inline xmlns:a="http://schemas.openxmlformats.org/drawingml/2006/main" xmlns:pic="http://schemas.openxmlformats.org/drawingml/2006/picture">
            <wp:extent cx="8229600" cy="3797092"/>
            <wp:docPr id="6" name="Picture 6"/>
            <wp:cNvGraphicFramePr>
              <a:graphicFrameLocks noChangeAspect="1"/>
            </wp:cNvGraphicFramePr>
            <a:graphic>
              <a:graphicData uri="http://schemas.openxmlformats.org/drawingml/2006/picture">
                <pic:pic>
                  <pic:nvPicPr>
                    <pic:cNvPr id="0" name="AdaptiShield_Architecture_v3.drawio.png"/>
                    <pic:cNvPicPr/>
                  </pic:nvPicPr>
                  <pic:blipFill>
                    <a:blip r:embed="rId15"/>
                    <a:stretch>
                      <a:fillRect/>
                    </a:stretch>
                  </pic:blipFill>
                  <pic:spPr>
                    <a:xfrm>
                      <a:off x="0" y="0"/>
                      <a:ext cx="8229600" cy="3797092"/>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6.</w:t>
      </w:r>
      <w:r>
        <w:rPr>
          <w:rFonts w:ascii="Times New Roman" w:hAnsi="Times New Roman"/>
          <w:b w:val="0"/>
          <w:i w:val="0"/>
          <w:color w:val="444A53"/>
          <w:sz w:val="17"/>
        </w:rPr>
        <w:t xml:space="preserve"> The complete AdaptiShield implementation architecture, including the red-team loop, evaluation module and off-machine training environment.</w:t>
      </w:r>
    </w:p>
    <w:sectPr w:rsidR="00FC693F" w:rsidRPr="0006063C" w:rsidSect="00034616">
      <w:pgSz w:w="15840" w:h="12240" w:orient="landscape"/>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