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54" w:lineRule="auto"/>
        <w:jc w:val="center"/>
      </w:pPr>
      <w:r>
        <w:rPr>
          <w:rFonts w:ascii="Times New Roman" w:hAnsi="Times New Roman"/>
          <w:b/>
          <w:i w:val="0"/>
          <w:color w:val="000000"/>
          <w:sz w:val="34"/>
        </w:rPr>
        <w:t>Causal Prompt-Injection Detection Depends on a Liftable Target: A Stratified, Pre-Registered Evaluation in Tool-Integrated LLM Agents</w:t>
      </w:r>
    </w:p>
    <w:p>
      <w:pPr>
        <w:spacing w:after="60" w:before="0" w:line="254" w:lineRule="auto"/>
        <w:jc w:val="center"/>
      </w:pPr>
      <w:r>
        <w:rPr>
          <w:rFonts w:ascii="Times New Roman" w:hAnsi="Times New Roman"/>
          <w:b/>
          <w:i w:val="0"/>
          <w:color w:val="000000"/>
          <w:sz w:val="20"/>
        </w:rPr>
        <w:t>MUHAMMAD AHMAD KHAN</w:t>
      </w:r>
      <w:r>
        <w:rPr>
          <w:rFonts w:ascii="Times New Roman" w:hAnsi="Times New Roman"/>
          <w:b w:val="0"/>
          <w:i w:val="0"/>
          <w:color w:val="000000"/>
          <w:sz w:val="20"/>
        </w:rPr>
        <w:t xml:space="preserve">¹, </w:t>
      </w:r>
      <w:r>
        <w:rPr>
          <w:rFonts w:ascii="Times New Roman" w:hAnsi="Times New Roman"/>
          <w:b/>
          <w:i w:val="0"/>
          <w:color w:val="000000"/>
          <w:sz w:val="20"/>
        </w:rPr>
        <w:t>ALEENA KHAN</w:t>
      </w:r>
      <w:r>
        <w:rPr>
          <w:rFonts w:ascii="Times New Roman" w:hAnsi="Times New Roman"/>
          <w:b w:val="0"/>
          <w:i w:val="0"/>
          <w:color w:val="000000"/>
          <w:sz w:val="20"/>
        </w:rPr>
        <w:t xml:space="preserve">¹, and </w:t>
      </w:r>
      <w:r>
        <w:rPr>
          <w:rFonts w:ascii="Times New Roman" w:hAnsi="Times New Roman"/>
          <w:b/>
          <w:i w:val="0"/>
          <w:color w:val="000000"/>
          <w:sz w:val="20"/>
        </w:rPr>
        <w:t>LAEEQ AHMED</w:t>
      </w:r>
      <w:r>
        <w:rPr>
          <w:rFonts w:ascii="Times New Roman" w:hAnsi="Times New Roman"/>
          <w:b w:val="0"/>
          <w:i w:val="0"/>
          <w:color w:val="000000"/>
          <w:sz w:val="20"/>
        </w:rPr>
        <w:t>¹</w:t>
      </w:r>
    </w:p>
    <w:p>
      <w:pPr>
        <w:spacing w:after="60" w:before="0" w:line="254" w:lineRule="auto"/>
        <w:jc w:val="center"/>
      </w:pPr>
      <w:r>
        <w:rPr>
          <w:rFonts w:ascii="Times New Roman" w:hAnsi="Times New Roman"/>
          <w:b w:val="0"/>
          <w:i w:val="0"/>
          <w:color w:val="000000"/>
          <w:sz w:val="19"/>
        </w:rPr>
        <w:t>¹Department of Computer Science and Information Technology, University of Engineering and Technology Peshawar, Jalozai Campus, Khyber Pakhtunkhwa, Pakistan (e-mail: 23jzbcs0238@uetpeshawar.edu.pk; 23jzbcs0229@uetpeshawar.edu.pk; laeeq@uetpeshawar.edu.pk)</w:t>
      </w:r>
    </w:p>
    <w:p>
      <w:pPr>
        <w:spacing w:after="60" w:before="0" w:line="254" w:lineRule="auto"/>
        <w:jc w:val="center"/>
      </w:pPr>
      <w:r>
        <w:rPr>
          <w:rFonts w:ascii="Times New Roman" w:hAnsi="Times New Roman"/>
          <w:b w:val="0"/>
          <w:i w:val="0"/>
          <w:color w:val="000000"/>
          <w:sz w:val="19"/>
        </w:rPr>
        <w:t>Corresponding author: Muhammad Ahmad Khan (e-mail: 23jzbcs0238@uetpeshawar.edu.pk)</w:t>
      </w:r>
    </w:p>
    <w:p>
      <w:pPr>
        <w:spacing w:after="60" w:before="0" w:line="254" w:lineRule="auto"/>
        <w:jc w:val="center"/>
      </w:pPr>
      <w:r>
        <w:rPr>
          <w:rFonts w:ascii="Times New Roman" w:hAnsi="Times New Roman"/>
          <w:b/>
          <w:i w:val="0"/>
          <w:color w:val="444A53"/>
          <w:sz w:val="19"/>
        </w:rPr>
        <w:t>[CONFIRM BEFORE SUBMISSION — ORCID iD for each author; IEEE membership grade, if any, appended to a name as "(Member, IEEE)"; author order, which is the supervisor's call; and the funding statement, which IEEE Access requires even when the answer is none.]</w:t>
      </w:r>
    </w:p>
    <w:p>
      <w:pPr>
        <w:spacing w:after="80" w:before="120" w:line="254" w:lineRule="auto"/>
        <w:jc w:val="both"/>
      </w:pPr>
      <w:r>
        <w:rPr>
          <w:rFonts w:ascii="Times New Roman" w:hAnsi="Times New Roman"/>
          <w:b/>
          <w:i w:val="0"/>
          <w:color w:val="000000"/>
          <w:sz w:val="20"/>
        </w:rPr>
        <w:t>Abstract</w:t>
      </w:r>
      <w:r>
        <w:rPr>
          <w:rFonts w:ascii="Times New Roman" w:hAnsi="Times New Roman"/>
          <w:b w:val="0"/>
          <w:i w:val="0"/>
          <w:color w:val="000000"/>
          <w:sz w:val="20"/>
        </w:rPr>
        <w:t xml:space="preserve"> — Indirect prompt injection is the principal open vulnerability of tool-integrated language-model agents: an agent that reads a tool response is reading untrusted text, and it has no reliable way to separate content it was asked to process from a command it was asked to follow. Proposed defenses cluster into prompt-level marking and gate-level constraint. A third framing asks instead whether the model's proposed action </w:t>
      </w:r>
      <w:r>
        <w:rPr>
          <w:rFonts w:ascii="Times New Roman" w:hAnsi="Times New Roman"/>
          <w:b w:val="0"/>
          <w:i/>
          <w:color w:val="000000"/>
          <w:sz w:val="20"/>
        </w:rPr>
        <w:t>changed because of</w:t>
      </w:r>
      <w:r>
        <w:rPr>
          <w:rFonts w:ascii="Times New Roman" w:hAnsi="Times New Roman"/>
          <w:b w:val="0"/>
          <w:i w:val="0"/>
          <w:color w:val="000000"/>
          <w:sz w:val="20"/>
        </w:rPr>
        <w:t xml:space="preserve"> the untrusted span — a causal question. We implement a six-layer defensive pipeline whose distinguishing element is such a causal detector, and we evaluate it against externally-authored attacks, against a published prompt-level defense, and component by component. The evaluation is largely negative and the negative results are the contribution. A ladder ablation and a leave-one-out ablation agree that four of six components change no outcome on our corpus. A re-implementation of spotlighting produces a null on our harness (34.8% to 33.3% steered, paired McNemar </w:t>
      </w:r>
      <w:r>
        <w:rPr>
          <w:rFonts w:ascii="Times New Roman" w:hAnsi="Times New Roman"/>
          <w:b w:val="0"/>
          <w:i/>
          <w:color w:val="000000"/>
          <w:sz w:val="20"/>
        </w:rPr>
        <w:t>p</w:t>
      </w:r>
      <w:r>
        <w:rPr>
          <w:rFonts w:ascii="Times New Roman" w:hAnsi="Times New Roman"/>
          <w:b w:val="0"/>
          <w:i w:val="0"/>
          <w:color w:val="000000"/>
          <w:sz w:val="20"/>
        </w:rPr>
        <w:t xml:space="preserve"> = 1.00) that decomposes into two per-family effects of opposite sign. Detection falls from 96.7% on attacks we wrote to approximately 18% on InjecAgent, and the stratification is the finding rather than a caveat: 96.7% where the detector's target-match path can fire against 10.0% where it cannot, which is roughly 90% of that corpus. Widening the harm taxonomy — the obvious repair — scores 90.0% in-sample and 43.3% on a corpus frozen before the widening was written, with non-overlapping intervals and no statistical significance. Finally, two pre-registered multi-turn experiments found the adaptive layer's temporal-drift rule unable to fire, and measured why: the masked and unmasked regimes return identical severities on 24 of 30 turns, so the causal contrast is zero for any threshold on any content. All results converge on one claim — the causal contrast carries discriminative signal when the injected content contains a </w:t>
      </w:r>
      <w:r>
        <w:rPr>
          <w:rFonts w:ascii="Times New Roman" w:hAnsi="Times New Roman"/>
          <w:b w:val="0"/>
          <w:i/>
          <w:color w:val="000000"/>
          <w:sz w:val="20"/>
        </w:rPr>
        <w:t>liftable target</w:t>
      </w:r>
      <w:r>
        <w:rPr>
          <w:rFonts w:ascii="Times New Roman" w:hAnsi="Times New Roman"/>
          <w:b w:val="0"/>
          <w:i w:val="0"/>
          <w:color w:val="000000"/>
          <w:sz w:val="20"/>
        </w:rPr>
        <w:t>, an address or URL an action can name, and close to none otherwise. Every number reported here is regenerable by a committed command over a released artifact, and the two headline experiments were pre-registered.</w:t>
      </w:r>
    </w:p>
    <w:p>
      <w:pPr>
        <w:spacing w:after="80" w:before="0" w:line="254" w:lineRule="auto"/>
        <w:jc w:val="both"/>
      </w:pPr>
      <w:r>
        <w:rPr>
          <w:rFonts w:ascii="Times New Roman" w:hAnsi="Times New Roman"/>
          <w:b/>
          <w:i w:val="0"/>
          <w:color w:val="000000"/>
          <w:sz w:val="20"/>
        </w:rPr>
        <w:t>Index Terms</w:t>
      </w:r>
      <w:r>
        <w:rPr>
          <w:rFonts w:ascii="Times New Roman" w:hAnsi="Times New Roman"/>
          <w:b w:val="0"/>
          <w:i w:val="0"/>
          <w:color w:val="000000"/>
          <w:sz w:val="20"/>
        </w:rPr>
        <w:t xml:space="preserve"> — indirect prompt injection, LLM agents, causal detection, security evaluation, negative results, tool-integrated language models, reproducibility.</w:t>
      </w:r>
    </w:p>
    <w:p>
      <w:pPr>
        <w:spacing w:after="40" w:before="0" w:line="254" w:lineRule="auto"/>
        <w:jc w:val="both"/>
      </w:pPr>
    </w:p>
    <w:p>
      <w:pPr>
        <w:spacing w:after="100" w:before="240" w:line="254" w:lineRule="auto"/>
        <w:jc w:val="left"/>
      </w:pPr>
      <w:r>
        <w:rPr>
          <w:rFonts w:ascii="Times New Roman" w:hAnsi="Times New Roman"/>
          <w:b/>
          <w:i w:val="0"/>
          <w:color w:val="000000"/>
          <w:sz w:val="22"/>
        </w:rPr>
        <w:t>I. INTRODUCTION</w:t>
      </w:r>
    </w:p>
    <w:p>
      <w:pPr>
        <w:spacing w:after="80" w:before="0" w:line="254" w:lineRule="auto"/>
        <w:jc w:val="both"/>
      </w:pPr>
      <w:r>
        <w:rPr>
          <w:rFonts w:ascii="Times New Roman" w:hAnsi="Times New Roman"/>
          <w:b w:val="0"/>
          <w:i w:val="0"/>
          <w:color w:val="000000"/>
          <w:sz w:val="20"/>
        </w:rPr>
        <w:t xml:space="preserve">An LLM agent that reads tool output is reading untrusted text. When that text contains instructions, the model has no reliable way to distinguish </w:t>
      </w:r>
      <w:r>
        <w:rPr>
          <w:rFonts w:ascii="Times New Roman" w:hAnsi="Times New Roman"/>
          <w:b w:val="0"/>
          <w:i/>
          <w:color w:val="000000"/>
          <w:sz w:val="20"/>
        </w:rPr>
        <w:t>content it was asked to process</w:t>
      </w:r>
      <w:r>
        <w:rPr>
          <w:rFonts w:ascii="Times New Roman" w:hAnsi="Times New Roman"/>
          <w:b w:val="0"/>
          <w:i w:val="0"/>
          <w:color w:val="000000"/>
          <w:sz w:val="20"/>
        </w:rPr>
        <w:t xml:space="preserve"> from </w:t>
      </w:r>
      <w:r>
        <w:rPr>
          <w:rFonts w:ascii="Times New Roman" w:hAnsi="Times New Roman"/>
          <w:b w:val="0"/>
          <w:i/>
          <w:color w:val="000000"/>
          <w:sz w:val="20"/>
        </w:rPr>
        <w:t>a command it was asked to follow</w:t>
      </w:r>
      <w:r>
        <w:rPr>
          <w:rFonts w:ascii="Times New Roman" w:hAnsi="Times New Roman"/>
          <w:b w:val="0"/>
          <w:i w:val="0"/>
          <w:color w:val="000000"/>
          <w:sz w:val="20"/>
        </w:rPr>
        <w:t>. This is indirect prompt injection, and unlike a jailbreak it requires no access to the user: the attacker writes an email, a support ticket, or a build log, and waits for an agent to read it [5].</w:t>
      </w:r>
    </w:p>
    <w:p>
      <w:pPr>
        <w:spacing w:after="80" w:before="0" w:line="254" w:lineRule="auto"/>
        <w:jc w:val="both"/>
      </w:pPr>
      <w:r>
        <w:rPr>
          <w:rFonts w:ascii="Times New Roman" w:hAnsi="Times New Roman"/>
          <w:b w:val="0"/>
          <w:i w:val="0"/>
          <w:color w:val="000000"/>
          <w:sz w:val="20"/>
        </w:rPr>
        <w:t xml:space="preserve">Proposed defenses cluster into two families. </w:t>
      </w:r>
      <w:r>
        <w:rPr>
          <w:rFonts w:ascii="Times New Roman" w:hAnsi="Times New Roman"/>
          <w:b/>
          <w:i w:val="0"/>
          <w:color w:val="000000"/>
          <w:sz w:val="20"/>
        </w:rPr>
        <w:t>Prompt-level</w:t>
      </w:r>
      <w:r>
        <w:rPr>
          <w:rFonts w:ascii="Times New Roman" w:hAnsi="Times New Roman"/>
          <w:b w:val="0"/>
          <w:i w:val="0"/>
          <w:color w:val="000000"/>
          <w:sz w:val="20"/>
        </w:rPr>
        <w:t xml:space="preserve"> defenses mark the untrusted span and instruct the model to disregard instructions inside it [3]. </w:t>
      </w:r>
      <w:r>
        <w:rPr>
          <w:rFonts w:ascii="Times New Roman" w:hAnsi="Times New Roman"/>
          <w:b/>
          <w:i w:val="0"/>
          <w:color w:val="000000"/>
          <w:sz w:val="20"/>
        </w:rPr>
        <w:t>Gate-level</w:t>
      </w:r>
      <w:r>
        <w:rPr>
          <w:rFonts w:ascii="Times New Roman" w:hAnsi="Times New Roman"/>
          <w:b w:val="0"/>
          <w:i w:val="0"/>
          <w:color w:val="000000"/>
          <w:sz w:val="20"/>
        </w:rPr>
        <w:t xml:space="preserve"> defenses constrain what the agent may do afterwards — permission scopes, egress allowlists, sandboxes, tool filters [2]. A third and less-explored family asks a different question: not </w:t>
      </w:r>
      <w:r>
        <w:rPr>
          <w:rFonts w:ascii="Times New Roman" w:hAnsi="Times New Roman"/>
          <w:b w:val="0"/>
          <w:i/>
          <w:color w:val="000000"/>
          <w:sz w:val="20"/>
        </w:rPr>
        <w:t>does this text look dangerous</w:t>
      </w:r>
      <w:r>
        <w:rPr>
          <w:rFonts w:ascii="Times New Roman" w:hAnsi="Times New Roman"/>
          <w:b w:val="0"/>
          <w:i w:val="0"/>
          <w:color w:val="000000"/>
          <w:sz w:val="20"/>
        </w:rPr>
        <w:t xml:space="preserve">, but </w:t>
      </w:r>
      <w:r>
        <w:rPr>
          <w:rFonts w:ascii="Times New Roman" w:hAnsi="Times New Roman"/>
          <w:b/>
          <w:i w:val="0"/>
          <w:color w:val="000000"/>
          <w:sz w:val="20"/>
        </w:rPr>
        <w:t>did the model's proposed action change because of it?</w:t>
      </w:r>
    </w:p>
    <w:p>
      <w:pPr>
        <w:spacing w:after="80" w:before="0" w:line="254" w:lineRule="auto"/>
        <w:jc w:val="both"/>
      </w:pPr>
      <w:r>
        <w:rPr>
          <w:rFonts w:ascii="Times New Roman" w:hAnsi="Times New Roman"/>
          <w:b w:val="0"/>
          <w:i w:val="0"/>
          <w:color w:val="000000"/>
          <w:sz w:val="20"/>
        </w:rPr>
        <w:t>That third framing is causal, and it is the one this paper evaluates. The appeal is clear — it targets the mechanism of the attack rather than its surface — and to our knowledge it has not previously been measured against external corpora, ablated component by component, or tested for whether its adaptive parameters are identifiable at all.</w:t>
      </w:r>
    </w:p>
    <w:p>
      <w:pPr>
        <w:spacing w:after="60" w:before="160" w:line="254" w:lineRule="auto"/>
        <w:jc w:val="left"/>
      </w:pPr>
      <w:r>
        <w:rPr>
          <w:rFonts w:ascii="Times New Roman" w:hAnsi="Times New Roman"/>
          <w:b/>
          <w:i/>
          <w:color w:val="000000"/>
          <w:sz w:val="20"/>
        </w:rPr>
        <w:t>A. What we built and what we asked</w:t>
      </w:r>
    </w:p>
    <w:p>
      <w:pPr>
        <w:spacing w:after="80" w:before="0" w:line="254" w:lineRule="auto"/>
        <w:jc w:val="both"/>
      </w:pPr>
      <w:r>
        <w:rPr>
          <w:rFonts w:ascii="Times New Roman" w:hAnsi="Times New Roman"/>
          <w:b w:val="0"/>
          <w:i w:val="0"/>
          <w:color w:val="000000"/>
          <w:sz w:val="20"/>
        </w:rPr>
        <w:t xml:space="preserve">We implement a six-layer defensive pipeline whose distinguishing element is a causal sub-layer: it runs the model's action selection under four regimes that differ in what the model can see, and treats </w:t>
      </w:r>
      <w:r>
        <w:rPr>
          <w:rFonts w:ascii="Times New Roman" w:hAnsi="Times New Roman"/>
          <w:b w:val="0"/>
          <w:i/>
          <w:color w:val="000000"/>
          <w:sz w:val="20"/>
        </w:rPr>
        <w:t>differences between those regimes</w:t>
      </w:r>
      <w:r>
        <w:rPr>
          <w:rFonts w:ascii="Times New Roman" w:hAnsi="Times New Roman"/>
          <w:b w:val="0"/>
          <w:i w:val="0"/>
          <w:color w:val="000000"/>
          <w:sz w:val="20"/>
        </w:rPr>
        <w:t xml:space="preserve"> as evidence that untrusted content is driving the action. A separate adaptive component observes detection failures and proposes configuration changes for human approval.</w:t>
      </w:r>
    </w:p>
    <w:p>
      <w:pPr>
        <w:spacing w:after="80" w:before="0" w:line="254" w:lineRule="auto"/>
        <w:jc w:val="both"/>
      </w:pPr>
      <w:r>
        <w:rPr>
          <w:rFonts w:ascii="Times New Roman" w:hAnsi="Times New Roman"/>
          <w:b w:val="0"/>
          <w:i w:val="0"/>
          <w:color w:val="000000"/>
          <w:sz w:val="20"/>
        </w:rPr>
        <w:t>We then set out to measure it honestly, which turned out to mean measuring the instruments first.</w:t>
      </w:r>
    </w:p>
    <w:p>
      <w:pPr>
        <w:spacing w:after="60" w:before="160" w:line="254" w:lineRule="auto"/>
        <w:jc w:val="left"/>
      </w:pPr>
      <w:r>
        <w:rPr>
          <w:rFonts w:ascii="Times New Roman" w:hAnsi="Times New Roman"/>
          <w:b/>
          <w:i/>
          <w:color w:val="000000"/>
          <w:sz w:val="20"/>
        </w:rPr>
        <w:t>B. Contributions</w:t>
      </w:r>
    </w:p>
    <w:p>
      <w:pPr>
        <w:spacing w:after="80" w:before="0" w:line="254" w:lineRule="auto"/>
        <w:jc w:val="both"/>
      </w:pPr>
      <w:r>
        <w:rPr>
          <w:rFonts w:ascii="Times New Roman" w:hAnsi="Times New Roman"/>
          <w:b/>
          <w:i w:val="0"/>
          <w:color w:val="000000"/>
          <w:sz w:val="20"/>
        </w:rPr>
        <w:t>1) A component-wise ablation showing that four of six components change no outcome on our own corpus.</w:t>
      </w:r>
      <w:r>
        <w:rPr>
          <w:rFonts w:ascii="Times New Roman" w:hAnsi="Times New Roman"/>
          <w:b w:val="0"/>
          <w:i w:val="0"/>
          <w:color w:val="000000"/>
          <w:sz w:val="20"/>
        </w:rPr>
        <w:t xml:space="preserve"> Ladder and leave-one-out ablations agree on every row: the causal analyzer moves detection (18/0 discordant, exact </w:t>
      </w:r>
      <w:r>
        <w:rPr>
          <w:rFonts w:ascii="Times New Roman" w:hAnsi="Times New Roman"/>
          <w:b w:val="0"/>
          <w:i/>
          <w:color w:val="000000"/>
          <w:sz w:val="20"/>
        </w:rPr>
        <w:t>p</w:t>
      </w:r>
      <w:r>
        <w:rPr>
          <w:rFonts w:ascii="Times New Roman" w:hAnsi="Times New Roman"/>
          <w:b w:val="0"/>
          <w:i w:val="0"/>
          <w:color w:val="000000"/>
          <w:sz w:val="20"/>
        </w:rPr>
        <w:t xml:space="preserve"> = 7.6 × 10⁻⁶), the sanitizer moves workflow continuation (18/0), and the tool-response screener, the policy engine, and both halves of the permission and egress layer are 0/0 with zero discordant pairs. Layer 4 is </w:t>
      </w:r>
      <w:r>
        <w:rPr>
          <w:rFonts w:ascii="Times New Roman" w:hAnsi="Times New Roman"/>
          <w:b w:val="0"/>
          <w:i/>
          <w:color w:val="000000"/>
          <w:sz w:val="20"/>
        </w:rPr>
        <w:t>redundant</w:t>
      </w:r>
      <w:r>
        <w:rPr>
          <w:rFonts w:ascii="Times New Roman" w:hAnsi="Times New Roman"/>
          <w:b w:val="0"/>
          <w:i w:val="0"/>
          <w:color w:val="000000"/>
          <w:sz w:val="20"/>
        </w:rPr>
        <w:t xml:space="preserve"> rather than contributing (§V).</w:t>
      </w:r>
    </w:p>
    <w:p>
      <w:pPr>
        <w:spacing w:after="80" w:before="0" w:line="254" w:lineRule="auto"/>
        <w:jc w:val="both"/>
      </w:pPr>
      <w:r>
        <w:rPr>
          <w:rFonts w:ascii="Times New Roman" w:hAnsi="Times New Roman"/>
          <w:b/>
          <w:i w:val="0"/>
          <w:color w:val="000000"/>
          <w:sz w:val="20"/>
        </w:rPr>
        <w:t>2) A measured comparison against a published prompt-level defense, which is a null.</w:t>
      </w:r>
      <w:r>
        <w:rPr>
          <w:rFonts w:ascii="Times New Roman" w:hAnsi="Times New Roman"/>
          <w:b w:val="0"/>
          <w:i w:val="0"/>
          <w:color w:val="000000"/>
          <w:sz w:val="20"/>
        </w:rPr>
        <w:t xml:space="preserve"> Spotlighting moves the steering rate from 34.8% to 33.3%, McNemar </w:t>
      </w:r>
      <w:r>
        <w:rPr>
          <w:rFonts w:ascii="Times New Roman" w:hAnsi="Times New Roman"/>
          <w:b w:val="0"/>
          <w:i/>
          <w:color w:val="000000"/>
          <w:sz w:val="20"/>
        </w:rPr>
        <w:t>p</w:t>
      </w:r>
      <w:r>
        <w:rPr>
          <w:rFonts w:ascii="Times New Roman" w:hAnsi="Times New Roman"/>
          <w:b w:val="0"/>
          <w:i w:val="0"/>
          <w:color w:val="000000"/>
          <w:sz w:val="20"/>
        </w:rPr>
        <w:t xml:space="preserve"> = 1.00 — and the null decomposes into two per-family effects of opposite sign, because a transform that makes a thin payload more </w:t>
      </w:r>
      <w:r>
        <w:rPr>
          <w:rFonts w:ascii="Times New Roman" w:hAnsi="Times New Roman"/>
          <w:b w:val="0"/>
          <w:i/>
          <w:color w:val="000000"/>
          <w:sz w:val="20"/>
        </w:rPr>
        <w:t>legible</w:t>
      </w:r>
      <w:r>
        <w:rPr>
          <w:rFonts w:ascii="Times New Roman" w:hAnsi="Times New Roman"/>
          <w:b w:val="0"/>
          <w:i w:val="0"/>
          <w:color w:val="000000"/>
          <w:sz w:val="20"/>
        </w:rPr>
        <w:t xml:space="preserve"> can increase compliance with it (§VI).</w:t>
      </w:r>
    </w:p>
    <w:p>
      <w:pPr>
        <w:spacing w:after="80" w:before="0" w:line="254" w:lineRule="auto"/>
        <w:jc w:val="both"/>
      </w:pPr>
      <w:r>
        <w:rPr>
          <w:rFonts w:ascii="Times New Roman" w:hAnsi="Times New Roman"/>
          <w:b/>
          <w:i w:val="0"/>
          <w:color w:val="000000"/>
          <w:sz w:val="20"/>
        </w:rPr>
        <w:t>3) External validity, measured, at a cost.</w:t>
      </w:r>
      <w:r>
        <w:rPr>
          <w:rFonts w:ascii="Times New Roman" w:hAnsi="Times New Roman"/>
          <w:b w:val="0"/>
          <w:i w:val="0"/>
          <w:color w:val="000000"/>
          <w:sz w:val="20"/>
        </w:rPr>
        <w:t xml:space="preserve"> Detection falls from 96.7% on our corpus to approximately 18% on externally-authored attacks, and the stratification is the finding: 96.7% where the detector's target-match path can fire, 10.0% where it cannot — which is roughly 90% of that corpus (§VII).</w:t>
      </w:r>
    </w:p>
    <w:p>
      <w:pPr>
        <w:spacing w:after="80" w:before="0" w:line="254" w:lineRule="auto"/>
        <w:jc w:val="both"/>
      </w:pPr>
      <w:r>
        <w:rPr>
          <w:rFonts w:ascii="Times New Roman" w:hAnsi="Times New Roman"/>
          <w:b/>
          <w:i w:val="0"/>
          <w:color w:val="000000"/>
          <w:sz w:val="20"/>
        </w:rPr>
        <w:t>4) A held-out test of the obvious repair, which generalizes about half.</w:t>
      </w:r>
      <w:r>
        <w:rPr>
          <w:rFonts w:ascii="Times New Roman" w:hAnsi="Times New Roman"/>
          <w:b w:val="0"/>
          <w:i w:val="0"/>
          <w:color w:val="000000"/>
          <w:sz w:val="20"/>
        </w:rPr>
        <w:t xml:space="preserve"> Widening the harm taxonomy scores 90.0% in-sample and 43.3% on a corpus reserved before the widening was written — non-overlapping intervals, and not statistically significant. A harm taxonomy assembled from one corpus's nouns is substantially that corpus's nouns (§VIII).</w:t>
      </w:r>
    </w:p>
    <w:p>
      <w:pPr>
        <w:spacing w:after="80" w:before="0" w:line="254" w:lineRule="auto"/>
        <w:jc w:val="both"/>
      </w:pPr>
      <w:r>
        <w:rPr>
          <w:rFonts w:ascii="Times New Roman" w:hAnsi="Times New Roman"/>
          <w:b/>
          <w:i w:val="0"/>
          <w:color w:val="000000"/>
          <w:sz w:val="20"/>
        </w:rPr>
        <w:t>5) The first evaluation of a temporal-drift rule whose parameters were formally unidentifiable, and a structural explanation of why it cannot fire.</w:t>
      </w:r>
      <w:r>
        <w:rPr>
          <w:rFonts w:ascii="Times New Roman" w:hAnsi="Times New Roman"/>
          <w:b w:val="0"/>
          <w:i w:val="0"/>
          <w:color w:val="000000"/>
          <w:sz w:val="20"/>
        </w:rPr>
        <w:t xml:space="preserve"> Two pre-registered multi-turn experiments returned no detection. Across 30 scored turns the masked and unmasked regimes returned the same severity on 24, so the causal contrast is zero 80% of the time and the drift score is zero for any threshold, on any content (§IX).</w:t>
      </w:r>
    </w:p>
    <w:p>
      <w:pPr>
        <w:spacing w:after="80" w:before="0" w:line="254" w:lineRule="auto"/>
        <w:jc w:val="both"/>
      </w:pPr>
      <w:r>
        <w:rPr>
          <w:rFonts w:ascii="Times New Roman" w:hAnsi="Times New Roman"/>
          <w:b/>
          <w:i w:val="0"/>
          <w:color w:val="000000"/>
          <w:sz w:val="20"/>
        </w:rPr>
        <w:t>6) Three negative results about adaptive security configuration</w:t>
      </w:r>
      <w:r>
        <w:rPr>
          <w:rFonts w:ascii="Times New Roman" w:hAnsi="Times New Roman"/>
          <w:b w:val="0"/>
          <w:i w:val="0"/>
          <w:color w:val="000000"/>
          <w:sz w:val="20"/>
        </w:rPr>
        <w:t xml:space="preserve">, each invisible from inside the component that produced it: a policy proposing a change its own reward scored lower; the single gain a trainer ever found being an artifact of a hand-written benign corpus (36 false positives of 68 on external data); and every internal safeguard working correctly while none could see outside the corpus. Together they are the argument for a human gate that </w:t>
      </w:r>
      <w:r>
        <w:rPr>
          <w:rFonts w:ascii="Times New Roman" w:hAnsi="Times New Roman"/>
          <w:b w:val="0"/>
          <w:i/>
          <w:color w:val="000000"/>
          <w:sz w:val="20"/>
        </w:rPr>
        <w:t>recomputes</w:t>
      </w:r>
      <w:r>
        <w:rPr>
          <w:rFonts w:ascii="Times New Roman" w:hAnsi="Times New Roman"/>
          <w:b w:val="0"/>
          <w:i w:val="0"/>
          <w:color w:val="000000"/>
          <w:sz w:val="20"/>
        </w:rPr>
        <w:t xml:space="preserve"> evidence rather than trusting a proposal (§X).</w:t>
      </w:r>
    </w:p>
    <w:p>
      <w:pPr>
        <w:spacing w:after="60" w:before="160" w:line="254" w:lineRule="auto"/>
        <w:jc w:val="left"/>
      </w:pPr>
      <w:r>
        <w:rPr>
          <w:rFonts w:ascii="Times New Roman" w:hAnsi="Times New Roman"/>
          <w:b/>
          <w:i/>
          <w:color w:val="000000"/>
          <w:sz w:val="20"/>
        </w:rPr>
        <w:t>C. The claim these converge on</w:t>
      </w:r>
    </w:p>
    <w:p>
      <w:pPr>
        <w:spacing w:after="120" w:before="80" w:line="254" w:lineRule="auto"/>
        <w:ind w:left="504"/>
        <w:jc w:val="left"/>
      </w:pPr>
      <w:r>
        <w:rPr>
          <w:rFonts w:ascii="Times New Roman" w:hAnsi="Times New Roman"/>
          <w:b/>
          <w:i/>
          <w:color w:val="000000"/>
          <w:sz w:val="20"/>
        </w:rPr>
        <w:t>The causal contrast carries discriminative signal when the injected content contains a liftable target — an address or URL the action can name — and close to none otherwise.</w:t>
      </w:r>
    </w:p>
    <w:p>
      <w:pPr>
        <w:spacing w:after="80" w:before="0" w:line="254" w:lineRule="auto"/>
        <w:jc w:val="both"/>
      </w:pPr>
      <w:r>
        <w:rPr>
          <w:rFonts w:ascii="Times New Roman" w:hAnsi="Times New Roman"/>
          <w:b w:val="0"/>
          <w:i w:val="0"/>
          <w:color w:val="000000"/>
          <w:sz w:val="20"/>
        </w:rPr>
        <w:t>Every result above is a consequence of that one property. Detection collapses externally because externally-authored attacks mostly carry no such target. The harm taxonomy generalizes about half because it is a list of nouns standing in for a mechanism. And the adaptive layer proposes nothing because two of its five parameters act on a quantity we measure at zero in 80–97% of turns.</w:t>
      </w:r>
    </w:p>
    <w:p>
      <w:pPr>
        <w:spacing w:after="80" w:before="0" w:line="254" w:lineRule="auto"/>
        <w:jc w:val="both"/>
      </w:pPr>
      <w:r>
        <w:rPr>
          <w:rFonts w:ascii="Times New Roman" w:hAnsi="Times New Roman"/>
          <w:b w:val="0"/>
          <w:i w:val="0"/>
          <w:color w:val="000000"/>
          <w:sz w:val="20"/>
        </w:rPr>
        <w:t xml:space="preserve">We believe this is the most useful thing a first evaluation of causal injection detection can report, and it is not what we expected to find. The approach is not refuted — it detects real attacks that both a static allowlist and a prompt-level defense miss — but its operating envelope is far narrower than the framing suggests, and it is bounded by a property of the </w:t>
      </w:r>
      <w:r>
        <w:rPr>
          <w:rFonts w:ascii="Times New Roman" w:hAnsi="Times New Roman"/>
          <w:b w:val="0"/>
          <w:i/>
          <w:color w:val="000000"/>
          <w:sz w:val="20"/>
        </w:rPr>
        <w:t>scorer</w:t>
      </w:r>
      <w:r>
        <w:rPr>
          <w:rFonts w:ascii="Times New Roman" w:hAnsi="Times New Roman"/>
          <w:b w:val="0"/>
          <w:i w:val="0"/>
          <w:color w:val="000000"/>
          <w:sz w:val="20"/>
        </w:rPr>
        <w:t xml:space="preserve"> rather than of the causal idea.</w:t>
      </w:r>
    </w:p>
    <w:p>
      <w:pPr>
        <w:spacing w:after="60" w:before="160" w:line="254" w:lineRule="auto"/>
        <w:jc w:val="left"/>
      </w:pPr>
      <w:r>
        <w:rPr>
          <w:rFonts w:ascii="Times New Roman" w:hAnsi="Times New Roman"/>
          <w:b/>
          <w:i/>
          <w:color w:val="000000"/>
          <w:sz w:val="20"/>
        </w:rPr>
        <w:t>D. On negative results and instruments</w:t>
      </w:r>
    </w:p>
    <w:p>
      <w:pPr>
        <w:spacing w:after="80" w:before="0" w:line="254" w:lineRule="auto"/>
        <w:jc w:val="both"/>
      </w:pPr>
      <w:r>
        <w:rPr>
          <w:rFonts w:ascii="Times New Roman" w:hAnsi="Times New Roman"/>
          <w:b w:val="0"/>
          <w:i w:val="0"/>
          <w:color w:val="000000"/>
          <w:sz w:val="20"/>
        </w:rPr>
        <w:t xml:space="preserve">Six of the results above are negative, and three surfaced from instrumentation built to answer a different question. That is not incidental. Systems of this kind fail more often in their </w:t>
      </w:r>
      <w:r>
        <w:rPr>
          <w:rFonts w:ascii="Times New Roman" w:hAnsi="Times New Roman"/>
          <w:b/>
          <w:i w:val="0"/>
          <w:color w:val="000000"/>
          <w:sz w:val="20"/>
        </w:rPr>
        <w:t>instruments</w:t>
      </w:r>
      <w:r>
        <w:rPr>
          <w:rFonts w:ascii="Times New Roman" w:hAnsi="Times New Roman"/>
          <w:b w:val="0"/>
          <w:i w:val="0"/>
          <w:color w:val="000000"/>
          <w:sz w:val="20"/>
        </w:rPr>
        <w:t xml:space="preserve"> than in their mechanisms, and instruments are the least-tested part of any evaluation, because a broken instrument returns a plausible number rather than an error. We report withdrawn measurements alongside the corrected ones throughout — a benchmark whose first result was invalid by construction, a baseline whose sign was reversed by its own scorer, an ablation that called a working component inert — because in each case the corrected number is only trustworthy in light of what the first one got wrong.</w:t>
      </w:r>
    </w:p>
    <w:p>
      <w:pPr>
        <w:spacing w:after="100" w:before="240" w:line="254" w:lineRule="auto"/>
        <w:jc w:val="left"/>
      </w:pPr>
      <w:r>
        <w:rPr>
          <w:rFonts w:ascii="Times New Roman" w:hAnsi="Times New Roman"/>
          <w:b/>
          <w:i w:val="0"/>
          <w:color w:val="000000"/>
          <w:sz w:val="22"/>
        </w:rPr>
        <w:t>II. RELATED WORK</w:t>
      </w:r>
    </w:p>
    <w:p>
      <w:pPr>
        <w:spacing w:after="80" w:before="0" w:line="254" w:lineRule="auto"/>
        <w:jc w:val="both"/>
      </w:pPr>
      <w:r>
        <w:rPr>
          <w:rFonts w:ascii="Times New Roman" w:hAnsi="Times New Roman"/>
          <w:b/>
          <w:i w:val="0"/>
          <w:color w:val="000000"/>
          <w:sz w:val="20"/>
        </w:rPr>
        <w:t>Establishing the attack.</w:t>
      </w:r>
      <w:r>
        <w:rPr>
          <w:rFonts w:ascii="Times New Roman" w:hAnsi="Times New Roman"/>
          <w:b w:val="0"/>
          <w:i w:val="0"/>
          <w:color w:val="000000"/>
          <w:sz w:val="20"/>
        </w:rPr>
        <w:t xml:space="preserve"> Greshake et al. [5] characterised indirect prompt injection against LLM-integrated applications and showed it does not require access to the user's prompt. Subsequent work has focused on benchmarking agent susceptibility and on defenses.</w:t>
      </w:r>
    </w:p>
    <w:p>
      <w:pPr>
        <w:spacing w:after="80" w:before="0" w:line="254" w:lineRule="auto"/>
        <w:jc w:val="both"/>
      </w:pPr>
      <w:r>
        <w:rPr>
          <w:rFonts w:ascii="Times New Roman" w:hAnsi="Times New Roman"/>
          <w:b/>
          <w:i w:val="0"/>
          <w:color w:val="000000"/>
          <w:sz w:val="20"/>
        </w:rPr>
        <w:t>Benchmarks.</w:t>
      </w:r>
      <w:r>
        <w:rPr>
          <w:rFonts w:ascii="Times New Roman" w:hAnsi="Times New Roman"/>
          <w:b w:val="0"/>
          <w:i w:val="0"/>
          <w:color w:val="000000"/>
          <w:sz w:val="20"/>
        </w:rPr>
        <w:t xml:space="preserve"> InjecAgent [1] measures indirect injection against tool-integrated agents over 1,054 test cases spanning 17 user tools and 62 attacker instructions, splitting attacks into direct-harm and data-stealing. It reports that a ReAct-prompted [6] GPT-4 reaches an attack success rate of 24% in the base setting and 47% with a reinforcing "hacking prompt", and that a prompted Llama2-70B exceeds 80%. AgentDojo [2] provides a dynamic environment of 97 user tasks and 629 security test cases and evaluates both attacks and defenses within it. We use the direct-harm split of the first as our external attack corpus and the second for both external benign documents and a held-out attack corpus, in each case reporting corpus version and licence (§IV).</w:t>
      </w:r>
    </w:p>
    <w:p>
      <w:pPr>
        <w:spacing w:after="80" w:before="0" w:line="254" w:lineRule="auto"/>
        <w:jc w:val="both"/>
      </w:pPr>
      <w:r>
        <w:rPr>
          <w:rFonts w:ascii="Times New Roman" w:hAnsi="Times New Roman"/>
          <w:b/>
          <w:i w:val="0"/>
          <w:color w:val="000000"/>
          <w:sz w:val="20"/>
        </w:rPr>
        <w:t>Prompt-level defenses.</w:t>
      </w:r>
      <w:r>
        <w:rPr>
          <w:rFonts w:ascii="Times New Roman" w:hAnsi="Times New Roman"/>
          <w:b w:val="0"/>
          <w:i w:val="0"/>
          <w:color w:val="000000"/>
          <w:sz w:val="20"/>
        </w:rPr>
        <w:t xml:space="preserve"> Spotlighting [3] transforms untrusted input to give the model a continuous signal of provenance, and reports that it "reduces the attack success rate from greater than 50% to below 2%" on GPT-family models with minimal impact on task efficacy. Because our threat model, model scale and outcome variable all differ, we re-implement it inside our own pipeline rather than quoting that figure as a comparison (§VI).</w:t>
      </w:r>
    </w:p>
    <w:p>
      <w:pPr>
        <w:spacing w:after="80" w:before="0" w:line="254" w:lineRule="auto"/>
        <w:jc w:val="both"/>
      </w:pPr>
      <w:r>
        <w:rPr>
          <w:rFonts w:ascii="Times New Roman" w:hAnsi="Times New Roman"/>
          <w:b/>
          <w:i w:val="0"/>
          <w:color w:val="000000"/>
          <w:sz w:val="20"/>
        </w:rPr>
        <w:t>Gate-level defenses.</w:t>
      </w:r>
      <w:r>
        <w:rPr>
          <w:rFonts w:ascii="Times New Roman" w:hAnsi="Times New Roman"/>
          <w:b w:val="0"/>
          <w:i w:val="0"/>
          <w:color w:val="000000"/>
          <w:sz w:val="20"/>
        </w:rPr>
        <w:t xml:space="preserve"> AgentDojo evaluates several, and reports that "our simple tool filtering defense is particularly effective, lowering the attack success rate to 7.5%" [2]. Our Layer 4 belongs to this family, and §V reports it as redundant rather than contributing on our corpus.</w:t>
      </w:r>
    </w:p>
    <w:p>
      <w:pPr>
        <w:spacing w:after="80" w:before="0" w:line="254" w:lineRule="auto"/>
        <w:jc w:val="both"/>
      </w:pPr>
      <w:r>
        <w:rPr>
          <w:rFonts w:ascii="Times New Roman" w:hAnsi="Times New Roman"/>
          <w:b/>
          <w:i w:val="0"/>
          <w:color w:val="000000"/>
          <w:sz w:val="20"/>
        </w:rPr>
        <w:t>Detector-based defenses.</w:t>
      </w:r>
      <w:r>
        <w:rPr>
          <w:rFonts w:ascii="Times New Roman" w:hAnsi="Times New Roman"/>
          <w:b w:val="0"/>
          <w:i w:val="0"/>
          <w:color w:val="000000"/>
          <w:sz w:val="20"/>
        </w:rPr>
        <w:t xml:space="preserve"> A substantial line of work trains or probes classifiers to flag injected instructions in text. PIShield [4] compares nine such systems on short- and long-context benchmarks, reporting average false-positive rates from 0.5% to 40.3% and average false-negative rates from 1.4% to 75.9%. These systems classify a </w:t>
      </w:r>
      <w:r>
        <w:rPr>
          <w:rFonts w:ascii="Times New Roman" w:hAnsi="Times New Roman"/>
          <w:b w:val="0"/>
          <w:i/>
          <w:color w:val="000000"/>
          <w:sz w:val="20"/>
        </w:rPr>
        <w:t>text prompt</w:t>
      </w:r>
      <w:r>
        <w:rPr>
          <w:rFonts w:ascii="Times New Roman" w:hAnsi="Times New Roman"/>
          <w:b w:val="0"/>
          <w:i w:val="0"/>
          <w:color w:val="000000"/>
          <w:sz w:val="20"/>
        </w:rPr>
        <w:t xml:space="preserve">; ours classifies a </w:t>
      </w:r>
      <w:r>
        <w:rPr>
          <w:rFonts w:ascii="Times New Roman" w:hAnsi="Times New Roman"/>
          <w:b w:val="0"/>
          <w:i/>
          <w:color w:val="000000"/>
          <w:sz w:val="20"/>
        </w:rPr>
        <w:t>turn of an agent loop</w:t>
      </w:r>
      <w:r>
        <w:rPr>
          <w:rFonts w:ascii="Times New Roman" w:hAnsi="Times New Roman"/>
          <w:b w:val="0"/>
          <w:i w:val="0"/>
          <w:color w:val="000000"/>
          <w:sz w:val="20"/>
        </w:rPr>
        <w:t>, and its input is a behavioural contrast rather than the text itself. §XI positions our numbers against theirs and states precisely why the comparison is indicative rather than like-for-like.</w:t>
      </w:r>
    </w:p>
    <w:p>
      <w:pPr>
        <w:spacing w:after="80" w:before="0" w:line="254" w:lineRule="auto"/>
        <w:jc w:val="both"/>
      </w:pPr>
      <w:r>
        <w:rPr>
          <w:rFonts w:ascii="Times New Roman" w:hAnsi="Times New Roman"/>
          <w:b/>
          <w:i w:val="0"/>
          <w:color w:val="000000"/>
          <w:sz w:val="20"/>
        </w:rPr>
        <w:t>What is missing, and what this paper supplies.</w:t>
      </w:r>
      <w:r>
        <w:rPr>
          <w:rFonts w:ascii="Times New Roman" w:hAnsi="Times New Roman"/>
          <w:b w:val="0"/>
          <w:i w:val="0"/>
          <w:color w:val="000000"/>
          <w:sz w:val="20"/>
        </w:rPr>
        <w:t xml:space="preserve"> Across this literature, detection results are reported pooled. We found no paper that stratifies detection by whether the injected content names a target the action can lift — which is the split that governs our results and, we argue in §XI, would not be visible in any of the tables we surveyed.</w:t>
      </w:r>
    </w:p>
    <w:p>
      <w:pPr>
        <w:spacing w:after="80" w:before="0" w:line="254" w:lineRule="auto"/>
        <w:jc w:val="both"/>
      </w:pPr>
      <w:r>
        <w:rPr>
          <w:rFonts w:ascii="Times New Roman" w:hAnsi="Times New Roman"/>
          <w:b/>
          <w:i w:val="0"/>
          <w:color w:val="000000"/>
          <w:sz w:val="20"/>
        </w:rPr>
        <w:t>[TO COMPLETE: the project's vault carries reviewed notes on AgentSentry, AutoMalTool, MCPSecBench, MCP-RiskCue, ETDI and a Model Context Protocol security survey, each of which motivates a specific layer of the architecture. Their full bibliographic entries are not yet transcribed and are marked in the reference list.]</w:t>
      </w:r>
    </w:p>
    <w:p>
      <w:pPr>
        <w:spacing w:after="100" w:before="240" w:line="254" w:lineRule="auto"/>
        <w:jc w:val="left"/>
      </w:pPr>
      <w:r>
        <w:rPr>
          <w:rFonts w:ascii="Times New Roman" w:hAnsi="Times New Roman"/>
          <w:b/>
          <w:i w:val="0"/>
          <w:color w:val="000000"/>
          <w:sz w:val="22"/>
        </w:rPr>
        <w:t>III. THREAT MODEL AND SYSTEM ARCHITECTURE</w:t>
      </w:r>
    </w:p>
    <w:p>
      <w:pPr>
        <w:spacing w:after="60" w:before="160" w:line="254" w:lineRule="auto"/>
        <w:jc w:val="left"/>
      </w:pPr>
      <w:r>
        <w:rPr>
          <w:rFonts w:ascii="Times New Roman" w:hAnsi="Times New Roman"/>
          <w:b/>
          <w:i/>
          <w:color w:val="000000"/>
          <w:sz w:val="20"/>
        </w:rPr>
        <w:t>A. Threat model</w:t>
      </w:r>
    </w:p>
    <w:p>
      <w:pPr>
        <w:spacing w:after="80" w:before="0" w:line="254" w:lineRule="auto"/>
        <w:jc w:val="both"/>
      </w:pPr>
      <w:r>
        <w:rPr>
          <w:rFonts w:ascii="Times New Roman" w:hAnsi="Times New Roman"/>
          <w:b/>
          <w:i w:val="0"/>
          <w:color w:val="000000"/>
          <w:sz w:val="20"/>
        </w:rPr>
        <w:t>The attacker</w:t>
      </w:r>
      <w:r>
        <w:rPr>
          <w:rFonts w:ascii="Times New Roman" w:hAnsi="Times New Roman"/>
          <w:b w:val="0"/>
          <w:i w:val="0"/>
          <w:color w:val="000000"/>
          <w:sz w:val="20"/>
        </w:rPr>
        <w:t xml:space="preserve"> writes content that an agent will later read as tool output: an email body, a support ticket, a document comment, a build log, an API response. They cannot see or modify the user's prompt, the system prompt, or the model weights, and they do not know when or whether their content will be read.</w:t>
      </w:r>
    </w:p>
    <w:p>
      <w:pPr>
        <w:spacing w:after="80" w:before="0" w:line="254" w:lineRule="auto"/>
        <w:jc w:val="both"/>
      </w:pPr>
      <w:r>
        <w:rPr>
          <w:rFonts w:ascii="Times New Roman" w:hAnsi="Times New Roman"/>
          <w:b/>
          <w:i w:val="0"/>
          <w:color w:val="000000"/>
          <w:sz w:val="20"/>
        </w:rPr>
        <w:t>The mediator</w:t>
      </w:r>
      <w:r>
        <w:rPr>
          <w:rFonts w:ascii="Times New Roman" w:hAnsi="Times New Roman"/>
          <w:b w:val="0"/>
          <w:i w:val="0"/>
          <w:color w:val="000000"/>
          <w:sz w:val="20"/>
        </w:rPr>
        <w:t xml:space="preserve"> is that untrusted span. Everything in this paper turns on boundaries where a mediator enters the agent's context and an action follows.</w:t>
      </w:r>
    </w:p>
    <w:p>
      <w:pPr>
        <w:spacing w:after="80" w:before="0" w:line="254" w:lineRule="auto"/>
        <w:jc w:val="both"/>
      </w:pPr>
      <w:r>
        <w:rPr>
          <w:rFonts w:ascii="Times New Roman" w:hAnsi="Times New Roman"/>
          <w:b/>
          <w:i w:val="0"/>
          <w:color w:val="000000"/>
          <w:sz w:val="20"/>
        </w:rPr>
        <w:t>Success</w:t>
      </w:r>
      <w:r>
        <w:rPr>
          <w:rFonts w:ascii="Times New Roman" w:hAnsi="Times New Roman"/>
          <w:b w:val="0"/>
          <w:i w:val="0"/>
          <w:color w:val="000000"/>
          <w:sz w:val="20"/>
        </w:rPr>
        <w:t xml:space="preserve">, for the attacker, is the agent taking an action the user did not ask for and would not sanction — exfiltrating data, contacting a new recipient, enumerating credentials, changing a permission. We measure this as </w:t>
      </w:r>
      <w:r>
        <w:rPr>
          <w:rFonts w:ascii="Times New Roman" w:hAnsi="Times New Roman"/>
          <w:b/>
          <w:i w:val="0"/>
          <w:color w:val="000000"/>
          <w:sz w:val="20"/>
        </w:rPr>
        <w:t>attack success rate (ASR)</w:t>
      </w:r>
      <w:r>
        <w:rPr>
          <w:rFonts w:ascii="Times New Roman" w:hAnsi="Times New Roman"/>
          <w:b w:val="0"/>
          <w:i w:val="0"/>
          <w:color w:val="000000"/>
          <w:sz w:val="20"/>
        </w:rPr>
        <w:t xml:space="preserve"> at the point of tool invocation, after every gate.</w:t>
      </w:r>
    </w:p>
    <w:p>
      <w:pPr>
        <w:spacing w:after="80" w:before="0" w:line="254" w:lineRule="auto"/>
        <w:jc w:val="both"/>
      </w:pPr>
      <w:r>
        <w:rPr>
          <w:rFonts w:ascii="Times New Roman" w:hAnsi="Times New Roman"/>
          <w:b/>
          <w:i w:val="0"/>
          <w:color w:val="000000"/>
          <w:sz w:val="20"/>
        </w:rPr>
        <w:t>Two secondary outcomes</w:t>
      </w:r>
      <w:r>
        <w:rPr>
          <w:rFonts w:ascii="Times New Roman" w:hAnsi="Times New Roman"/>
          <w:b w:val="0"/>
          <w:i w:val="0"/>
          <w:color w:val="000000"/>
          <w:sz w:val="20"/>
        </w:rPr>
        <w:t xml:space="preserve"> matter and are reported separately, because a defense optimising one while destroying the other is not a defense:</w:t>
      </w:r>
    </w:p>
    <w:p>
      <w:pPr>
        <w:spacing w:after="40" w:before="0" w:line="254" w:lineRule="auto"/>
        <w:ind w:left="360" w:hanging="216"/>
        <w:jc w:val="both"/>
      </w:pPr>
      <w:r>
        <w:rPr>
          <w:rFonts w:ascii="Times New Roman" w:hAnsi="Times New Roman"/>
          <w:b w:val="0"/>
          <w:i w:val="0"/>
          <w:color w:val="000000"/>
          <w:sz w:val="20"/>
        </w:rPr>
        <w:t xml:space="preserve">— </w:t>
      </w:r>
      <w:r>
        <w:rPr>
          <w:rFonts w:ascii="Times New Roman" w:hAnsi="Times New Roman"/>
          <w:b/>
          <w:i w:val="0"/>
          <w:color w:val="000000"/>
          <w:sz w:val="20"/>
        </w:rPr>
        <w:t>Workflow continuation rate (WCR)</w:t>
      </w:r>
      <w:r>
        <w:rPr>
          <w:rFonts w:ascii="Times New Roman" w:hAnsi="Times New Roman"/>
          <w:b w:val="0"/>
          <w:i w:val="0"/>
          <w:color w:val="000000"/>
          <w:sz w:val="20"/>
        </w:rPr>
        <w:t xml:space="preserve"> — the agent completes the user's genuine task despite the injection, rather than refusing wholesale. A defense that blocks everything scores ASR 0 and is useless.</w:t>
      </w:r>
    </w:p>
    <w:p>
      <w:pPr>
        <w:spacing w:after="40" w:before="0" w:line="254" w:lineRule="auto"/>
        <w:ind w:left="360" w:hanging="216"/>
        <w:jc w:val="both"/>
      </w:pPr>
      <w:r>
        <w:rPr>
          <w:rFonts w:ascii="Times New Roman" w:hAnsi="Times New Roman"/>
          <w:b w:val="0"/>
          <w:i w:val="0"/>
          <w:color w:val="000000"/>
          <w:sz w:val="20"/>
        </w:rPr>
        <w:t xml:space="preserve">— </w:t>
      </w:r>
      <w:r>
        <w:rPr>
          <w:rFonts w:ascii="Times New Roman" w:hAnsi="Times New Roman"/>
          <w:b/>
          <w:i w:val="0"/>
          <w:color w:val="000000"/>
          <w:sz w:val="20"/>
        </w:rPr>
        <w:t>False positive rate (FPR)</w:t>
      </w:r>
      <w:r>
        <w:rPr>
          <w:rFonts w:ascii="Times New Roman" w:hAnsi="Times New Roman"/>
          <w:b w:val="0"/>
          <w:i w:val="0"/>
          <w:color w:val="000000"/>
          <w:sz w:val="20"/>
        </w:rPr>
        <w:t xml:space="preserve"> — benign documents wrongly flagged, measured on externally-authored benign content rather than our own.</w:t>
      </w:r>
    </w:p>
    <w:p>
      <w:pPr>
        <w:spacing w:after="80" w:before="0" w:line="254" w:lineRule="auto"/>
        <w:jc w:val="both"/>
      </w:pPr>
      <w:r>
        <w:rPr>
          <w:rFonts w:ascii="Times New Roman" w:hAnsi="Times New Roman"/>
          <w:b/>
          <w:i w:val="0"/>
          <w:color w:val="000000"/>
          <w:sz w:val="20"/>
        </w:rPr>
        <w:t>Out of scope:</w:t>
      </w:r>
      <w:r>
        <w:rPr>
          <w:rFonts w:ascii="Times New Roman" w:hAnsi="Times New Roman"/>
          <w:b w:val="0"/>
          <w:i w:val="0"/>
          <w:color w:val="000000"/>
          <w:sz w:val="20"/>
        </w:rPr>
        <w:t xml:space="preserve"> attacks on the model weights, compromised servers issuing correct-looking protocol traffic, and deception of the human reviewer. The supply-chain layer screens server manifests but we do not evaluate it here; §V explains why, and §VII tests that boundary.</w:t>
      </w:r>
    </w:p>
    <w:p>
      <w:pPr>
        <w:spacing w:after="60" w:before="160" w:line="254" w:lineRule="auto"/>
        <w:jc w:val="left"/>
      </w:pPr>
      <w:r>
        <w:rPr>
          <w:rFonts w:ascii="Times New Roman" w:hAnsi="Times New Roman"/>
          <w:b/>
          <w:i/>
          <w:color w:val="000000"/>
          <w:sz w:val="20"/>
        </w:rPr>
        <w:t>B. A distinction the evaluation forced</w:t>
      </w:r>
    </w:p>
    <w:p>
      <w:pPr>
        <w:spacing w:after="80" w:before="0" w:line="254" w:lineRule="auto"/>
        <w:jc w:val="both"/>
      </w:pPr>
      <w:r>
        <w:rPr>
          <w:rFonts w:ascii="Times New Roman" w:hAnsi="Times New Roman"/>
          <w:b w:val="0"/>
          <w:i w:val="0"/>
          <w:color w:val="000000"/>
          <w:sz w:val="20"/>
        </w:rPr>
        <w:t xml:space="preserve">Two experimental setups appear in this paper and </w:t>
      </w:r>
      <w:r>
        <w:rPr>
          <w:rFonts w:ascii="Times New Roman" w:hAnsi="Times New Roman"/>
          <w:b/>
          <w:i w:val="0"/>
          <w:color w:val="000000"/>
          <w:sz w:val="20"/>
        </w:rPr>
        <w:t>must not be pooled</w:t>
      </w:r>
      <w:r>
        <w:rPr>
          <w:rFonts w:ascii="Times New Roman" w:hAnsi="Times New Roman"/>
          <w:b w:val="0"/>
          <w:i w:val="0"/>
          <w:color w:val="000000"/>
          <w:sz w:val="20"/>
        </w:rPr>
        <w:t>:</w:t>
      </w:r>
    </w:p>
    <w:p>
      <w:pPr>
        <w:spacing w:after="40" w:before="0" w:line="254" w:lineRule="auto"/>
        <w:ind w:left="360" w:hanging="216"/>
        <w:jc w:val="both"/>
      </w:pPr>
      <w:r>
        <w:rPr>
          <w:rFonts w:ascii="Times New Roman" w:hAnsi="Times New Roman"/>
          <w:b w:val="0"/>
          <w:i w:val="0"/>
          <w:color w:val="000000"/>
          <w:sz w:val="20"/>
        </w:rPr>
        <w:t xml:space="preserve">— </w:t>
      </w:r>
      <w:r>
        <w:rPr>
          <w:rFonts w:ascii="Times New Roman" w:hAnsi="Times New Roman"/>
          <w:b/>
          <w:i w:val="0"/>
          <w:color w:val="000000"/>
          <w:sz w:val="20"/>
        </w:rPr>
        <w:t>Supplied action</w:t>
      </w:r>
      <w:r>
        <w:rPr>
          <w:rFonts w:ascii="Times New Roman" w:hAnsi="Times New Roman"/>
          <w:b w:val="0"/>
          <w:i w:val="0"/>
          <w:color w:val="000000"/>
          <w:sz w:val="20"/>
        </w:rPr>
        <w:t xml:space="preserve"> — the pipeline is handed a proposed action and judges it. This isolates the detector.</w:t>
      </w:r>
    </w:p>
    <w:p>
      <w:pPr>
        <w:spacing w:after="40" w:before="0" w:line="254" w:lineRule="auto"/>
        <w:ind w:left="360" w:hanging="216"/>
        <w:jc w:val="both"/>
      </w:pPr>
      <w:r>
        <w:rPr>
          <w:rFonts w:ascii="Times New Roman" w:hAnsi="Times New Roman"/>
          <w:b w:val="0"/>
          <w:i w:val="0"/>
          <w:color w:val="000000"/>
          <w:sz w:val="20"/>
        </w:rPr>
        <w:t xml:space="preserve">— </w:t>
      </w:r>
      <w:r>
        <w:rPr>
          <w:rFonts w:ascii="Times New Roman" w:hAnsi="Times New Roman"/>
          <w:b/>
          <w:i w:val="0"/>
          <w:color w:val="000000"/>
          <w:sz w:val="20"/>
        </w:rPr>
        <w:t>Derived action</w:t>
      </w:r>
      <w:r>
        <w:rPr>
          <w:rFonts w:ascii="Times New Roman" w:hAnsi="Times New Roman"/>
          <w:b w:val="0"/>
          <w:i w:val="0"/>
          <w:color w:val="000000"/>
          <w:sz w:val="20"/>
        </w:rPr>
        <w:t xml:space="preserve"> — the agent selects its own action from the user's goal and the mediator. This is required to evaluate any prompt-level defense, since those defend </w:t>
      </w:r>
      <w:r>
        <w:rPr>
          <w:rFonts w:ascii="Times New Roman" w:hAnsi="Times New Roman"/>
          <w:b w:val="0"/>
          <w:i/>
          <w:color w:val="000000"/>
          <w:sz w:val="20"/>
        </w:rPr>
        <w:t>action selection</w:t>
      </w:r>
      <w:r>
        <w:rPr>
          <w:rFonts w:ascii="Times New Roman" w:hAnsi="Times New Roman"/>
          <w:b w:val="0"/>
          <w:i w:val="0"/>
          <w:color w:val="000000"/>
          <w:sz w:val="20"/>
        </w:rPr>
        <w:t>, and there is nothing to defend when the action arrives pre-formed.</w:t>
      </w:r>
    </w:p>
    <w:p>
      <w:pPr>
        <w:spacing w:after="80" w:before="0" w:line="254" w:lineRule="auto"/>
        <w:jc w:val="both"/>
      </w:pPr>
      <w:r>
        <w:rPr>
          <w:rFonts w:ascii="Times New Roman" w:hAnsi="Times New Roman"/>
          <w:b w:val="0"/>
          <w:i w:val="0"/>
          <w:color w:val="000000"/>
          <w:sz w:val="20"/>
        </w:rPr>
        <w:t>ASR under the two is not comparable, and we never place them in one table. §VI's baseline comparison is derived-action; §V and §VII are supplied-action.</w:t>
      </w:r>
    </w:p>
    <w:p>
      <w:pPr>
        <w:spacing w:after="60" w:before="160" w:line="254" w:lineRule="auto"/>
        <w:jc w:val="left"/>
      </w:pPr>
      <w:r>
        <w:rPr>
          <w:rFonts w:ascii="Times New Roman" w:hAnsi="Times New Roman"/>
          <w:b/>
          <w:i/>
          <w:color w:val="000000"/>
          <w:sz w:val="20"/>
        </w:rPr>
        <w:t>C. Architecture</w:t>
      </w:r>
    </w:p>
    <w:p>
      <w:pPr>
        <w:spacing w:before="160" w:after="60"/>
        <w:jc w:val="center"/>
      </w:pPr>
      <w:r>
        <w:drawing>
          <wp:inline xmlns:a="http://schemas.openxmlformats.org/drawingml/2006/main" xmlns:pic="http://schemas.openxmlformats.org/drawingml/2006/picture">
            <wp:extent cx="5416854" cy="2834640"/>
            <wp:docPr id="1" name="Picture 1"/>
            <wp:cNvGraphicFramePr>
              <a:graphicFrameLocks noChangeAspect="1"/>
            </wp:cNvGraphicFramePr>
            <a:graphic>
              <a:graphicData uri="http://schemas.openxmlformats.org/drawingml/2006/picture">
                <pic:pic>
                  <pic:nvPicPr>
                    <pic:cNvPr id="0" name="fig0_architecture.png"/>
                    <pic:cNvPicPr/>
                  </pic:nvPicPr>
                  <pic:blipFill>
                    <a:blip r:embed="rId10"/>
                    <a:stretch>
                      <a:fillRect/>
                    </a:stretch>
                  </pic:blipFill>
                  <pic:spPr>
                    <a:xfrm>
                      <a:off x="0" y="0"/>
                      <a:ext cx="5416854" cy="2834640"/>
                    </a:xfrm>
                    <a:prstGeom prst="rect"/>
                  </pic:spPr>
                </pic:pic>
              </a:graphicData>
            </a:graphic>
          </wp:inline>
        </w:drawing>
      </w:r>
    </w:p>
    <w:p>
      <w:pPr>
        <w:spacing w:after="180" w:before="0" w:line="254" w:lineRule="auto"/>
        <w:ind w:left="0"/>
        <w:jc w:val="left"/>
      </w:pPr>
      <w:r>
        <w:rPr>
          <w:rFonts w:ascii="Times New Roman" w:hAnsi="Times New Roman"/>
          <w:b/>
          <w:i w:val="0"/>
          <w:color w:val="444A53"/>
          <w:sz w:val="17"/>
        </w:rPr>
        <w:t>Fig. 1.</w:t>
      </w:r>
      <w:r>
        <w:rPr>
          <w:rFonts w:ascii="Times New Roman" w:hAnsi="Times New Roman"/>
          <w:b w:val="0"/>
          <w:i w:val="0"/>
          <w:color w:val="444A53"/>
          <w:sz w:val="17"/>
        </w:rPr>
        <w:t xml:space="preserve"> The AdaptiShield pipeline. Six layers, with the security sub-layer inside Layer 2 expanded. Components drawn in colour are the two that move a measured outcome (§V); those drawn muted change neither outcome on our corpus.</w:t>
      </w:r>
    </w:p>
    <w:p>
      <w:pPr>
        <w:spacing w:after="80" w:before="0" w:line="254" w:lineRule="auto"/>
        <w:jc w:val="both"/>
      </w:pPr>
      <w:r>
        <w:rPr>
          <w:rFonts w:ascii="Times New Roman" w:hAnsi="Times New Roman"/>
          <w:b w:val="0"/>
          <w:i w:val="0"/>
          <w:color w:val="000000"/>
          <w:sz w:val="20"/>
        </w:rPr>
        <w:t>Six layers compose the pipeline (Table I). Requests traverse the stack and each layer may refuse.</w:t>
      </w:r>
    </w:p>
    <w:tbl>
      <w:tblPr>
        <w:tblStyle w:val="TableGrid"/>
        <w:tblW w:type="auto" w:w="0"/>
        <w:jc w:val="center"/>
        <w:tblLayout w:type="fixed"/>
        <w:tblLook w:firstColumn="1" w:firstRow="1" w:lastColumn="0" w:lastRow="0" w:noHBand="0" w:noVBand="1" w:val="04A0"/>
      </w:tblPr>
      <w:tblGrid>
        <w:gridCol w:w="1189"/>
        <w:gridCol w:w="8171"/>
      </w:tblGrid>
      <w:tr>
        <w:tc>
          <w:tcPr>
            <w:tcW w:type="dxa" w:w="1189"/>
            <w:shd w:val="clear" w:fill="EDF1F5"/>
          </w:tcPr>
          <w:p>
            <w:pPr>
              <w:spacing w:after="20" w:before="20"/>
              <w:jc w:val="left"/>
            </w:pPr>
            <w:r>
              <w:rPr>
                <w:rFonts w:ascii="Times New Roman" w:hAnsi="Times New Roman"/>
                <w:b/>
                <w:i w:val="0"/>
                <w:color w:val="000000"/>
                <w:sz w:val="17"/>
              </w:rPr>
              <w:t>Layer</w:t>
            </w:r>
          </w:p>
        </w:tc>
        <w:tc>
          <w:tcPr>
            <w:tcW w:type="dxa" w:w="8171"/>
            <w:shd w:val="clear" w:fill="EDF1F5"/>
          </w:tcPr>
          <w:p>
            <w:pPr>
              <w:spacing w:after="20" w:before="20"/>
              <w:jc w:val="left"/>
            </w:pPr>
            <w:r>
              <w:rPr>
                <w:rFonts w:ascii="Times New Roman" w:hAnsi="Times New Roman"/>
                <w:b/>
                <w:i w:val="0"/>
                <w:color w:val="000000"/>
                <w:sz w:val="17"/>
              </w:rPr>
              <w:t>Role</w:t>
            </w:r>
          </w:p>
        </w:tc>
      </w:tr>
      <w:tr>
        <w:tc>
          <w:tcPr>
            <w:tcW w:type="dxa" w:w="1189"/>
          </w:tcPr>
          <w:p>
            <w:pPr>
              <w:spacing w:after="20" w:before="20"/>
              <w:jc w:val="left"/>
            </w:pPr>
            <w:r>
              <w:rPr>
                <w:rFonts w:ascii="Times New Roman" w:hAnsi="Times New Roman"/>
                <w:b w:val="0"/>
                <w:i w:val="0"/>
                <w:color w:val="000000"/>
                <w:sz w:val="17"/>
              </w:rPr>
              <w:t>0</w:t>
            </w:r>
          </w:p>
        </w:tc>
        <w:tc>
          <w:tcPr>
            <w:tcW w:type="dxa" w:w="8171"/>
          </w:tcPr>
          <w:p>
            <w:pPr>
              <w:spacing w:after="20" w:before="20"/>
              <w:jc w:val="left"/>
            </w:pPr>
            <w:r>
              <w:rPr>
                <w:rFonts w:ascii="Times New Roman" w:hAnsi="Times New Roman"/>
                <w:b w:val="0"/>
                <w:i w:val="0"/>
                <w:color w:val="000000"/>
                <w:sz w:val="17"/>
              </w:rPr>
              <w:t>Transport and server trust — registry, allowlist, rug-pull detection</w:t>
            </w:r>
          </w:p>
        </w:tc>
      </w:tr>
      <w:tr>
        <w:tc>
          <w:tcPr>
            <w:tcW w:type="dxa" w:w="1189"/>
          </w:tcPr>
          <w:p>
            <w:pPr>
              <w:spacing w:after="20" w:before="20"/>
              <w:jc w:val="left"/>
            </w:pPr>
            <w:r>
              <w:rPr>
                <w:rFonts w:ascii="Times New Roman" w:hAnsi="Times New Roman"/>
                <w:b w:val="0"/>
                <w:i w:val="0"/>
                <w:color w:val="000000"/>
                <w:sz w:val="17"/>
              </w:rPr>
              <w:t>1</w:t>
            </w:r>
          </w:p>
        </w:tc>
        <w:tc>
          <w:tcPr>
            <w:tcW w:type="dxa" w:w="8171"/>
          </w:tcPr>
          <w:p>
            <w:pPr>
              <w:spacing w:after="20" w:before="20"/>
              <w:jc w:val="left"/>
            </w:pPr>
            <w:r>
              <w:rPr>
                <w:rFonts w:ascii="Times New Roman" w:hAnsi="Times New Roman"/>
                <w:b w:val="0"/>
                <w:i w:val="0"/>
                <w:color w:val="000000"/>
                <w:sz w:val="17"/>
              </w:rPr>
              <w:t>Input and supply-chain screening — parsing, context assembly, provenance</w:t>
            </w:r>
          </w:p>
        </w:tc>
      </w:tr>
      <w:tr>
        <w:tc>
          <w:tcPr>
            <w:tcW w:type="dxa" w:w="1189"/>
          </w:tcPr>
          <w:p>
            <w:pPr>
              <w:spacing w:after="20" w:before="20"/>
              <w:jc w:val="left"/>
            </w:pPr>
            <w:r>
              <w:rPr>
                <w:rFonts w:ascii="Times New Roman" w:hAnsi="Times New Roman"/>
                <w:b w:val="0"/>
                <w:i w:val="0"/>
                <w:color w:val="000000"/>
                <w:sz w:val="17"/>
              </w:rPr>
              <w:t>2</w:t>
            </w:r>
          </w:p>
        </w:tc>
        <w:tc>
          <w:tcPr>
            <w:tcW w:type="dxa" w:w="8171"/>
          </w:tcPr>
          <w:p>
            <w:pPr>
              <w:spacing w:after="20" w:before="20"/>
              <w:jc w:val="left"/>
            </w:pPr>
            <w:r>
              <w:rPr>
                <w:rFonts w:ascii="Times New Roman" w:hAnsi="Times New Roman"/>
                <w:b w:val="0"/>
                <w:i w:val="0"/>
                <w:color w:val="000000"/>
                <w:sz w:val="17"/>
              </w:rPr>
              <w:t>Agent control plane, containing the security sub-layer 3A–3D</w:t>
            </w:r>
          </w:p>
        </w:tc>
      </w:tr>
      <w:tr>
        <w:tc>
          <w:tcPr>
            <w:tcW w:type="dxa" w:w="1189"/>
          </w:tcPr>
          <w:p>
            <w:pPr>
              <w:spacing w:after="20" w:before="20"/>
              <w:jc w:val="left"/>
            </w:pPr>
            <w:r>
              <w:rPr>
                <w:rFonts w:ascii="Times New Roman" w:hAnsi="Times New Roman"/>
                <w:b w:val="0"/>
                <w:i w:val="0"/>
                <w:color w:val="000000"/>
                <w:sz w:val="17"/>
              </w:rPr>
              <w:t>3</w:t>
            </w:r>
          </w:p>
        </w:tc>
        <w:tc>
          <w:tcPr>
            <w:tcW w:type="dxa" w:w="8171"/>
          </w:tcPr>
          <w:p>
            <w:pPr>
              <w:spacing w:after="20" w:before="20"/>
              <w:jc w:val="left"/>
            </w:pPr>
            <w:r>
              <w:rPr>
                <w:rFonts w:ascii="Times New Roman" w:hAnsi="Times New Roman"/>
                <w:b w:val="0"/>
                <w:i w:val="0"/>
                <w:color w:val="000000"/>
                <w:sz w:val="17"/>
              </w:rPr>
              <w:t>Tool execution plane and tool-response screener</w:t>
            </w:r>
          </w:p>
        </w:tc>
      </w:tr>
      <w:tr>
        <w:tc>
          <w:tcPr>
            <w:tcW w:type="dxa" w:w="1189"/>
          </w:tcPr>
          <w:p>
            <w:pPr>
              <w:spacing w:after="20" w:before="20"/>
              <w:jc w:val="left"/>
            </w:pPr>
            <w:r>
              <w:rPr>
                <w:rFonts w:ascii="Times New Roman" w:hAnsi="Times New Roman"/>
                <w:b w:val="0"/>
                <w:i w:val="0"/>
                <w:color w:val="000000"/>
                <w:sz w:val="17"/>
              </w:rPr>
              <w:t>4</w:t>
            </w:r>
          </w:p>
        </w:tc>
        <w:tc>
          <w:tcPr>
            <w:tcW w:type="dxa" w:w="8171"/>
          </w:tcPr>
          <w:p>
            <w:pPr>
              <w:spacing w:after="20" w:before="20"/>
              <w:jc w:val="left"/>
            </w:pPr>
            <w:r>
              <w:rPr>
                <w:rFonts w:ascii="Times New Roman" w:hAnsi="Times New Roman"/>
                <w:b w:val="0"/>
                <w:i w:val="0"/>
                <w:color w:val="000000"/>
                <w:sz w:val="17"/>
              </w:rPr>
              <w:t>Sandbox and isolation — permission scope, egress allowlist, container, telemetry</w:t>
            </w:r>
          </w:p>
        </w:tc>
      </w:tr>
      <w:tr>
        <w:tc>
          <w:tcPr>
            <w:tcW w:type="dxa" w:w="1189"/>
          </w:tcPr>
          <w:p>
            <w:pPr>
              <w:spacing w:after="20" w:before="20"/>
              <w:jc w:val="left"/>
            </w:pPr>
            <w:r>
              <w:rPr>
                <w:rFonts w:ascii="Times New Roman" w:hAnsi="Times New Roman"/>
                <w:b w:val="0"/>
                <w:i w:val="0"/>
                <w:color w:val="000000"/>
                <w:sz w:val="17"/>
              </w:rPr>
              <w:t>5</w:t>
            </w:r>
          </w:p>
        </w:tc>
        <w:tc>
          <w:tcPr>
            <w:tcW w:type="dxa" w:w="8171"/>
          </w:tcPr>
          <w:p>
            <w:pPr>
              <w:spacing w:after="20" w:before="20"/>
              <w:jc w:val="left"/>
            </w:pPr>
            <w:r>
              <w:rPr>
                <w:rFonts w:ascii="Times New Roman" w:hAnsi="Times New Roman"/>
                <w:b w:val="0"/>
                <w:i w:val="0"/>
                <w:color w:val="000000"/>
                <w:sz w:val="17"/>
              </w:rPr>
              <w:t>Human-in-the-loop review and observability</w:t>
            </w:r>
          </w:p>
        </w:tc>
      </w:tr>
    </w:tbl>
    <w:p>
      <w:pPr>
        <w:spacing w:after="160" w:before="0" w:line="254" w:lineRule="auto"/>
        <w:jc w:val="left"/>
      </w:pPr>
      <w:r>
        <w:rPr>
          <w:rFonts w:ascii="Times New Roman" w:hAnsi="Times New Roman"/>
          <w:b/>
          <w:i w:val="0"/>
          <w:color w:val="444A53"/>
          <w:sz w:val="17"/>
        </w:rPr>
        <w:t>Table I.</w:t>
      </w:r>
      <w:r>
        <w:rPr>
          <w:rFonts w:ascii="Times New Roman" w:hAnsi="Times New Roman"/>
          <w:b w:val="0"/>
          <w:i w:val="0"/>
          <w:color w:val="444A53"/>
          <w:sz w:val="17"/>
        </w:rPr>
        <w:t xml:space="preserve"> The six layers. The contribution sits inside Layer 2.</w:t>
      </w:r>
    </w:p>
    <w:p>
      <w:pPr>
        <w:spacing w:after="80" w:before="0" w:line="254" w:lineRule="auto"/>
        <w:jc w:val="both"/>
      </w:pPr>
      <w:r>
        <w:rPr>
          <w:rFonts w:ascii="Times New Roman" w:hAnsi="Times New Roman"/>
          <w:b w:val="0"/>
          <w:i w:val="0"/>
          <w:color w:val="000000"/>
          <w:sz w:val="20"/>
        </w:rPr>
        <w:t>The security sub-layer inside Layer 2 contains four components:</w:t>
      </w:r>
    </w:p>
    <w:p>
      <w:pPr>
        <w:spacing w:after="40" w:before="0" w:line="254" w:lineRule="auto"/>
        <w:ind w:left="360" w:hanging="216"/>
        <w:jc w:val="both"/>
      </w:pPr>
      <w:r>
        <w:rPr>
          <w:rFonts w:ascii="Times New Roman" w:hAnsi="Times New Roman"/>
          <w:b w:val="0"/>
          <w:i w:val="0"/>
          <w:color w:val="000000"/>
          <w:sz w:val="20"/>
        </w:rPr>
        <w:t xml:space="preserve">— </w:t>
      </w:r>
      <w:r>
        <w:rPr>
          <w:rFonts w:ascii="Times New Roman" w:hAnsi="Times New Roman"/>
          <w:b/>
          <w:i w:val="0"/>
          <w:color w:val="000000"/>
          <w:sz w:val="20"/>
        </w:rPr>
        <w:t>3A — policy engine.</w:t>
      </w:r>
      <w:r>
        <w:rPr>
          <w:rFonts w:ascii="Times New Roman" w:hAnsi="Times New Roman"/>
          <w:b w:val="0"/>
          <w:i w:val="0"/>
          <w:color w:val="000000"/>
          <w:sz w:val="20"/>
        </w:rPr>
        <w:t xml:space="preserve"> Static pattern and tool-category rules; routes high-impact tools to causal evaluation.</w:t>
      </w:r>
    </w:p>
    <w:p>
      <w:pPr>
        <w:spacing w:after="40" w:before="0" w:line="254" w:lineRule="auto"/>
        <w:ind w:left="360" w:hanging="216"/>
        <w:jc w:val="both"/>
      </w:pPr>
      <w:r>
        <w:rPr>
          <w:rFonts w:ascii="Times New Roman" w:hAnsi="Times New Roman"/>
          <w:b w:val="0"/>
          <w:i w:val="0"/>
          <w:color w:val="000000"/>
          <w:sz w:val="20"/>
        </w:rPr>
        <w:t xml:space="preserve">— </w:t>
      </w:r>
      <w:r>
        <w:rPr>
          <w:rFonts w:ascii="Times New Roman" w:hAnsi="Times New Roman"/>
          <w:b/>
          <w:i w:val="0"/>
          <w:color w:val="000000"/>
          <w:sz w:val="20"/>
        </w:rPr>
        <w:t>3B — causal analyzer.</w:t>
      </w:r>
      <w:r>
        <w:rPr>
          <w:rFonts w:ascii="Times New Roman" w:hAnsi="Times New Roman"/>
          <w:b w:val="0"/>
          <w:i w:val="0"/>
          <w:color w:val="000000"/>
          <w:sz w:val="20"/>
        </w:rPr>
        <w:t xml:space="preserve"> The subject of this paper, described below.</w:t>
      </w:r>
    </w:p>
    <w:p>
      <w:pPr>
        <w:spacing w:after="40" w:before="0" w:line="254" w:lineRule="auto"/>
        <w:ind w:left="360" w:hanging="216"/>
        <w:jc w:val="both"/>
      </w:pPr>
      <w:r>
        <w:rPr>
          <w:rFonts w:ascii="Times New Roman" w:hAnsi="Times New Roman"/>
          <w:b w:val="0"/>
          <w:i w:val="0"/>
          <w:color w:val="000000"/>
          <w:sz w:val="20"/>
        </w:rPr>
        <w:t xml:space="preserve">— </w:t>
      </w:r>
      <w:r>
        <w:rPr>
          <w:rFonts w:ascii="Times New Roman" w:hAnsi="Times New Roman"/>
          <w:b/>
          <w:i w:val="0"/>
          <w:color w:val="000000"/>
          <w:sz w:val="20"/>
        </w:rPr>
        <w:t>3C — context sanitizer.</w:t>
      </w:r>
      <w:r>
        <w:rPr>
          <w:rFonts w:ascii="Times New Roman" w:hAnsi="Times New Roman"/>
          <w:b w:val="0"/>
          <w:i w:val="0"/>
          <w:color w:val="000000"/>
          <w:sz w:val="20"/>
        </w:rPr>
        <w:t xml:space="preserve"> Runs only </w:t>
      </w:r>
      <w:r>
        <w:rPr>
          <w:rFonts w:ascii="Times New Roman" w:hAnsi="Times New Roman"/>
          <w:b w:val="0"/>
          <w:i/>
          <w:color w:val="000000"/>
          <w:sz w:val="20"/>
        </w:rPr>
        <w:t>after</w:t>
      </w:r>
      <w:r>
        <w:rPr>
          <w:rFonts w:ascii="Times New Roman" w:hAnsi="Times New Roman"/>
          <w:b w:val="0"/>
          <w:i w:val="0"/>
          <w:color w:val="000000"/>
          <w:sz w:val="20"/>
        </w:rPr>
        <w:t xml:space="preserve"> a takeover verdict, converting a blanket block into a safe continuation. Its contribution is usability, not detection — which §V shows an ASR-only ablation cannot see.</w:t>
      </w:r>
    </w:p>
    <w:p>
      <w:pPr>
        <w:spacing w:after="40" w:before="0" w:line="254" w:lineRule="auto"/>
        <w:ind w:left="360" w:hanging="216"/>
        <w:jc w:val="both"/>
      </w:pPr>
      <w:r>
        <w:rPr>
          <w:rFonts w:ascii="Times New Roman" w:hAnsi="Times New Roman"/>
          <w:b w:val="0"/>
          <w:i w:val="0"/>
          <w:color w:val="000000"/>
          <w:sz w:val="20"/>
        </w:rPr>
        <w:t xml:space="preserve">— </w:t>
      </w:r>
      <w:r>
        <w:rPr>
          <w:rFonts w:ascii="Times New Roman" w:hAnsi="Times New Roman"/>
          <w:b/>
          <w:i w:val="0"/>
          <w:color w:val="000000"/>
          <w:sz w:val="20"/>
        </w:rPr>
        <w:t>3D — adaptive threat model.</w:t>
      </w:r>
      <w:r>
        <w:rPr>
          <w:rFonts w:ascii="Times New Roman" w:hAnsi="Times New Roman"/>
          <w:b w:val="0"/>
          <w:i w:val="0"/>
          <w:color w:val="000000"/>
          <w:sz w:val="20"/>
        </w:rPr>
        <w:t xml:space="preserve"> Observes labeled outcomes and proposes configuration changes. It never touches model weights; it tunes 3A's patterns and tool set and 3B's thresholds, and every proposal requires human approval.</w:t>
      </w:r>
    </w:p>
    <w:p>
      <w:pPr>
        <w:spacing w:after="60" w:before="160" w:line="254" w:lineRule="auto"/>
        <w:jc w:val="left"/>
      </w:pPr>
      <w:r>
        <w:rPr>
          <w:rFonts w:ascii="Times New Roman" w:hAnsi="Times New Roman"/>
          <w:b/>
          <w:i/>
          <w:color w:val="000000"/>
          <w:sz w:val="20"/>
        </w:rPr>
        <w:t>D. Inside the causal analyzer</w:t>
      </w:r>
    </w:p>
    <w:p>
      <w:pPr>
        <w:spacing w:after="80" w:before="0" w:line="254" w:lineRule="auto"/>
        <w:jc w:val="both"/>
      </w:pPr>
      <w:r>
        <w:rPr>
          <w:rFonts w:ascii="Times New Roman" w:hAnsi="Times New Roman"/>
          <w:b w:val="0"/>
          <w:i w:val="0"/>
          <w:color w:val="000000"/>
          <w:sz w:val="20"/>
        </w:rPr>
        <w:t xml:space="preserve">For each boundary, the model's action selection is run under </w:t>
      </w:r>
      <w:r>
        <w:rPr>
          <w:rFonts w:ascii="Times New Roman" w:hAnsi="Times New Roman"/>
          <w:b/>
          <w:i w:val="0"/>
          <w:color w:val="000000"/>
          <w:sz w:val="20"/>
        </w:rPr>
        <w:t>four regimes</w:t>
      </w:r>
      <w:r>
        <w:rPr>
          <w:rFonts w:ascii="Times New Roman" w:hAnsi="Times New Roman"/>
          <w:b w:val="0"/>
          <w:i w:val="0"/>
          <w:color w:val="000000"/>
          <w:sz w:val="20"/>
        </w:rPr>
        <w:t xml:space="preserve"> differing only in what the model can see, each sampled </w:t>
      </w:r>
      <w:r>
        <w:rPr>
          <w:rFonts w:ascii="Times New Roman" w:hAnsi="Times New Roman"/>
          <w:b w:val="0"/>
          <w:i/>
          <w:color w:val="000000"/>
          <w:sz w:val="20"/>
        </w:rPr>
        <w:t>k</w:t>
      </w:r>
      <w:r>
        <w:rPr>
          <w:rFonts w:ascii="Times New Roman" w:hAnsi="Times New Roman"/>
          <w:b w:val="0"/>
          <w:i w:val="0"/>
          <w:color w:val="000000"/>
          <w:sz w:val="20"/>
        </w:rPr>
        <w:t xml:space="preserve"> times and scored on {0, 1, 2} (Table II).</w:t>
      </w:r>
    </w:p>
    <w:tbl>
      <w:tblPr>
        <w:tblStyle w:val="TableGrid"/>
        <w:tblW w:type="auto" w:w="0"/>
        <w:jc w:val="center"/>
        <w:tblLayout w:type="fixed"/>
        <w:tblLook w:firstColumn="1" w:firstRow="1" w:lastColumn="0" w:lastRow="0" w:noHBand="0" w:noVBand="1" w:val="04A0"/>
      </w:tblPr>
      <w:tblGrid>
        <w:gridCol w:w="1872"/>
        <w:gridCol w:w="3120"/>
        <w:gridCol w:w="4368"/>
      </w:tblGrid>
      <w:tr>
        <w:tc>
          <w:tcPr>
            <w:tcW w:type="dxa" w:w="1872"/>
            <w:shd w:val="clear" w:fill="EDF1F5"/>
          </w:tcPr>
          <w:p>
            <w:pPr>
              <w:spacing w:after="20" w:before="20"/>
              <w:jc w:val="left"/>
            </w:pPr>
            <w:r>
              <w:rPr>
                <w:rFonts w:ascii="Times New Roman" w:hAnsi="Times New Roman"/>
                <w:b/>
                <w:i w:val="0"/>
                <w:color w:val="000000"/>
                <w:sz w:val="17"/>
              </w:rPr>
              <w:t>Regime</w:t>
            </w:r>
          </w:p>
        </w:tc>
        <w:tc>
          <w:tcPr>
            <w:tcW w:type="dxa" w:w="3120"/>
            <w:shd w:val="clear" w:fill="EDF1F5"/>
          </w:tcPr>
          <w:p>
            <w:pPr>
              <w:spacing w:after="20" w:before="20"/>
              <w:jc w:val="left"/>
            </w:pPr>
            <w:r>
              <w:rPr>
                <w:rFonts w:ascii="Times New Roman" w:hAnsi="Times New Roman"/>
                <w:b/>
                <w:i w:val="0"/>
                <w:color w:val="000000"/>
                <w:sz w:val="17"/>
              </w:rPr>
              <w:t>Sees</w:t>
            </w:r>
          </w:p>
        </w:tc>
        <w:tc>
          <w:tcPr>
            <w:tcW w:type="dxa" w:w="4368"/>
            <w:shd w:val="clear" w:fill="EDF1F5"/>
          </w:tcPr>
          <w:p>
            <w:pPr>
              <w:spacing w:after="20" w:before="20"/>
              <w:jc w:val="left"/>
            </w:pPr>
            <w:r>
              <w:rPr>
                <w:rFonts w:ascii="Times New Roman" w:hAnsi="Times New Roman"/>
                <w:b/>
                <w:i w:val="0"/>
                <w:color w:val="000000"/>
                <w:sz w:val="17"/>
              </w:rPr>
              <w:t>Purpose</w:t>
            </w:r>
          </w:p>
        </w:tc>
      </w:tr>
      <w:tr>
        <w:tc>
          <w:tcPr>
            <w:tcW w:type="dxa" w:w="1872"/>
          </w:tcPr>
          <w:p>
            <w:pPr>
              <w:spacing w:after="20" w:before="20"/>
              <w:jc w:val="left"/>
            </w:pPr>
            <w:r>
              <w:rPr>
                <w:rFonts w:ascii="Consolas" w:hAnsi="Consolas"/>
                <w:b w:val="0"/>
                <w:i w:val="0"/>
                <w:color w:val="000000"/>
                <w:sz w:val="16"/>
              </w:rPr>
              <w:t>orig</w:t>
            </w:r>
          </w:p>
        </w:tc>
        <w:tc>
          <w:tcPr>
            <w:tcW w:type="dxa" w:w="3120"/>
          </w:tcPr>
          <w:p>
            <w:pPr>
              <w:spacing w:after="20" w:before="20"/>
              <w:jc w:val="left"/>
            </w:pPr>
            <w:r>
              <w:rPr>
                <w:rFonts w:ascii="Times New Roman" w:hAnsi="Times New Roman"/>
                <w:b w:val="0"/>
                <w:i w:val="0"/>
                <w:color w:val="000000"/>
                <w:sz w:val="17"/>
              </w:rPr>
              <w:t>user goal + mediator</w:t>
            </w:r>
          </w:p>
        </w:tc>
        <w:tc>
          <w:tcPr>
            <w:tcW w:type="dxa" w:w="4368"/>
          </w:tcPr>
          <w:p>
            <w:pPr>
              <w:spacing w:after="20" w:before="20"/>
              <w:jc w:val="left"/>
            </w:pPr>
            <w:r>
              <w:rPr>
                <w:rFonts w:ascii="Times New Roman" w:hAnsi="Times New Roman"/>
                <w:b w:val="0"/>
                <w:i w:val="0"/>
                <w:color w:val="000000"/>
                <w:sz w:val="17"/>
              </w:rPr>
              <w:t>baseline behaviour</w:t>
            </w:r>
          </w:p>
        </w:tc>
      </w:tr>
      <w:tr>
        <w:tc>
          <w:tcPr>
            <w:tcW w:type="dxa" w:w="1872"/>
          </w:tcPr>
          <w:p>
            <w:pPr>
              <w:spacing w:after="20" w:before="20"/>
              <w:jc w:val="left"/>
            </w:pPr>
            <w:r>
              <w:rPr>
                <w:rFonts w:ascii="Consolas" w:hAnsi="Consolas"/>
                <w:b w:val="0"/>
                <w:i w:val="0"/>
                <w:color w:val="000000"/>
                <w:sz w:val="16"/>
              </w:rPr>
              <w:t>masked</w:t>
            </w:r>
          </w:p>
        </w:tc>
        <w:tc>
          <w:tcPr>
            <w:tcW w:type="dxa" w:w="3120"/>
          </w:tcPr>
          <w:p>
            <w:pPr>
              <w:spacing w:after="20" w:before="20"/>
              <w:jc w:val="left"/>
            </w:pPr>
            <w:r>
              <w:rPr>
                <w:rFonts w:ascii="Times New Roman" w:hAnsi="Times New Roman"/>
                <w:b w:val="0"/>
                <w:i w:val="0"/>
                <w:color w:val="000000"/>
                <w:sz w:val="17"/>
              </w:rPr>
              <w:t>mediator only</w:t>
            </w:r>
          </w:p>
        </w:tc>
        <w:tc>
          <w:tcPr>
            <w:tcW w:type="dxa" w:w="4368"/>
          </w:tcPr>
          <w:p>
            <w:pPr>
              <w:spacing w:after="20" w:before="20"/>
              <w:jc w:val="left"/>
            </w:pPr>
            <w:r>
              <w:rPr>
                <w:rFonts w:ascii="Times New Roman" w:hAnsi="Times New Roman"/>
                <w:b w:val="0"/>
                <w:i w:val="0"/>
                <w:color w:val="000000"/>
                <w:sz w:val="17"/>
              </w:rPr>
              <w:t>compliance tendency with no competing task</w:t>
            </w:r>
          </w:p>
        </w:tc>
      </w:tr>
      <w:tr>
        <w:tc>
          <w:tcPr>
            <w:tcW w:type="dxa" w:w="1872"/>
          </w:tcPr>
          <w:p>
            <w:pPr>
              <w:spacing w:after="20" w:before="20"/>
              <w:jc w:val="left"/>
            </w:pPr>
            <w:r>
              <w:rPr>
                <w:rFonts w:ascii="Consolas" w:hAnsi="Consolas"/>
                <w:b w:val="0"/>
                <w:i w:val="0"/>
                <w:color w:val="000000"/>
                <w:sz w:val="16"/>
              </w:rPr>
              <w:t>masked_sanitized</w:t>
            </w:r>
          </w:p>
        </w:tc>
        <w:tc>
          <w:tcPr>
            <w:tcW w:type="dxa" w:w="3120"/>
          </w:tcPr>
          <w:p>
            <w:pPr>
              <w:spacing w:after="20" w:before="20"/>
              <w:jc w:val="left"/>
            </w:pPr>
            <w:r>
              <w:rPr>
                <w:rFonts w:ascii="Times New Roman" w:hAnsi="Times New Roman"/>
                <w:b w:val="0"/>
                <w:i w:val="0"/>
                <w:color w:val="000000"/>
                <w:sz w:val="17"/>
              </w:rPr>
              <w:t>sanitized mediator only</w:t>
            </w:r>
          </w:p>
        </w:tc>
        <w:tc>
          <w:tcPr>
            <w:tcW w:type="dxa" w:w="4368"/>
          </w:tcPr>
          <w:p>
            <w:pPr>
              <w:spacing w:after="20" w:before="20"/>
              <w:jc w:val="left"/>
            </w:pPr>
            <w:r>
              <w:rPr>
                <w:rFonts w:ascii="Times New Roman" w:hAnsi="Times New Roman"/>
                <w:b w:val="0"/>
                <w:i w:val="0"/>
                <w:color w:val="000000"/>
                <w:sz w:val="17"/>
              </w:rPr>
              <w:t>compliance after sanitisation</w:t>
            </w:r>
          </w:p>
        </w:tc>
      </w:tr>
      <w:tr>
        <w:tc>
          <w:tcPr>
            <w:tcW w:type="dxa" w:w="1872"/>
          </w:tcPr>
          <w:p>
            <w:pPr>
              <w:spacing w:after="20" w:before="20"/>
              <w:jc w:val="left"/>
            </w:pPr>
            <w:r>
              <w:rPr>
                <w:rFonts w:ascii="Consolas" w:hAnsi="Consolas"/>
                <w:b w:val="0"/>
                <w:i w:val="0"/>
                <w:color w:val="000000"/>
                <w:sz w:val="16"/>
              </w:rPr>
              <w:t>orig_sanitized</w:t>
            </w:r>
          </w:p>
        </w:tc>
        <w:tc>
          <w:tcPr>
            <w:tcW w:type="dxa" w:w="3120"/>
          </w:tcPr>
          <w:p>
            <w:pPr>
              <w:spacing w:after="20" w:before="20"/>
              <w:jc w:val="left"/>
            </w:pPr>
            <w:r>
              <w:rPr>
                <w:rFonts w:ascii="Times New Roman" w:hAnsi="Times New Roman"/>
                <w:b w:val="0"/>
                <w:i w:val="0"/>
                <w:color w:val="000000"/>
                <w:sz w:val="17"/>
              </w:rPr>
              <w:t>user goal + sanitized mediator</w:t>
            </w:r>
          </w:p>
        </w:tc>
        <w:tc>
          <w:tcPr>
            <w:tcW w:type="dxa" w:w="4368"/>
          </w:tcPr>
          <w:p>
            <w:pPr>
              <w:spacing w:after="20" w:before="20"/>
              <w:jc w:val="left"/>
            </w:pPr>
            <w:r>
              <w:rPr>
                <w:rFonts w:ascii="Times New Roman" w:hAnsi="Times New Roman"/>
                <w:b w:val="0"/>
                <w:i w:val="0"/>
                <w:color w:val="000000"/>
                <w:sz w:val="17"/>
              </w:rPr>
              <w:t>task behaviour after sanitisation</w:t>
            </w:r>
          </w:p>
        </w:tc>
      </w:tr>
    </w:tbl>
    <w:p>
      <w:pPr>
        <w:spacing w:after="160" w:before="0" w:line="254" w:lineRule="auto"/>
        <w:jc w:val="left"/>
      </w:pPr>
      <w:r>
        <w:rPr>
          <w:rFonts w:ascii="Times New Roman" w:hAnsi="Times New Roman"/>
          <w:b/>
          <w:i w:val="0"/>
          <w:color w:val="444A53"/>
          <w:sz w:val="17"/>
        </w:rPr>
        <w:t>Table II.</w:t>
      </w:r>
      <w:r>
        <w:rPr>
          <w:rFonts w:ascii="Times New Roman" w:hAnsi="Times New Roman"/>
          <w:b w:val="0"/>
          <w:i w:val="0"/>
          <w:color w:val="444A53"/>
          <w:sz w:val="17"/>
        </w:rPr>
        <w:t xml:space="preserve"> The four regimes. Two contrasts drive detection: ACE = </w:t>
      </w:r>
      <w:r>
        <w:rPr>
          <w:rFonts w:ascii="Consolas" w:hAnsi="Consolas"/>
          <w:b w:val="0"/>
          <w:i w:val="0"/>
          <w:color w:val="444A53"/>
          <w:sz w:val="16"/>
        </w:rPr>
        <w:t>orig</w:t>
      </w:r>
      <w:r>
        <w:rPr>
          <w:rFonts w:ascii="Times New Roman" w:hAnsi="Times New Roman"/>
          <w:b w:val="0"/>
          <w:i w:val="0"/>
          <w:color w:val="444A53"/>
          <w:sz w:val="17"/>
        </w:rPr>
        <w:t xml:space="preserve"> − </w:t>
      </w:r>
      <w:r>
        <w:rPr>
          <w:rFonts w:ascii="Consolas" w:hAnsi="Consolas"/>
          <w:b w:val="0"/>
          <w:i w:val="0"/>
          <w:color w:val="444A53"/>
          <w:sz w:val="16"/>
        </w:rPr>
        <w:t>masked</w:t>
      </w:r>
      <w:r>
        <w:rPr>
          <w:rFonts w:ascii="Times New Roman" w:hAnsi="Times New Roman"/>
          <w:b w:val="0"/>
          <w:i w:val="0"/>
          <w:color w:val="444A53"/>
          <w:sz w:val="17"/>
        </w:rPr>
        <w:t xml:space="preserve"> and IE = </w:t>
      </w:r>
      <w:r>
        <w:rPr>
          <w:rFonts w:ascii="Consolas" w:hAnsi="Consolas"/>
          <w:b w:val="0"/>
          <w:i w:val="0"/>
          <w:color w:val="444A53"/>
          <w:sz w:val="16"/>
        </w:rPr>
        <w:t>masked</w:t>
      </w:r>
      <w:r>
        <w:rPr>
          <w:rFonts w:ascii="Times New Roman" w:hAnsi="Times New Roman"/>
          <w:b w:val="0"/>
          <w:i w:val="0"/>
          <w:color w:val="444A53"/>
          <w:sz w:val="17"/>
        </w:rPr>
        <w:t xml:space="preserve"> − </w:t>
      </w:r>
      <w:r>
        <w:rPr>
          <w:rFonts w:ascii="Consolas" w:hAnsi="Consolas"/>
          <w:b w:val="0"/>
          <w:i w:val="0"/>
          <w:color w:val="444A53"/>
          <w:sz w:val="16"/>
        </w:rPr>
        <w:t>masked_sanitized</w:t>
      </w:r>
      <w:r>
        <w:rPr>
          <w:rFonts w:ascii="Times New Roman" w:hAnsi="Times New Roman"/>
          <w:b w:val="0"/>
          <w:i w:val="0"/>
          <w:color w:val="444A53"/>
          <w:sz w:val="17"/>
        </w:rPr>
        <w:t>.</w:t>
      </w:r>
    </w:p>
    <w:p>
      <w:pPr>
        <w:spacing w:after="80" w:before="0" w:line="254" w:lineRule="auto"/>
        <w:jc w:val="both"/>
      </w:pPr>
      <w:r>
        <w:rPr>
          <w:rFonts w:ascii="Times New Roman" w:hAnsi="Times New Roman"/>
          <w:b/>
          <w:i w:val="0"/>
          <w:color w:val="000000"/>
          <w:sz w:val="20"/>
        </w:rPr>
        <w:t>Severity is scored at 2</w:t>
      </w:r>
      <w:r>
        <w:rPr>
          <w:rFonts w:ascii="Times New Roman" w:hAnsi="Times New Roman"/>
          <w:b w:val="0"/>
          <w:i w:val="0"/>
          <w:color w:val="000000"/>
          <w:sz w:val="20"/>
        </w:rPr>
        <w:t xml:space="preserve"> by, in order: an action naming a target lifted from the mediator; a state-changing verb paired with a controlled resource the mediator corroborates; or a data-movement keyword, grounded so that an action the content never suggested cannot escalate. Severity 1 is a diagnostic action (read, list, check, reply). Severity 0 is non-compliance.</w:t>
      </w:r>
    </w:p>
    <w:p>
      <w:pPr>
        <w:spacing w:after="80" w:before="0" w:line="254" w:lineRule="auto"/>
        <w:jc w:val="both"/>
      </w:pPr>
      <w:r>
        <w:rPr>
          <w:rFonts w:ascii="Times New Roman" w:hAnsi="Times New Roman"/>
          <w:b/>
          <w:i w:val="0"/>
          <w:color w:val="000000"/>
          <w:sz w:val="20"/>
        </w:rPr>
        <w:t>Takeover fires on any of three rules:</w:t>
      </w:r>
    </w:p>
    <w:p>
      <w:pPr>
        <w:spacing w:after="40" w:before="0" w:line="254" w:lineRule="auto"/>
        <w:ind w:left="360" w:hanging="360"/>
        <w:jc w:val="both"/>
      </w:pPr>
      <w:r>
        <w:rPr>
          <w:rFonts w:ascii="Times New Roman" w:hAnsi="Times New Roman"/>
          <w:b w:val="0"/>
          <w:i w:val="0"/>
          <w:color w:val="000000"/>
          <w:sz w:val="20"/>
        </w:rPr>
        <w:t xml:space="preserve">1) </w:t>
      </w:r>
      <w:r>
        <w:rPr>
          <w:rFonts w:ascii="Times New Roman" w:hAnsi="Times New Roman"/>
          <w:b/>
          <w:i w:val="0"/>
          <w:color w:val="000000"/>
          <w:sz w:val="20"/>
        </w:rPr>
        <w:t>IE rule</w:t>
      </w:r>
      <w:r>
        <w:rPr>
          <w:rFonts w:ascii="Times New Roman" w:hAnsi="Times New Roman"/>
          <w:b w:val="0"/>
          <w:i w:val="0"/>
          <w:color w:val="000000"/>
          <w:sz w:val="20"/>
        </w:rPr>
        <w:t xml:space="preserve"> — IE ≥ threshold, </w:t>
      </w:r>
      <w:r>
        <w:rPr>
          <w:rFonts w:ascii="Consolas" w:hAnsi="Consolas"/>
          <w:b w:val="0"/>
          <w:i w:val="0"/>
          <w:color w:val="000000"/>
          <w:sz w:val="19"/>
        </w:rPr>
        <w:t>masked</w:t>
      </w:r>
      <w:r>
        <w:rPr>
          <w:rFonts w:ascii="Times New Roman" w:hAnsi="Times New Roman"/>
          <w:b w:val="0"/>
          <w:i w:val="0"/>
          <w:color w:val="000000"/>
          <w:sz w:val="20"/>
        </w:rPr>
        <w:t xml:space="preserve"> ≥ 1, and the separation consistent across samples.</w:t>
      </w:r>
    </w:p>
    <w:p>
      <w:pPr>
        <w:spacing w:after="40" w:before="0" w:line="254" w:lineRule="auto"/>
        <w:ind w:left="360" w:hanging="360"/>
        <w:jc w:val="both"/>
      </w:pPr>
      <w:r>
        <w:rPr>
          <w:rFonts w:ascii="Times New Roman" w:hAnsi="Times New Roman"/>
          <w:b w:val="0"/>
          <w:i w:val="0"/>
          <w:color w:val="000000"/>
          <w:sz w:val="20"/>
        </w:rPr>
        <w:t xml:space="preserve">2) </w:t>
      </w:r>
      <w:r>
        <w:rPr>
          <w:rFonts w:ascii="Times New Roman" w:hAnsi="Times New Roman"/>
          <w:b/>
          <w:i w:val="0"/>
          <w:color w:val="000000"/>
          <w:sz w:val="20"/>
        </w:rPr>
        <w:t>Standalone rule</w:t>
      </w:r>
      <w:r>
        <w:rPr>
          <w:rFonts w:ascii="Times New Roman" w:hAnsi="Times New Roman"/>
          <w:b w:val="0"/>
          <w:i w:val="0"/>
          <w:color w:val="000000"/>
          <w:sz w:val="20"/>
        </w:rPr>
        <w:t xml:space="preserve"> — </w:t>
      </w:r>
      <w:r>
        <w:rPr>
          <w:rFonts w:ascii="Consolas" w:hAnsi="Consolas"/>
          <w:b w:val="0"/>
          <w:i w:val="0"/>
          <w:color w:val="000000"/>
          <w:sz w:val="19"/>
        </w:rPr>
        <w:t>masked</w:t>
      </w:r>
      <w:r>
        <w:rPr>
          <w:rFonts w:ascii="Times New Roman" w:hAnsi="Times New Roman"/>
          <w:b w:val="0"/>
          <w:i w:val="0"/>
          <w:color w:val="000000"/>
          <w:sz w:val="20"/>
        </w:rPr>
        <w:t xml:space="preserve"> ≥ 2, independent of IE. Necessary because the IE rule reads a </w:t>
      </w:r>
      <w:r>
        <w:rPr>
          <w:rFonts w:ascii="Times New Roman" w:hAnsi="Times New Roman"/>
          <w:b w:val="0"/>
          <w:i/>
          <w:color w:val="000000"/>
          <w:sz w:val="20"/>
        </w:rPr>
        <w:t>difference</w:t>
      </w:r>
      <w:r>
        <w:rPr>
          <w:rFonts w:ascii="Times New Roman" w:hAnsi="Times New Roman"/>
          <w:b w:val="0"/>
          <w:i w:val="0"/>
          <w:color w:val="000000"/>
          <w:sz w:val="20"/>
        </w:rPr>
        <w:t xml:space="preserve"> and silently inverts when sanitisation fails: both regimes comply, the severities cancel to IE = 0, and an attack that survived sanitisation reads as safe.</w:t>
      </w:r>
    </w:p>
    <w:p>
      <w:pPr>
        <w:spacing w:after="40" w:before="0" w:line="254" w:lineRule="auto"/>
        <w:ind w:left="360" w:hanging="360"/>
        <w:jc w:val="both"/>
      </w:pPr>
      <w:r>
        <w:rPr>
          <w:rFonts w:ascii="Times New Roman" w:hAnsi="Times New Roman"/>
          <w:b w:val="0"/>
          <w:i w:val="0"/>
          <w:color w:val="000000"/>
          <w:sz w:val="20"/>
        </w:rPr>
        <w:t xml:space="preserve">3) </w:t>
      </w:r>
      <w:r>
        <w:rPr>
          <w:rFonts w:ascii="Times New Roman" w:hAnsi="Times New Roman"/>
          <w:b/>
          <w:i w:val="0"/>
          <w:color w:val="000000"/>
          <w:sz w:val="20"/>
        </w:rPr>
        <w:t>Drift rule</w:t>
      </w:r>
      <w:r>
        <w:rPr>
          <w:rFonts w:ascii="Times New Roman" w:hAnsi="Times New Roman"/>
          <w:b w:val="0"/>
          <w:i w:val="0"/>
          <w:color w:val="000000"/>
          <w:sz w:val="20"/>
        </w:rPr>
        <w:t xml:space="preserve"> — a falling ACE or rising IE slope across a per-session window, gated on </w:t>
      </w:r>
      <w:r>
        <w:rPr>
          <w:rFonts w:ascii="Consolas" w:hAnsi="Consolas"/>
          <w:b w:val="0"/>
          <w:i w:val="0"/>
          <w:color w:val="000000"/>
          <w:sz w:val="19"/>
        </w:rPr>
        <w:t>masked</w:t>
      </w:r>
      <w:r>
        <w:rPr>
          <w:rFonts w:ascii="Times New Roman" w:hAnsi="Times New Roman"/>
          <w:b w:val="0"/>
          <w:i w:val="0"/>
          <w:color w:val="000000"/>
          <w:sz w:val="20"/>
        </w:rPr>
        <w:t xml:space="preserve"> ≥ 1 so that "nothing observed" can never mean takeover.</w:t>
      </w:r>
    </w:p>
    <w:p>
      <w:pPr>
        <w:spacing w:after="80" w:before="0" w:line="254" w:lineRule="auto"/>
        <w:jc w:val="both"/>
      </w:pPr>
      <w:r>
        <w:rPr>
          <w:rFonts w:ascii="Times New Roman" w:hAnsi="Times New Roman"/>
          <w:b w:val="0"/>
          <w:i w:val="0"/>
          <w:color w:val="000000"/>
          <w:sz w:val="20"/>
        </w:rPr>
        <w:t xml:space="preserve">Rules 1 and 3 both consume </w:t>
      </w:r>
      <w:r>
        <w:rPr>
          <w:rFonts w:ascii="Times New Roman" w:hAnsi="Times New Roman"/>
          <w:b w:val="0"/>
          <w:i/>
          <w:color w:val="000000"/>
          <w:sz w:val="20"/>
        </w:rPr>
        <w:t>contrasts</w:t>
      </w:r>
      <w:r>
        <w:rPr>
          <w:rFonts w:ascii="Times New Roman" w:hAnsi="Times New Roman"/>
          <w:b w:val="0"/>
          <w:i w:val="0"/>
          <w:color w:val="000000"/>
          <w:sz w:val="20"/>
        </w:rPr>
        <w:t>; rule 2 consumes an absolute severity. The paper's central finding is that the contrasts are near zero on content without a liftable target, which determines what rules 1 and 3 can do and leaves rule 2 carrying the system.</w:t>
      </w:r>
    </w:p>
    <w:p>
      <w:pPr>
        <w:spacing w:after="60" w:before="160" w:line="254" w:lineRule="auto"/>
        <w:jc w:val="left"/>
      </w:pPr>
      <w:r>
        <w:rPr>
          <w:rFonts w:ascii="Times New Roman" w:hAnsi="Times New Roman"/>
          <w:b/>
          <w:i/>
          <w:color w:val="000000"/>
          <w:sz w:val="20"/>
        </w:rPr>
        <w:t>E. Implementation</w:t>
      </w:r>
    </w:p>
    <w:p>
      <w:pPr>
        <w:spacing w:after="80" w:before="0" w:line="254" w:lineRule="auto"/>
        <w:jc w:val="both"/>
      </w:pPr>
      <w:r>
        <w:rPr>
          <w:rFonts w:ascii="Times New Roman" w:hAnsi="Times New Roman"/>
          <w:b w:val="0"/>
          <w:i w:val="0"/>
          <w:color w:val="000000"/>
          <w:sz w:val="20"/>
        </w:rPr>
        <w:t xml:space="preserve">The pipeline runs locally against small open models — a 4B model for the causal probe, a 3B model for sanitisation and planning — deliberately, because the causal probe requires a model that </w:t>
      </w:r>
      <w:r>
        <w:rPr>
          <w:rFonts w:ascii="Times New Roman" w:hAnsi="Times New Roman"/>
          <w:b w:val="0"/>
          <w:i/>
          <w:color w:val="000000"/>
          <w:sz w:val="20"/>
        </w:rPr>
        <w:t>complies</w:t>
      </w:r>
      <w:r>
        <w:rPr>
          <w:rFonts w:ascii="Times New Roman" w:hAnsi="Times New Roman"/>
          <w:b w:val="0"/>
          <w:i w:val="0"/>
          <w:color w:val="000000"/>
          <w:sz w:val="20"/>
        </w:rPr>
        <w:t xml:space="preserve"> under the masked regime. A more refusal-prone model returns no signal to measure, which is a real constraint on deploying this approach and is stated as a limitation in §XII rather than hidden.</w:t>
      </w:r>
    </w:p>
    <w:p>
      <w:pPr>
        <w:spacing w:after="80" w:before="0" w:line="254" w:lineRule="auto"/>
        <w:jc w:val="both"/>
      </w:pPr>
      <w:r>
        <w:rPr>
          <w:rFonts w:ascii="Times New Roman" w:hAnsi="Times New Roman"/>
          <w:b w:val="0"/>
          <w:i w:val="0"/>
          <w:color w:val="000000"/>
          <w:sz w:val="20"/>
        </w:rPr>
        <w:t>Every arm in every experiment is one configuration object, so ablations and baselines share a single code path rather than a forked one. Detection verdicts are computed by one extracted function used by both the live pipeline and the offline re-scorer, so no result in this paper is produced by a restatement of a rule — a defect that cost us a mislabelled stratum before it was found.</w:t>
      </w:r>
    </w:p>
    <w:p>
      <w:pPr>
        <w:spacing w:after="100" w:before="240" w:line="254" w:lineRule="auto"/>
        <w:jc w:val="left"/>
      </w:pPr>
      <w:r>
        <w:rPr>
          <w:rFonts w:ascii="Times New Roman" w:hAnsi="Times New Roman"/>
          <w:b/>
          <w:i w:val="0"/>
          <w:color w:val="000000"/>
          <w:sz w:val="22"/>
        </w:rPr>
        <w:t>IV. EXPERIMENTAL METHODOLOGY</w:t>
      </w:r>
    </w:p>
    <w:p>
      <w:pPr>
        <w:spacing w:after="80" w:before="0" w:line="254" w:lineRule="auto"/>
        <w:jc w:val="both"/>
      </w:pPr>
      <w:r>
        <w:rPr>
          <w:rFonts w:ascii="Times New Roman" w:hAnsi="Times New Roman"/>
          <w:b w:val="0"/>
          <w:i w:val="0"/>
          <w:color w:val="000000"/>
          <w:sz w:val="20"/>
        </w:rPr>
        <w:t>Because the majority of our results are negative, the discipline that produced them is part of the contribution. Six rules govern every number in this paper.</w:t>
      </w:r>
    </w:p>
    <w:p>
      <w:pPr>
        <w:spacing w:after="80" w:before="0" w:line="254" w:lineRule="auto"/>
        <w:jc w:val="both"/>
      </w:pPr>
      <w:r>
        <w:rPr>
          <w:rFonts w:ascii="Times New Roman" w:hAnsi="Times New Roman"/>
          <w:b/>
          <w:i w:val="0"/>
          <w:color w:val="000000"/>
          <w:sz w:val="20"/>
        </w:rPr>
        <w:t>1) No headline figure without n, the named corpus, and a 95% interval.</w:t>
      </w:r>
      <w:r>
        <w:rPr>
          <w:rFonts w:ascii="Times New Roman" w:hAnsi="Times New Roman"/>
          <w:b w:val="0"/>
          <w:i w:val="0"/>
          <w:color w:val="000000"/>
          <w:sz w:val="20"/>
        </w:rPr>
        <w:t xml:space="preserve"> Proportions use Wilson intervals [7] rather than the normal approximation, which is wrong at the sample sizes and near-boundary rates involved. A bare point estimate is a diagnostic and is labelled as one in text and in tables.</w:t>
      </w:r>
    </w:p>
    <w:p>
      <w:pPr>
        <w:spacing w:after="80" w:before="0" w:line="254" w:lineRule="auto"/>
        <w:jc w:val="both"/>
      </w:pPr>
      <w:r>
        <w:rPr>
          <w:rFonts w:ascii="Times New Roman" w:hAnsi="Times New Roman"/>
          <w:b/>
          <w:i w:val="0"/>
          <w:color w:val="000000"/>
          <w:sz w:val="20"/>
        </w:rPr>
        <w:t>2) Cohorts of different provenance are never pooled.</w:t>
      </w:r>
      <w:r>
        <w:rPr>
          <w:rFonts w:ascii="Times New Roman" w:hAnsi="Times New Roman"/>
          <w:b w:val="0"/>
          <w:i w:val="0"/>
          <w:color w:val="000000"/>
          <w:sz w:val="20"/>
        </w:rPr>
        <w:t xml:space="preserve"> Our hand-written benign controls and the externally-authored benign documents are separate cohorts, always. Pooling them is what once made a 4/8 count look like a false-positive rate.</w:t>
      </w:r>
    </w:p>
    <w:p>
      <w:pPr>
        <w:spacing w:after="80" w:before="0" w:line="254" w:lineRule="auto"/>
        <w:jc w:val="both"/>
      </w:pPr>
      <w:r>
        <w:rPr>
          <w:rFonts w:ascii="Times New Roman" w:hAnsi="Times New Roman"/>
          <w:b/>
          <w:i w:val="0"/>
          <w:color w:val="000000"/>
          <w:sz w:val="20"/>
        </w:rPr>
        <w:t>3) Every arm shares one code path.</w:t>
      </w:r>
      <w:r>
        <w:rPr>
          <w:rFonts w:ascii="Times New Roman" w:hAnsi="Times New Roman"/>
          <w:b w:val="0"/>
          <w:i w:val="0"/>
          <w:color w:val="000000"/>
          <w:sz w:val="20"/>
        </w:rPr>
        <w:t xml:space="preserve"> Ablation arms are configuration values inside the pipeline, never a forked script. An ablation that runs different code is a different system.</w:t>
      </w:r>
    </w:p>
    <w:p>
      <w:pPr>
        <w:spacing w:after="80" w:before="0" w:line="254" w:lineRule="auto"/>
        <w:jc w:val="both"/>
      </w:pPr>
      <w:r>
        <w:rPr>
          <w:rFonts w:ascii="Times New Roman" w:hAnsi="Times New Roman"/>
          <w:b/>
          <w:i w:val="0"/>
          <w:color w:val="000000"/>
          <w:sz w:val="20"/>
        </w:rPr>
        <w:t>4) At least two comparison arms besides the full system</w:t>
      </w:r>
      <w:r>
        <w:rPr>
          <w:rFonts w:ascii="Times New Roman" w:hAnsi="Times New Roman"/>
          <w:b w:val="0"/>
          <w:i w:val="0"/>
          <w:color w:val="000000"/>
          <w:sz w:val="20"/>
        </w:rPr>
        <w:t xml:space="preserve"> — an undefended floor and a published prompt-level defense — on the same corpus, seeds and model tags. An ablation of our own system does not discharge this requirement.</w:t>
      </w:r>
    </w:p>
    <w:p>
      <w:pPr>
        <w:spacing w:after="80" w:before="0" w:line="254" w:lineRule="auto"/>
        <w:jc w:val="both"/>
      </w:pPr>
      <w:r>
        <w:rPr>
          <w:rFonts w:ascii="Times New Roman" w:hAnsi="Times New Roman"/>
          <w:b/>
          <w:i w:val="0"/>
          <w:color w:val="000000"/>
          <w:sz w:val="20"/>
        </w:rPr>
        <w:t>5) Every number is regenerable by one committed command</w:t>
      </w:r>
      <w:r>
        <w:rPr>
          <w:rFonts w:ascii="Times New Roman" w:hAnsi="Times New Roman"/>
          <w:b w:val="0"/>
          <w:i w:val="0"/>
          <w:color w:val="000000"/>
          <w:sz w:val="20"/>
        </w:rPr>
        <w:t xml:space="preserve"> whose artifact is committed with a run manifest recording commit SHA, working-tree cleanliness, model tags, corpus version and GPU state. A table that cannot be regenerated is not claimed.</w:t>
      </w:r>
    </w:p>
    <w:p>
      <w:pPr>
        <w:spacing w:after="80" w:before="0" w:line="254" w:lineRule="auto"/>
        <w:jc w:val="both"/>
      </w:pPr>
      <w:r>
        <w:rPr>
          <w:rFonts w:ascii="Times New Roman" w:hAnsi="Times New Roman"/>
          <w:b/>
          <w:i w:val="0"/>
          <w:color w:val="000000"/>
          <w:sz w:val="20"/>
        </w:rPr>
        <w:t>6) A statistic is a result, not arithmetic.</w:t>
      </w:r>
      <w:r>
        <w:rPr>
          <w:rFonts w:ascii="Times New Roman" w:hAnsi="Times New Roman"/>
          <w:b w:val="0"/>
          <w:i w:val="0"/>
          <w:color w:val="000000"/>
          <w:sz w:val="20"/>
        </w:rPr>
        <w:t xml:space="preserve"> No p-value or interval enters any document before the code computing it is committed and its inputs are in the tracked artifact. This rule exists because we violated it once: a McNemar result reached five documents with no committed implementation and no discordant counts in the artifact. The figure happened to be right, which is luck rather than process.</w:t>
      </w:r>
    </w:p>
    <w:p>
      <w:pPr>
        <w:spacing w:after="80" w:before="0" w:line="254" w:lineRule="auto"/>
        <w:jc w:val="both"/>
      </w:pPr>
      <w:r>
        <w:rPr>
          <w:rFonts w:ascii="Times New Roman" w:hAnsi="Times New Roman"/>
          <w:b/>
          <w:i w:val="0"/>
          <w:color w:val="000000"/>
          <w:sz w:val="20"/>
        </w:rPr>
        <w:t>Paired arms receive a paired test.</w:t>
      </w:r>
      <w:r>
        <w:rPr>
          <w:rFonts w:ascii="Times New Roman" w:hAnsi="Times New Roman"/>
          <w:b w:val="0"/>
          <w:i w:val="0"/>
          <w:color w:val="000000"/>
          <w:sz w:val="20"/>
        </w:rPr>
        <w:t xml:space="preserve"> Arms see identical cases, so outcomes are compared with McNemar's test [8], exact below roughly 25 discordant pairs, rather than by inspecting whether two Wilson intervals overlap.</w:t>
      </w:r>
    </w:p>
    <w:p>
      <w:pPr>
        <w:spacing w:after="80" w:before="0" w:line="254" w:lineRule="auto"/>
        <w:jc w:val="both"/>
      </w:pPr>
      <w:r>
        <w:rPr>
          <w:rFonts w:ascii="Times New Roman" w:hAnsi="Times New Roman"/>
          <w:b/>
          <w:i w:val="0"/>
          <w:color w:val="000000"/>
          <w:sz w:val="20"/>
        </w:rPr>
        <w:t>Determinism.</w:t>
      </w:r>
      <w:r>
        <w:rPr>
          <w:rFonts w:ascii="Times New Roman" w:hAnsi="Times New Roman"/>
          <w:b w:val="0"/>
          <w:i w:val="0"/>
          <w:color w:val="000000"/>
          <w:sz w:val="20"/>
        </w:rPr>
        <w:t xml:space="preserve"> There is no RNG seed: the inference server exposes none, so reproducibility rests on greedy decoding at temperature 0. That is not literally deterministic — across a full campaign, 2 of 564 regime severities disagreed between repeats — which is why repeated recordings exist and why single-run claims are flagged as such.</w:t>
      </w:r>
    </w:p>
    <w:p>
      <w:pPr>
        <w:spacing w:after="60" w:before="160" w:line="254" w:lineRule="auto"/>
        <w:jc w:val="left"/>
      </w:pPr>
      <w:r>
        <w:rPr>
          <w:rFonts w:ascii="Times New Roman" w:hAnsi="Times New Roman"/>
          <w:b/>
          <w:i/>
          <w:color w:val="000000"/>
          <w:sz w:val="20"/>
        </w:rPr>
        <w:t>A. Corpora</w:t>
      </w:r>
    </w:p>
    <w:tbl>
      <w:tblPr>
        <w:tblStyle w:val="TableGrid"/>
        <w:tblW w:type="auto" w:w="0"/>
        <w:jc w:val="center"/>
        <w:tblLayout w:type="fixed"/>
        <w:tblLook w:firstColumn="1" w:firstRow="1" w:lastColumn="0" w:lastRow="0" w:noHBand="0" w:noVBand="1" w:val="04A0"/>
      </w:tblPr>
      <w:tblGrid>
        <w:gridCol w:w="1501"/>
        <w:gridCol w:w="706"/>
        <w:gridCol w:w="2296"/>
        <w:gridCol w:w="4857"/>
      </w:tblGrid>
      <w:tr>
        <w:tc>
          <w:tcPr>
            <w:tcW w:type="dxa" w:w="1501"/>
            <w:shd w:val="clear" w:fill="EDF1F5"/>
          </w:tcPr>
          <w:p>
            <w:pPr>
              <w:spacing w:after="20" w:before="20"/>
              <w:jc w:val="left"/>
            </w:pPr>
            <w:r>
              <w:rPr>
                <w:rFonts w:ascii="Times New Roman" w:hAnsi="Times New Roman"/>
                <w:b/>
                <w:i w:val="0"/>
                <w:color w:val="000000"/>
                <w:sz w:val="17"/>
              </w:rPr>
              <w:t>Cohort</w:t>
            </w:r>
          </w:p>
        </w:tc>
        <w:tc>
          <w:tcPr>
            <w:tcW w:type="dxa" w:w="706"/>
            <w:shd w:val="clear" w:fill="EDF1F5"/>
          </w:tcPr>
          <w:p>
            <w:pPr>
              <w:spacing w:after="20" w:before="20"/>
              <w:jc w:val="left"/>
            </w:pPr>
            <w:r>
              <w:rPr>
                <w:rFonts w:ascii="Times New Roman" w:hAnsi="Times New Roman"/>
                <w:b/>
                <w:i w:val="0"/>
                <w:color w:val="000000"/>
                <w:sz w:val="17"/>
              </w:rPr>
              <w:t>n</w:t>
            </w:r>
          </w:p>
        </w:tc>
        <w:tc>
          <w:tcPr>
            <w:tcW w:type="dxa" w:w="2296"/>
            <w:shd w:val="clear" w:fill="EDF1F5"/>
          </w:tcPr>
          <w:p>
            <w:pPr>
              <w:spacing w:after="20" w:before="20"/>
              <w:jc w:val="left"/>
            </w:pPr>
            <w:r>
              <w:rPr>
                <w:rFonts w:ascii="Times New Roman" w:hAnsi="Times New Roman"/>
                <w:b/>
                <w:i w:val="0"/>
                <w:color w:val="000000"/>
                <w:sz w:val="17"/>
              </w:rPr>
              <w:t>Provenance</w:t>
            </w:r>
          </w:p>
        </w:tc>
        <w:tc>
          <w:tcPr>
            <w:tcW w:type="dxa" w:w="4857"/>
            <w:shd w:val="clear" w:fill="EDF1F5"/>
          </w:tcPr>
          <w:p>
            <w:pPr>
              <w:spacing w:after="20" w:before="20"/>
              <w:jc w:val="left"/>
            </w:pPr>
            <w:r>
              <w:rPr>
                <w:rFonts w:ascii="Times New Roman" w:hAnsi="Times New Roman"/>
                <w:b/>
                <w:i w:val="0"/>
                <w:color w:val="000000"/>
                <w:sz w:val="17"/>
              </w:rPr>
              <w:t>Role</w:t>
            </w:r>
          </w:p>
        </w:tc>
      </w:tr>
      <w:tr>
        <w:tc>
          <w:tcPr>
            <w:tcW w:type="dxa" w:w="1501"/>
          </w:tcPr>
          <w:p>
            <w:pPr>
              <w:spacing w:after="20" w:before="20"/>
              <w:jc w:val="left"/>
            </w:pPr>
            <w:r>
              <w:rPr>
                <w:rFonts w:ascii="Times New Roman" w:hAnsi="Times New Roman"/>
                <w:b w:val="0"/>
                <w:i w:val="0"/>
                <w:color w:val="000000"/>
                <w:sz w:val="17"/>
              </w:rPr>
              <w:t>Campaign (ours)</w:t>
            </w:r>
          </w:p>
        </w:tc>
        <w:tc>
          <w:tcPr>
            <w:tcW w:type="dxa" w:w="706"/>
          </w:tcPr>
          <w:p>
            <w:pPr>
              <w:spacing w:after="20" w:before="20"/>
              <w:jc w:val="right"/>
            </w:pPr>
            <w:r>
              <w:rPr>
                <w:rFonts w:ascii="Times New Roman" w:hAnsi="Times New Roman"/>
                <w:b w:val="0"/>
                <w:i w:val="0"/>
                <w:color w:val="000000"/>
                <w:sz w:val="17"/>
              </w:rPr>
              <w:t>188</w:t>
            </w:r>
          </w:p>
        </w:tc>
        <w:tc>
          <w:tcPr>
            <w:tcW w:type="dxa" w:w="2296"/>
          </w:tcPr>
          <w:p>
            <w:pPr>
              <w:spacing w:after="20" w:before="20"/>
              <w:jc w:val="left"/>
            </w:pPr>
            <w:r>
              <w:rPr>
                <w:rFonts w:ascii="Times New Roman" w:hAnsi="Times New Roman"/>
                <w:b w:val="0"/>
                <w:i w:val="0"/>
                <w:color w:val="000000"/>
                <w:sz w:val="17"/>
              </w:rPr>
              <w:t>authored by us</w:t>
            </w:r>
          </w:p>
        </w:tc>
        <w:tc>
          <w:tcPr>
            <w:tcW w:type="dxa" w:w="4857"/>
          </w:tcPr>
          <w:p>
            <w:pPr>
              <w:spacing w:after="20" w:before="20"/>
              <w:jc w:val="left"/>
            </w:pPr>
            <w:r>
              <w:rPr>
                <w:rFonts w:ascii="Times New Roman" w:hAnsi="Times New Roman"/>
                <w:b w:val="0"/>
                <w:i w:val="0"/>
                <w:color w:val="000000"/>
                <w:sz w:val="17"/>
              </w:rPr>
              <w:t>120 malicious, 68 benign; development and the in-corpus headline</w:t>
            </w:r>
          </w:p>
        </w:tc>
      </w:tr>
      <w:tr>
        <w:tc>
          <w:tcPr>
            <w:tcW w:type="dxa" w:w="1501"/>
          </w:tcPr>
          <w:p>
            <w:pPr>
              <w:spacing w:after="20" w:before="20"/>
              <w:jc w:val="left"/>
            </w:pPr>
            <w:r>
              <w:rPr>
                <w:rFonts w:ascii="Times New Roman" w:hAnsi="Times New Roman"/>
                <w:b w:val="0"/>
                <w:i w:val="0"/>
                <w:color w:val="000000"/>
                <w:sz w:val="17"/>
              </w:rPr>
              <w:t>AgentDojo benign</w:t>
            </w:r>
          </w:p>
        </w:tc>
        <w:tc>
          <w:tcPr>
            <w:tcW w:type="dxa" w:w="706"/>
          </w:tcPr>
          <w:p>
            <w:pPr>
              <w:spacing w:after="20" w:before="20"/>
              <w:jc w:val="right"/>
            </w:pPr>
            <w:r>
              <w:rPr>
                <w:rFonts w:ascii="Times New Roman" w:hAnsi="Times New Roman"/>
                <w:b w:val="0"/>
                <w:i w:val="0"/>
                <w:color w:val="000000"/>
                <w:sz w:val="17"/>
              </w:rPr>
              <w:t>60</w:t>
            </w:r>
          </w:p>
        </w:tc>
        <w:tc>
          <w:tcPr>
            <w:tcW w:type="dxa" w:w="2296"/>
          </w:tcPr>
          <w:p>
            <w:pPr>
              <w:spacing w:after="20" w:before="20"/>
              <w:jc w:val="left"/>
            </w:pPr>
            <w:r>
              <w:rPr>
                <w:rFonts w:ascii="Times New Roman" w:hAnsi="Times New Roman"/>
                <w:b w:val="0"/>
                <w:i w:val="0"/>
                <w:color w:val="000000"/>
                <w:sz w:val="17"/>
              </w:rPr>
              <w:t>AgentDojo v0.1.35, MIT [2]</w:t>
            </w:r>
          </w:p>
        </w:tc>
        <w:tc>
          <w:tcPr>
            <w:tcW w:type="dxa" w:w="4857"/>
          </w:tcPr>
          <w:p>
            <w:pPr>
              <w:spacing w:after="20" w:before="20"/>
              <w:jc w:val="left"/>
            </w:pPr>
            <w:r>
              <w:rPr>
                <w:rFonts w:ascii="Times New Roman" w:hAnsi="Times New Roman"/>
                <w:b w:val="0"/>
                <w:i w:val="0"/>
                <w:color w:val="000000"/>
                <w:sz w:val="17"/>
              </w:rPr>
              <w:t>the false-positive rate of record</w:t>
            </w:r>
          </w:p>
        </w:tc>
      </w:tr>
      <w:tr>
        <w:tc>
          <w:tcPr>
            <w:tcW w:type="dxa" w:w="1501"/>
          </w:tcPr>
          <w:p>
            <w:pPr>
              <w:spacing w:after="20" w:before="20"/>
              <w:jc w:val="left"/>
            </w:pPr>
            <w:r>
              <w:rPr>
                <w:rFonts w:ascii="Times New Roman" w:hAnsi="Times New Roman"/>
                <w:b w:val="0"/>
                <w:i w:val="0"/>
                <w:color w:val="000000"/>
                <w:sz w:val="17"/>
              </w:rPr>
              <w:t>AgentDojo attacks</w:t>
            </w:r>
          </w:p>
        </w:tc>
        <w:tc>
          <w:tcPr>
            <w:tcW w:type="dxa" w:w="706"/>
          </w:tcPr>
          <w:p>
            <w:pPr>
              <w:spacing w:after="20" w:before="20"/>
              <w:jc w:val="right"/>
            </w:pPr>
            <w:r>
              <w:rPr>
                <w:rFonts w:ascii="Times New Roman" w:hAnsi="Times New Roman"/>
                <w:b w:val="0"/>
                <w:i w:val="0"/>
                <w:color w:val="000000"/>
                <w:sz w:val="17"/>
              </w:rPr>
              <w:t>60</w:t>
            </w:r>
          </w:p>
        </w:tc>
        <w:tc>
          <w:tcPr>
            <w:tcW w:type="dxa" w:w="2296"/>
          </w:tcPr>
          <w:p>
            <w:pPr>
              <w:spacing w:after="20" w:before="20"/>
              <w:jc w:val="left"/>
            </w:pPr>
            <w:r>
              <w:rPr>
                <w:rFonts w:ascii="Times New Roman" w:hAnsi="Times New Roman"/>
                <w:b w:val="0"/>
                <w:i w:val="0"/>
                <w:color w:val="000000"/>
                <w:sz w:val="17"/>
              </w:rPr>
              <w:t>AgentDojo v0.1.35, MIT [2]</w:t>
            </w:r>
          </w:p>
        </w:tc>
        <w:tc>
          <w:tcPr>
            <w:tcW w:type="dxa" w:w="4857"/>
          </w:tcPr>
          <w:p>
            <w:pPr>
              <w:spacing w:after="20" w:before="20"/>
              <w:jc w:val="left"/>
            </w:pPr>
            <w:r>
              <w:rPr>
                <w:rFonts w:ascii="Times New Roman" w:hAnsi="Times New Roman"/>
                <w:b w:val="0"/>
                <w:i w:val="0"/>
                <w:color w:val="000000"/>
                <w:sz w:val="17"/>
              </w:rPr>
              <w:t>holdout, imported after the harm lexicon was frozen</w:t>
            </w:r>
          </w:p>
        </w:tc>
      </w:tr>
      <w:tr>
        <w:tc>
          <w:tcPr>
            <w:tcW w:type="dxa" w:w="1501"/>
          </w:tcPr>
          <w:p>
            <w:pPr>
              <w:spacing w:after="20" w:before="20"/>
              <w:jc w:val="left"/>
            </w:pPr>
            <w:r>
              <w:rPr>
                <w:rFonts w:ascii="Times New Roman" w:hAnsi="Times New Roman"/>
                <w:b w:val="0"/>
                <w:i w:val="0"/>
                <w:color w:val="000000"/>
                <w:sz w:val="17"/>
              </w:rPr>
              <w:t>InjecAgent</w:t>
            </w:r>
          </w:p>
        </w:tc>
        <w:tc>
          <w:tcPr>
            <w:tcW w:type="dxa" w:w="706"/>
          </w:tcPr>
          <w:p>
            <w:pPr>
              <w:spacing w:after="20" w:before="20"/>
              <w:jc w:val="right"/>
            </w:pPr>
            <w:r>
              <w:rPr>
                <w:rFonts w:ascii="Times New Roman" w:hAnsi="Times New Roman"/>
                <w:b w:val="0"/>
                <w:i w:val="0"/>
                <w:color w:val="000000"/>
                <w:sz w:val="17"/>
              </w:rPr>
              <w:t>60</w:t>
            </w:r>
          </w:p>
        </w:tc>
        <w:tc>
          <w:tcPr>
            <w:tcW w:type="dxa" w:w="2296"/>
          </w:tcPr>
          <w:p>
            <w:pPr>
              <w:spacing w:after="20" w:before="20"/>
              <w:jc w:val="left"/>
            </w:pPr>
            <w:r>
              <w:rPr>
                <w:rFonts w:ascii="Times New Roman" w:hAnsi="Times New Roman"/>
                <w:b w:val="0"/>
                <w:i w:val="0"/>
                <w:color w:val="000000"/>
                <w:sz w:val="17"/>
              </w:rPr>
              <w:t>InjecAgent, MIT [1]</w:t>
            </w:r>
          </w:p>
        </w:tc>
        <w:tc>
          <w:tcPr>
            <w:tcW w:type="dxa" w:w="4857"/>
          </w:tcPr>
          <w:p>
            <w:pPr>
              <w:spacing w:after="20" w:before="20"/>
              <w:jc w:val="left"/>
            </w:pPr>
            <w:r>
              <w:rPr>
                <w:rFonts w:ascii="Times New Roman" w:hAnsi="Times New Roman"/>
                <w:b w:val="0"/>
                <w:i w:val="0"/>
                <w:color w:val="000000"/>
                <w:sz w:val="17"/>
              </w:rPr>
              <w:t>direct-harm split, drawn 30/30 across two strata</w:t>
            </w:r>
          </w:p>
        </w:tc>
      </w:tr>
    </w:tbl>
    <w:p>
      <w:pPr>
        <w:spacing w:after="160" w:before="0" w:line="254" w:lineRule="auto"/>
        <w:jc w:val="left"/>
      </w:pPr>
      <w:r>
        <w:rPr>
          <w:rFonts w:ascii="Times New Roman" w:hAnsi="Times New Roman"/>
          <w:b/>
          <w:i w:val="0"/>
          <w:color w:val="444A53"/>
          <w:sz w:val="17"/>
        </w:rPr>
        <w:t>Table III.</w:t>
      </w:r>
      <w:r>
        <w:rPr>
          <w:rFonts w:ascii="Times New Roman" w:hAnsi="Times New Roman"/>
          <w:b w:val="0"/>
          <w:i w:val="0"/>
          <w:color w:val="444A53"/>
          <w:sz w:val="17"/>
        </w:rPr>
        <w:t xml:space="preserve"> Evaluation corpora. Provenance and version are stated for every external corpus; strata are never pooled.</w:t>
      </w:r>
    </w:p>
    <w:p>
      <w:pPr>
        <w:spacing w:after="80" w:before="0" w:line="254" w:lineRule="auto"/>
        <w:jc w:val="both"/>
      </w:pPr>
      <w:r>
        <w:rPr>
          <w:rFonts w:ascii="Times New Roman" w:hAnsi="Times New Roman"/>
          <w:b w:val="0"/>
          <w:i w:val="0"/>
          <w:color w:val="000000"/>
          <w:sz w:val="20"/>
        </w:rPr>
        <w:t>Three quantities are deliberately withheld from the paper's claims. A 50% false-positive rate on eight hand-written benign controls is a diagnostic at n = 8, not a rate. A pooled InjecAgent figure is wrong for that corpus by 33 points, because the 30/30 draw comes from a 51/459 population. And an early 0/30 external FPR came from a stride subsample that excluded both known false positives by construction.</w:t>
      </w:r>
    </w:p>
    <w:p>
      <w:pPr>
        <w:spacing w:after="100" w:before="240" w:line="254" w:lineRule="auto"/>
        <w:jc w:val="left"/>
      </w:pPr>
      <w:r>
        <w:rPr>
          <w:rFonts w:ascii="Times New Roman" w:hAnsi="Times New Roman"/>
          <w:b/>
          <w:i w:val="0"/>
          <w:color w:val="000000"/>
          <w:sz w:val="22"/>
        </w:rPr>
        <w:t>V. PER-COMPONENT ABLATION: ONLY TWO COMPONENTS DO ANYTHING</w:t>
      </w:r>
    </w:p>
    <w:p>
      <w:pPr>
        <w:spacing w:after="120" w:before="0" w:line="254" w:lineRule="auto"/>
        <w:jc w:val="left"/>
      </w:pPr>
      <w:r>
        <w:rPr>
          <w:rFonts w:ascii="Times New Roman" w:hAnsi="Times New Roman"/>
          <w:b w:val="0"/>
          <w:i/>
          <w:color w:val="444A53"/>
          <w:sz w:val="17"/>
        </w:rPr>
        <w:t>Artifacts: `results/phase11/`, `results/phase11_loo/`. 54 cases per arm (21 malicious, 33 benign).</w:t>
      </w:r>
    </w:p>
    <w:p>
      <w:pPr>
        <w:spacing w:after="80" w:before="0" w:line="254" w:lineRule="auto"/>
        <w:jc w:val="both"/>
      </w:pPr>
      <w:r>
        <w:rPr>
          <w:rFonts w:ascii="Times New Roman" w:hAnsi="Times New Roman"/>
          <w:b w:val="0"/>
          <w:i w:val="0"/>
          <w:color w:val="000000"/>
          <w:sz w:val="20"/>
        </w:rPr>
        <w:t>A layered architecture invites the assumption that each layer contributes. We tested that assumption directly and it is largely false on our corpus. Reporting it first is what licenses every claim that follows: a reader who has already seen which components are inert will read the remaining numbers as measurements rather than as advocacy.</w:t>
      </w:r>
    </w:p>
    <w:p>
      <w:pPr>
        <w:spacing w:after="60" w:before="160" w:line="254" w:lineRule="auto"/>
        <w:jc w:val="left"/>
      </w:pPr>
      <w:r>
        <w:rPr>
          <w:rFonts w:ascii="Times New Roman" w:hAnsi="Times New Roman"/>
          <w:b/>
          <w:i/>
          <w:color w:val="000000"/>
          <w:sz w:val="20"/>
        </w:rPr>
        <w:t>A. Design</w:t>
      </w:r>
    </w:p>
    <w:p>
      <w:pPr>
        <w:spacing w:after="80" w:before="0" w:line="254" w:lineRule="auto"/>
        <w:jc w:val="both"/>
      </w:pPr>
      <w:r>
        <w:rPr>
          <w:rFonts w:ascii="Times New Roman" w:hAnsi="Times New Roman"/>
          <w:b w:val="0"/>
          <w:i w:val="0"/>
          <w:color w:val="000000"/>
          <w:sz w:val="20"/>
        </w:rPr>
        <w:t xml:space="preserve">Two ablations, run independently and compared. A </w:t>
      </w:r>
      <w:r>
        <w:rPr>
          <w:rFonts w:ascii="Times New Roman" w:hAnsi="Times New Roman"/>
          <w:b/>
          <w:i w:val="0"/>
          <w:color w:val="000000"/>
          <w:sz w:val="20"/>
        </w:rPr>
        <w:t>cumulative ladder</w:t>
      </w:r>
      <w:r>
        <w:rPr>
          <w:rFonts w:ascii="Times New Roman" w:hAnsi="Times New Roman"/>
          <w:b w:val="0"/>
          <w:i w:val="0"/>
          <w:color w:val="000000"/>
          <w:sz w:val="20"/>
        </w:rPr>
        <w:t xml:space="preserve"> of seven arms, each adding exactly one component in pipeline order; and a </w:t>
      </w:r>
      <w:r>
        <w:rPr>
          <w:rFonts w:ascii="Times New Roman" w:hAnsi="Times New Roman"/>
          <w:b/>
          <w:i w:val="0"/>
          <w:color w:val="000000"/>
          <w:sz w:val="20"/>
        </w:rPr>
        <w:t>leave-one-out</w:t>
      </w:r>
      <w:r>
        <w:rPr>
          <w:rFonts w:ascii="Times New Roman" w:hAnsi="Times New Roman"/>
          <w:b w:val="0"/>
          <w:i w:val="0"/>
          <w:color w:val="000000"/>
          <w:sz w:val="20"/>
        </w:rPr>
        <w:t xml:space="preserve"> of six arms, each removing one component from the complete system. The two disagree precisely when components are redundant with one another, so running both is not duplication — it is the test for redundancy. They did not disagree on a single row.</w:t>
      </w:r>
    </w:p>
    <w:p>
      <w:pPr>
        <w:spacing w:after="60" w:before="160" w:line="254" w:lineRule="auto"/>
        <w:jc w:val="left"/>
      </w:pPr>
      <w:r>
        <w:rPr>
          <w:rFonts w:ascii="Times New Roman" w:hAnsi="Times New Roman"/>
          <w:b/>
          <w:i/>
          <w:color w:val="000000"/>
          <w:sz w:val="20"/>
        </w:rPr>
        <w:t>B. Result</w:t>
      </w:r>
    </w:p>
    <w:tbl>
      <w:tblPr>
        <w:tblStyle w:val="TableGrid"/>
        <w:tblW w:type="auto" w:w="0"/>
        <w:jc w:val="center"/>
        <w:tblLayout w:type="fixed"/>
        <w:tblLook w:firstColumn="1" w:firstRow="1" w:lastColumn="0" w:lastRow="0" w:noHBand="0" w:noVBand="1" w:val="04A0"/>
      </w:tblPr>
      <w:tblGrid>
        <w:gridCol w:w="2553"/>
        <w:gridCol w:w="3404"/>
        <w:gridCol w:w="1844"/>
        <w:gridCol w:w="1560"/>
      </w:tblGrid>
      <w:tr>
        <w:tc>
          <w:tcPr>
            <w:tcW w:type="dxa" w:w="2553"/>
            <w:shd w:val="clear" w:fill="EDF1F5"/>
          </w:tcPr>
          <w:p>
            <w:pPr>
              <w:spacing w:after="20" w:before="20"/>
              <w:jc w:val="left"/>
            </w:pPr>
            <w:r>
              <w:rPr>
                <w:rFonts w:ascii="Times New Roman" w:hAnsi="Times New Roman"/>
                <w:b/>
                <w:i w:val="0"/>
                <w:color w:val="000000"/>
                <w:sz w:val="17"/>
              </w:rPr>
              <w:t>Outcome</w:t>
            </w:r>
          </w:p>
        </w:tc>
        <w:tc>
          <w:tcPr>
            <w:tcW w:type="dxa" w:w="3404"/>
            <w:shd w:val="clear" w:fill="EDF1F5"/>
          </w:tcPr>
          <w:p>
            <w:pPr>
              <w:spacing w:after="20" w:before="20"/>
              <w:jc w:val="left"/>
            </w:pPr>
            <w:r>
              <w:rPr>
                <w:rFonts w:ascii="Times New Roman" w:hAnsi="Times New Roman"/>
                <w:b/>
                <w:i w:val="0"/>
                <w:color w:val="000000"/>
                <w:sz w:val="17"/>
              </w:rPr>
              <w:t>The only rung that moves</w:t>
            </w:r>
          </w:p>
        </w:tc>
        <w:tc>
          <w:tcPr>
            <w:tcW w:type="dxa" w:w="1844"/>
            <w:shd w:val="clear" w:fill="EDF1F5"/>
          </w:tcPr>
          <w:p>
            <w:pPr>
              <w:spacing w:after="20" w:before="20"/>
              <w:jc w:val="left"/>
            </w:pPr>
            <w:r>
              <w:rPr>
                <w:rFonts w:ascii="Times New Roman" w:hAnsi="Times New Roman"/>
                <w:b/>
                <w:i w:val="0"/>
                <w:color w:val="000000"/>
                <w:sz w:val="17"/>
              </w:rPr>
              <w:t>helped / hurt</w:t>
            </w:r>
          </w:p>
        </w:tc>
        <w:tc>
          <w:tcPr>
            <w:tcW w:type="dxa" w:w="1560"/>
            <w:shd w:val="clear" w:fill="EDF1F5"/>
          </w:tcPr>
          <w:p>
            <w:pPr>
              <w:spacing w:after="20" w:before="20"/>
              <w:jc w:val="left"/>
            </w:pPr>
            <w:r>
              <w:rPr>
                <w:rFonts w:ascii="Times New Roman" w:hAnsi="Times New Roman"/>
                <w:b/>
                <w:i/>
                <w:color w:val="000000"/>
                <w:sz w:val="17"/>
              </w:rPr>
              <w:t>p</w:t>
            </w:r>
            <w:r>
              <w:rPr>
                <w:rFonts w:ascii="Times New Roman" w:hAnsi="Times New Roman"/>
                <w:b/>
                <w:i w:val="0"/>
                <w:color w:val="000000"/>
                <w:sz w:val="17"/>
              </w:rPr>
              <w:t xml:space="preserve"> (exact)</w:t>
            </w:r>
          </w:p>
        </w:tc>
      </w:tr>
      <w:tr>
        <w:tc>
          <w:tcPr>
            <w:tcW w:type="dxa" w:w="2553"/>
          </w:tcPr>
          <w:p>
            <w:pPr>
              <w:spacing w:after="20" w:before="20"/>
              <w:jc w:val="left"/>
            </w:pPr>
            <w:r>
              <w:rPr>
                <w:rFonts w:ascii="Times New Roman" w:hAnsi="Times New Roman"/>
                <w:b w:val="0"/>
                <w:i w:val="0"/>
                <w:color w:val="000000"/>
                <w:sz w:val="17"/>
              </w:rPr>
              <w:t>attack stopped</w:t>
            </w:r>
          </w:p>
        </w:tc>
        <w:tc>
          <w:tcPr>
            <w:tcW w:type="dxa" w:w="3404"/>
          </w:tcPr>
          <w:p>
            <w:pPr>
              <w:spacing w:after="20" w:before="20"/>
              <w:jc w:val="left"/>
            </w:pPr>
            <w:r>
              <w:rPr>
                <w:rFonts w:ascii="Times New Roman" w:hAnsi="Times New Roman"/>
                <w:b w:val="0"/>
                <w:i w:val="0"/>
                <w:color w:val="000000"/>
                <w:sz w:val="17"/>
              </w:rPr>
              <w:t>3B, causal analyzer</w:t>
            </w:r>
          </w:p>
        </w:tc>
        <w:tc>
          <w:tcPr>
            <w:tcW w:type="dxa" w:w="1844"/>
          </w:tcPr>
          <w:p>
            <w:pPr>
              <w:spacing w:after="20" w:before="20"/>
              <w:jc w:val="right"/>
            </w:pPr>
            <w:r>
              <w:rPr>
                <w:rFonts w:ascii="Times New Roman" w:hAnsi="Times New Roman"/>
                <w:b w:val="0"/>
                <w:i w:val="0"/>
                <w:color w:val="000000"/>
                <w:sz w:val="17"/>
              </w:rPr>
              <w:t>18 / 0</w:t>
            </w:r>
          </w:p>
        </w:tc>
        <w:tc>
          <w:tcPr>
            <w:tcW w:type="dxa" w:w="1560"/>
          </w:tcPr>
          <w:p>
            <w:pPr>
              <w:spacing w:after="20" w:before="20"/>
              <w:jc w:val="right"/>
            </w:pPr>
            <w:r>
              <w:rPr>
                <w:rFonts w:ascii="Times New Roman" w:hAnsi="Times New Roman"/>
                <w:b w:val="0"/>
                <w:i w:val="0"/>
                <w:color w:val="000000"/>
                <w:sz w:val="17"/>
              </w:rPr>
              <w:t>7.6 × 10⁻⁶</w:t>
            </w:r>
          </w:p>
        </w:tc>
      </w:tr>
      <w:tr>
        <w:tc>
          <w:tcPr>
            <w:tcW w:type="dxa" w:w="2553"/>
          </w:tcPr>
          <w:p>
            <w:pPr>
              <w:spacing w:after="20" w:before="20"/>
              <w:jc w:val="left"/>
            </w:pPr>
            <w:r>
              <w:rPr>
                <w:rFonts w:ascii="Times New Roman" w:hAnsi="Times New Roman"/>
                <w:b w:val="0"/>
                <w:i w:val="0"/>
                <w:color w:val="000000"/>
                <w:sz w:val="17"/>
              </w:rPr>
              <w:t>workflow continued</w:t>
            </w:r>
          </w:p>
        </w:tc>
        <w:tc>
          <w:tcPr>
            <w:tcW w:type="dxa" w:w="3404"/>
          </w:tcPr>
          <w:p>
            <w:pPr>
              <w:spacing w:after="20" w:before="20"/>
              <w:jc w:val="left"/>
            </w:pPr>
            <w:r>
              <w:rPr>
                <w:rFonts w:ascii="Times New Roman" w:hAnsi="Times New Roman"/>
                <w:b w:val="0"/>
                <w:i w:val="0"/>
                <w:color w:val="000000"/>
                <w:sz w:val="17"/>
              </w:rPr>
              <w:t>3C, context sanitizer</w:t>
            </w:r>
          </w:p>
        </w:tc>
        <w:tc>
          <w:tcPr>
            <w:tcW w:type="dxa" w:w="1844"/>
          </w:tcPr>
          <w:p>
            <w:pPr>
              <w:spacing w:after="20" w:before="20"/>
              <w:jc w:val="right"/>
            </w:pPr>
            <w:r>
              <w:rPr>
                <w:rFonts w:ascii="Times New Roman" w:hAnsi="Times New Roman"/>
                <w:b w:val="0"/>
                <w:i w:val="0"/>
                <w:color w:val="000000"/>
                <w:sz w:val="17"/>
              </w:rPr>
              <w:t>18 / 0</w:t>
            </w:r>
          </w:p>
        </w:tc>
        <w:tc>
          <w:tcPr>
            <w:tcW w:type="dxa" w:w="1560"/>
          </w:tcPr>
          <w:p>
            <w:pPr>
              <w:spacing w:after="20" w:before="20"/>
              <w:jc w:val="right"/>
            </w:pPr>
            <w:r>
              <w:rPr>
                <w:rFonts w:ascii="Times New Roman" w:hAnsi="Times New Roman"/>
                <w:b w:val="0"/>
                <w:i w:val="0"/>
                <w:color w:val="000000"/>
                <w:sz w:val="17"/>
              </w:rPr>
              <w:t>7.6 × 10⁻⁶</w:t>
            </w:r>
          </w:p>
        </w:tc>
      </w:tr>
    </w:tbl>
    <w:p>
      <w:pPr>
        <w:spacing w:after="160" w:before="0" w:line="254" w:lineRule="auto"/>
        <w:jc w:val="left"/>
      </w:pPr>
      <w:r>
        <w:rPr>
          <w:rFonts w:ascii="Times New Roman" w:hAnsi="Times New Roman"/>
          <w:b/>
          <w:i w:val="0"/>
          <w:color w:val="444A53"/>
          <w:sz w:val="17"/>
        </w:rPr>
        <w:t>Table IV.</w:t>
      </w:r>
      <w:r>
        <w:rPr>
          <w:rFonts w:ascii="Times New Roman" w:hAnsi="Times New Roman"/>
          <w:b w:val="0"/>
          <w:i w:val="0"/>
          <w:color w:val="444A53"/>
          <w:sz w:val="17"/>
        </w:rPr>
        <w:t xml:space="preserve"> Ablation outcomes. Every other rung — tool-response screener, policy engine, permission control, egress allowlist — is 0 helped / 0 hurt with zero discordant pairs.</w:t>
      </w:r>
    </w:p>
    <w:p>
      <w:pPr>
        <w:spacing w:before="160" w:after="60"/>
        <w:jc w:val="center"/>
      </w:pPr>
      <w:r>
        <w:drawing>
          <wp:inline xmlns:a="http://schemas.openxmlformats.org/drawingml/2006/main" xmlns:pic="http://schemas.openxmlformats.org/drawingml/2006/picture">
            <wp:extent cx="4708014" cy="2834640"/>
            <wp:docPr id="2" name="Picture 2"/>
            <wp:cNvGraphicFramePr>
              <a:graphicFrameLocks noChangeAspect="1"/>
            </wp:cNvGraphicFramePr>
            <a:graphic>
              <a:graphicData uri="http://schemas.openxmlformats.org/drawingml/2006/picture">
                <pic:pic>
                  <pic:nvPicPr>
                    <pic:cNvPr id="0" name="fig1_ablation.png"/>
                    <pic:cNvPicPr/>
                  </pic:nvPicPr>
                  <pic:blipFill>
                    <a:blip r:embed="rId11"/>
                    <a:stretch>
                      <a:fillRect/>
                    </a:stretch>
                  </pic:blipFill>
                  <pic:spPr>
                    <a:xfrm>
                      <a:off x="0" y="0"/>
                      <a:ext cx="4708014" cy="2834640"/>
                    </a:xfrm>
                    <a:prstGeom prst="rect"/>
                  </pic:spPr>
                </pic:pic>
              </a:graphicData>
            </a:graphic>
          </wp:inline>
        </w:drawing>
      </w:r>
    </w:p>
    <w:p>
      <w:pPr>
        <w:spacing w:after="180" w:before="0" w:line="254" w:lineRule="auto"/>
        <w:ind w:left="0"/>
        <w:jc w:val="left"/>
      </w:pPr>
      <w:r>
        <w:rPr>
          <w:rFonts w:ascii="Times New Roman" w:hAnsi="Times New Roman"/>
          <w:b/>
          <w:i w:val="0"/>
          <w:color w:val="444A53"/>
          <w:sz w:val="17"/>
        </w:rPr>
        <w:t>Fig. 2.</w:t>
      </w:r>
      <w:r>
        <w:rPr>
          <w:rFonts w:ascii="Times New Roman" w:hAnsi="Times New Roman"/>
          <w:b w:val="0"/>
          <w:i w:val="0"/>
          <w:color w:val="444A53"/>
          <w:sz w:val="17"/>
        </w:rPr>
        <w:t xml:space="preserve"> Cumulative component ablation over the seven-arm ladder (21 attacks, 33 benign). Attack-stopped rate rises only at the causal analyzer and workflow-continued rate only at the sanitizer; every other rung is flat.</w:t>
      </w:r>
    </w:p>
    <w:p>
      <w:pPr>
        <w:spacing w:after="80" w:before="0" w:line="254" w:lineRule="auto"/>
        <w:jc w:val="both"/>
      </w:pPr>
      <w:r>
        <w:rPr>
          <w:rFonts w:ascii="Times New Roman" w:hAnsi="Times New Roman"/>
          <w:b w:val="0"/>
          <w:i w:val="0"/>
          <w:color w:val="000000"/>
          <w:sz w:val="20"/>
        </w:rPr>
        <w:t>Predictions were registered before the run and all four held: 3B's rung large, 3A's helped count zero, 3C flat on ASR but large on WCR, and Layer 4 egress helped count zero. That is what makes this evidence rather than post-hoc rationalisation.</w:t>
      </w:r>
    </w:p>
    <w:p>
      <w:pPr>
        <w:spacing w:after="60" w:before="160" w:line="254" w:lineRule="auto"/>
        <w:jc w:val="left"/>
      </w:pPr>
      <w:r>
        <w:rPr>
          <w:rFonts w:ascii="Times New Roman" w:hAnsi="Times New Roman"/>
          <w:b/>
          <w:i/>
          <w:color w:val="000000"/>
          <w:sz w:val="20"/>
        </w:rPr>
        <w:t>C. Two results that cut against the architecture</w:t>
      </w:r>
    </w:p>
    <w:p>
      <w:pPr>
        <w:spacing w:after="80" w:before="0" w:line="254" w:lineRule="auto"/>
        <w:jc w:val="both"/>
      </w:pPr>
      <w:r>
        <w:rPr>
          <w:rFonts w:ascii="Times New Roman" w:hAnsi="Times New Roman"/>
          <w:b/>
          <w:i w:val="0"/>
          <w:color w:val="000000"/>
          <w:sz w:val="20"/>
        </w:rPr>
        <w:t>Layer 4 is redundant, not contributing.</w:t>
      </w:r>
      <w:r>
        <w:rPr>
          <w:rFonts w:ascii="Times New Roman" w:hAnsi="Times New Roman"/>
          <w:b w:val="0"/>
          <w:i w:val="0"/>
          <w:color w:val="000000"/>
          <w:sz w:val="20"/>
        </w:rPr>
        <w:t xml:space="preserve"> The fraction of 3B's stops that a static allowlist would also have caught climbs from 0% to 17% to 33% as Layer 4 is added. Six of 18 stops are double-covered. This is defensible as defence-in-depth, but it is not evidence </w:t>
      </w:r>
      <w:r>
        <w:rPr>
          <w:rFonts w:ascii="Times New Roman" w:hAnsi="Times New Roman"/>
          <w:b w:val="0"/>
          <w:i/>
          <w:color w:val="000000"/>
          <w:sz w:val="20"/>
        </w:rPr>
        <w:t>for</w:t>
      </w:r>
      <w:r>
        <w:rPr>
          <w:rFonts w:ascii="Times New Roman" w:hAnsi="Times New Roman"/>
          <w:b w:val="0"/>
          <w:i w:val="0"/>
          <w:color w:val="000000"/>
          <w:sz w:val="20"/>
        </w:rPr>
        <w:t xml:space="preserve"> the layer and we do not present it as such.</w:t>
      </w:r>
    </w:p>
    <w:p>
      <w:pPr>
        <w:spacing w:after="80" w:before="0" w:line="254" w:lineRule="auto"/>
        <w:jc w:val="both"/>
      </w:pPr>
      <w:r>
        <w:rPr>
          <w:rFonts w:ascii="Times New Roman" w:hAnsi="Times New Roman"/>
          <w:b/>
          <w:i w:val="0"/>
          <w:color w:val="000000"/>
          <w:sz w:val="20"/>
        </w:rPr>
        <w:t>False positives moved where no p-value could see them.</w:t>
      </w:r>
      <w:r>
        <w:rPr>
          <w:rFonts w:ascii="Times New Roman" w:hAnsi="Times New Roman"/>
          <w:b w:val="0"/>
          <w:i w:val="0"/>
          <w:color w:val="000000"/>
          <w:sz w:val="20"/>
        </w:rPr>
        <w:t xml:space="preserve"> On our own hand-written benign controls, false positives went from 0/3 to 3/3 the moment 3B switched on. No paired test in either table detects this, because paired tests exclude benign cases by construction. We report it as a separate diagnostic at n = 3 and never as a rate.</w:t>
      </w:r>
    </w:p>
    <w:p>
      <w:pPr>
        <w:spacing w:after="60" w:before="160" w:line="254" w:lineRule="auto"/>
        <w:jc w:val="left"/>
      </w:pPr>
      <w:r>
        <w:rPr>
          <w:rFonts w:ascii="Times New Roman" w:hAnsi="Times New Roman"/>
          <w:b/>
          <w:i/>
          <w:color w:val="000000"/>
          <w:sz w:val="20"/>
        </w:rPr>
        <w:t>D. A measurement defect worth reporting</w:t>
      </w:r>
    </w:p>
    <w:p>
      <w:pPr>
        <w:spacing w:after="80" w:before="0" w:line="254" w:lineRule="auto"/>
        <w:jc w:val="both"/>
      </w:pPr>
      <w:r>
        <w:rPr>
          <w:rFonts w:ascii="Times New Roman" w:hAnsi="Times New Roman"/>
          <w:b w:val="0"/>
          <w:i w:val="0"/>
          <w:color w:val="000000"/>
          <w:sz w:val="20"/>
        </w:rPr>
        <w:t>The first pass of this analysis reported that "the sanitizer adds nothing detectable" for a rung that moves workflow continuation from 0% to 85.7%. The statement was true of the outcome variable tested (ASR) and false of the component. 3C runs only after a takeover is confirmed and converts a blanket block into a safe continuation, so its entire contribution is usability, and an ASR-only ablation is structurally incapable of seeing it. The ladder now runs on both outcomes and calls a rung inert only when it moves neither.</w:t>
      </w:r>
    </w:p>
    <w:p>
      <w:pPr>
        <w:spacing w:after="60" w:before="160" w:line="254" w:lineRule="auto"/>
        <w:jc w:val="left"/>
      </w:pPr>
      <w:r>
        <w:rPr>
          <w:rFonts w:ascii="Times New Roman" w:hAnsi="Times New Roman"/>
          <w:b/>
          <w:i/>
          <w:color w:val="000000"/>
          <w:sz w:val="20"/>
        </w:rPr>
        <w:t>E. Scope</w:t>
      </w:r>
    </w:p>
    <w:p>
      <w:pPr>
        <w:spacing w:after="80" w:before="0" w:line="254" w:lineRule="auto"/>
        <w:jc w:val="both"/>
      </w:pPr>
      <w:r>
        <w:rPr>
          <w:rFonts w:ascii="Times New Roman" w:hAnsi="Times New Roman"/>
          <w:b w:val="0"/>
          <w:i w:val="0"/>
          <w:color w:val="000000"/>
          <w:sz w:val="20"/>
        </w:rPr>
        <w:t xml:space="preserve">This establishes that the screener, policy engine and Layer 4 have nothing to do </w:t>
      </w:r>
      <w:r>
        <w:rPr>
          <w:rFonts w:ascii="Times New Roman" w:hAnsi="Times New Roman"/>
          <w:b/>
          <w:i w:val="0"/>
          <w:color w:val="000000"/>
          <w:sz w:val="20"/>
        </w:rPr>
        <w:t>on this corpus</w:t>
      </w:r>
      <w:r>
        <w:rPr>
          <w:rFonts w:ascii="Times New Roman" w:hAnsi="Times New Roman"/>
          <w:b w:val="0"/>
          <w:i w:val="0"/>
          <w:color w:val="000000"/>
          <w:sz w:val="20"/>
        </w:rPr>
        <w:t xml:space="preserve">, not that they are useless in general. All 21 malicious cases are tool-response injections converging on one action shape. A rug pull or a poisoned tool manifest is what the screener and registry exist for, and two of the eight benchmark vectors are approximated precisely because the pipeline consumes tool </w:t>
      </w:r>
      <w:r>
        <w:rPr>
          <w:rFonts w:ascii="Times New Roman" w:hAnsi="Times New Roman"/>
          <w:b w:val="0"/>
          <w:i/>
          <w:color w:val="000000"/>
          <w:sz w:val="20"/>
        </w:rPr>
        <w:t>responses</w:t>
      </w:r>
      <w:r>
        <w:rPr>
          <w:rFonts w:ascii="Times New Roman" w:hAnsi="Times New Roman"/>
          <w:b w:val="0"/>
          <w:i w:val="0"/>
          <w:color w:val="000000"/>
          <w:sz w:val="20"/>
        </w:rPr>
        <w:t xml:space="preserve"> rather than manifests.</w:t>
      </w:r>
    </w:p>
    <w:p>
      <w:pPr>
        <w:spacing w:after="100" w:before="240" w:line="254" w:lineRule="auto"/>
        <w:jc w:val="left"/>
      </w:pPr>
      <w:r>
        <w:rPr>
          <w:rFonts w:ascii="Times New Roman" w:hAnsi="Times New Roman"/>
          <w:b/>
          <w:i w:val="0"/>
          <w:color w:val="000000"/>
          <w:sz w:val="22"/>
        </w:rPr>
        <w:t>VI. COMPARISON AGAINST A PUBLISHED PROMPT-LEVEL DEFENSE</w:t>
      </w:r>
    </w:p>
    <w:p>
      <w:pPr>
        <w:spacing w:after="120" w:before="0" w:line="254" w:lineRule="auto"/>
        <w:jc w:val="left"/>
      </w:pPr>
      <w:r>
        <w:rPr>
          <w:rFonts w:ascii="Times New Roman" w:hAnsi="Times New Roman"/>
          <w:b w:val="0"/>
          <w:i/>
          <w:color w:val="444A53"/>
          <w:sz w:val="17"/>
        </w:rPr>
        <w:t>Artifact: `results/phase10/`. 86 cases per arm; 66 malicious pairs on the primary outcome.</w:t>
      </w:r>
    </w:p>
    <w:p>
      <w:pPr>
        <w:spacing w:after="80" w:before="0" w:line="254" w:lineRule="auto"/>
        <w:jc w:val="both"/>
      </w:pPr>
      <w:r>
        <w:rPr>
          <w:rFonts w:ascii="Times New Roman" w:hAnsi="Times New Roman"/>
          <w:b w:val="0"/>
          <w:i w:val="0"/>
          <w:color w:val="000000"/>
          <w:sz w:val="20"/>
        </w:rPr>
        <w:t xml:space="preserve">Our ablation arms are ablations of our own system, and a reviewer is entitled to reject them as the comparison. A defense must be measured against something someone else published. We therefore report two comparison arms on the same corpus and model tags: an </w:t>
      </w:r>
      <w:r>
        <w:rPr>
          <w:rFonts w:ascii="Times New Roman" w:hAnsi="Times New Roman"/>
          <w:b/>
          <w:i w:val="0"/>
          <w:color w:val="000000"/>
          <w:sz w:val="20"/>
        </w:rPr>
        <w:t>undefended floor</w:t>
      </w:r>
      <w:r>
        <w:rPr>
          <w:rFonts w:ascii="Times New Roman" w:hAnsi="Times New Roman"/>
          <w:b w:val="0"/>
          <w:i w:val="0"/>
          <w:color w:val="000000"/>
          <w:sz w:val="20"/>
        </w:rPr>
        <w:t xml:space="preserve"> at ASR 100% [84.5%, 100%] over 21 malicious cases, and </w:t>
      </w:r>
      <w:r>
        <w:rPr>
          <w:rFonts w:ascii="Times New Roman" w:hAnsi="Times New Roman"/>
          <w:b/>
          <w:i w:val="0"/>
          <w:color w:val="000000"/>
          <w:sz w:val="20"/>
        </w:rPr>
        <w:t>spotlighting</w:t>
      </w:r>
      <w:r>
        <w:rPr>
          <w:rFonts w:ascii="Times New Roman" w:hAnsi="Times New Roman"/>
          <w:b w:val="0"/>
          <w:i w:val="0"/>
          <w:color w:val="000000"/>
          <w:sz w:val="20"/>
        </w:rPr>
        <w:t xml:space="preserve"> (datamarking) after Hines et al. [3], implemented as a configuration arm sharing one code path with every other arm and kept outside the layer tree by a test that fails if any layer imports it.</w:t>
      </w:r>
    </w:p>
    <w:p>
      <w:pPr>
        <w:spacing w:after="60" w:before="160" w:line="254" w:lineRule="auto"/>
        <w:jc w:val="left"/>
      </w:pPr>
      <w:r>
        <w:rPr>
          <w:rFonts w:ascii="Times New Roman" w:hAnsi="Times New Roman"/>
          <w:b/>
          <w:i/>
          <w:color w:val="000000"/>
          <w:sz w:val="20"/>
        </w:rPr>
        <w:t>A. Result: a null</w:t>
      </w:r>
    </w:p>
    <w:tbl>
      <w:tblPr>
        <w:tblStyle w:val="TableGrid"/>
        <w:tblW w:type="auto" w:w="0"/>
        <w:jc w:val="center"/>
        <w:tblLayout w:type="fixed"/>
        <w:tblLook w:firstColumn="1" w:firstRow="1" w:lastColumn="0" w:lastRow="0" w:noHBand="0" w:noVBand="1" w:val="04A0"/>
      </w:tblPr>
      <w:tblGrid>
        <w:gridCol w:w="3120"/>
        <w:gridCol w:w="1664"/>
        <w:gridCol w:w="1664"/>
        <w:gridCol w:w="2912"/>
      </w:tblGrid>
      <w:tr>
        <w:tc>
          <w:tcPr>
            <w:tcW w:type="dxa" w:w="3120"/>
            <w:shd w:val="clear" w:fill="EDF1F5"/>
          </w:tcPr>
          <w:p>
            <w:pPr>
              <w:spacing w:after="20" w:before="20"/>
              <w:jc w:val="left"/>
            </w:pPr>
            <w:r>
              <w:rPr>
                <w:rFonts w:ascii="Times New Roman" w:hAnsi="Times New Roman"/>
                <w:b/>
                <w:i w:val="0"/>
                <w:color w:val="000000"/>
                <w:sz w:val="17"/>
              </w:rPr>
              <w:t>Arm</w:t>
            </w:r>
          </w:p>
        </w:tc>
        <w:tc>
          <w:tcPr>
            <w:tcW w:type="dxa" w:w="1664"/>
            <w:shd w:val="clear" w:fill="EDF1F5"/>
          </w:tcPr>
          <w:p>
            <w:pPr>
              <w:spacing w:after="20" w:before="20"/>
              <w:jc w:val="left"/>
            </w:pPr>
            <w:r>
              <w:rPr>
                <w:rFonts w:ascii="Times New Roman" w:hAnsi="Times New Roman"/>
                <w:b/>
                <w:i w:val="0"/>
                <w:color w:val="000000"/>
                <w:sz w:val="17"/>
              </w:rPr>
              <w:t>steered</w:t>
            </w:r>
          </w:p>
        </w:tc>
        <w:tc>
          <w:tcPr>
            <w:tcW w:type="dxa" w:w="1664"/>
            <w:shd w:val="clear" w:fill="EDF1F5"/>
          </w:tcPr>
          <w:p>
            <w:pPr>
              <w:spacing w:after="20" w:before="20"/>
              <w:jc w:val="left"/>
            </w:pPr>
            <w:r>
              <w:rPr>
                <w:rFonts w:ascii="Times New Roman" w:hAnsi="Times New Roman"/>
                <w:b/>
                <w:i w:val="0"/>
                <w:color w:val="000000"/>
                <w:sz w:val="17"/>
              </w:rPr>
              <w:t>rate</w:t>
            </w:r>
          </w:p>
        </w:tc>
        <w:tc>
          <w:tcPr>
            <w:tcW w:type="dxa" w:w="2912"/>
            <w:shd w:val="clear" w:fill="EDF1F5"/>
          </w:tcPr>
          <w:p>
            <w:pPr>
              <w:spacing w:after="20" w:before="20"/>
              <w:jc w:val="left"/>
            </w:pPr>
            <w:r>
              <w:rPr>
                <w:rFonts w:ascii="Times New Roman" w:hAnsi="Times New Roman"/>
                <w:b/>
                <w:i w:val="0"/>
                <w:color w:val="000000"/>
                <w:sz w:val="17"/>
              </w:rPr>
              <w:t>95% Wilson</w:t>
            </w:r>
          </w:p>
        </w:tc>
      </w:tr>
      <w:tr>
        <w:tc>
          <w:tcPr>
            <w:tcW w:type="dxa" w:w="3120"/>
          </w:tcPr>
          <w:p>
            <w:pPr>
              <w:spacing w:after="20" w:before="20"/>
              <w:jc w:val="left"/>
            </w:pPr>
            <w:r>
              <w:rPr>
                <w:rFonts w:ascii="Times New Roman" w:hAnsi="Times New Roman"/>
                <w:b w:val="0"/>
                <w:i w:val="0"/>
                <w:color w:val="000000"/>
                <w:sz w:val="17"/>
              </w:rPr>
              <w:t>derived control</w:t>
            </w:r>
          </w:p>
        </w:tc>
        <w:tc>
          <w:tcPr>
            <w:tcW w:type="dxa" w:w="1664"/>
          </w:tcPr>
          <w:p>
            <w:pPr>
              <w:spacing w:after="20" w:before="20"/>
              <w:jc w:val="right"/>
            </w:pPr>
            <w:r>
              <w:rPr>
                <w:rFonts w:ascii="Times New Roman" w:hAnsi="Times New Roman"/>
                <w:b w:val="0"/>
                <w:i w:val="0"/>
                <w:color w:val="000000"/>
                <w:sz w:val="17"/>
              </w:rPr>
              <w:t>23/66</w:t>
            </w:r>
          </w:p>
        </w:tc>
        <w:tc>
          <w:tcPr>
            <w:tcW w:type="dxa" w:w="1664"/>
          </w:tcPr>
          <w:p>
            <w:pPr>
              <w:spacing w:after="20" w:before="20"/>
              <w:jc w:val="right"/>
            </w:pPr>
            <w:r>
              <w:rPr>
                <w:rFonts w:ascii="Times New Roman" w:hAnsi="Times New Roman"/>
                <w:b w:val="0"/>
                <w:i w:val="0"/>
                <w:color w:val="000000"/>
                <w:sz w:val="17"/>
              </w:rPr>
              <w:t>34.8%</w:t>
            </w:r>
          </w:p>
        </w:tc>
        <w:tc>
          <w:tcPr>
            <w:tcW w:type="dxa" w:w="2912"/>
          </w:tcPr>
          <w:p>
            <w:pPr>
              <w:spacing w:after="20" w:before="20"/>
              <w:jc w:val="left"/>
            </w:pPr>
            <w:r>
              <w:rPr>
                <w:rFonts w:ascii="Times New Roman" w:hAnsi="Times New Roman"/>
                <w:b w:val="0"/>
                <w:i w:val="0"/>
                <w:color w:val="000000"/>
                <w:sz w:val="17"/>
              </w:rPr>
              <w:t>[24.5%, 46.9%]</w:t>
            </w:r>
          </w:p>
        </w:tc>
      </w:tr>
      <w:tr>
        <w:tc>
          <w:tcPr>
            <w:tcW w:type="dxa" w:w="3120"/>
          </w:tcPr>
          <w:p>
            <w:pPr>
              <w:spacing w:after="20" w:before="20"/>
              <w:jc w:val="left"/>
            </w:pPr>
            <w:r>
              <w:rPr>
                <w:rFonts w:ascii="Times New Roman" w:hAnsi="Times New Roman"/>
                <w:b w:val="0"/>
                <w:i w:val="0"/>
                <w:color w:val="000000"/>
                <w:sz w:val="17"/>
              </w:rPr>
              <w:t>spotlighting</w:t>
            </w:r>
          </w:p>
        </w:tc>
        <w:tc>
          <w:tcPr>
            <w:tcW w:type="dxa" w:w="1664"/>
          </w:tcPr>
          <w:p>
            <w:pPr>
              <w:spacing w:after="20" w:before="20"/>
              <w:jc w:val="right"/>
            </w:pPr>
            <w:r>
              <w:rPr>
                <w:rFonts w:ascii="Times New Roman" w:hAnsi="Times New Roman"/>
                <w:b w:val="0"/>
                <w:i w:val="0"/>
                <w:color w:val="000000"/>
                <w:sz w:val="17"/>
              </w:rPr>
              <w:t>22/66</w:t>
            </w:r>
          </w:p>
        </w:tc>
        <w:tc>
          <w:tcPr>
            <w:tcW w:type="dxa" w:w="1664"/>
          </w:tcPr>
          <w:p>
            <w:pPr>
              <w:spacing w:after="20" w:before="20"/>
              <w:jc w:val="right"/>
            </w:pPr>
            <w:r>
              <w:rPr>
                <w:rFonts w:ascii="Times New Roman" w:hAnsi="Times New Roman"/>
                <w:b w:val="0"/>
                <w:i w:val="0"/>
                <w:color w:val="000000"/>
                <w:sz w:val="17"/>
              </w:rPr>
              <w:t>33.3%</w:t>
            </w:r>
          </w:p>
        </w:tc>
        <w:tc>
          <w:tcPr>
            <w:tcW w:type="dxa" w:w="2912"/>
          </w:tcPr>
          <w:p>
            <w:pPr>
              <w:spacing w:after="20" w:before="20"/>
              <w:jc w:val="left"/>
            </w:pPr>
            <w:r>
              <w:rPr>
                <w:rFonts w:ascii="Times New Roman" w:hAnsi="Times New Roman"/>
                <w:b w:val="0"/>
                <w:i w:val="0"/>
                <w:color w:val="000000"/>
                <w:sz w:val="17"/>
              </w:rPr>
              <w:t>[23.2%, 45.3%]</w:t>
            </w:r>
          </w:p>
        </w:tc>
      </w:tr>
    </w:tbl>
    <w:p>
      <w:pPr>
        <w:spacing w:after="160" w:before="0" w:line="254" w:lineRule="auto"/>
        <w:jc w:val="left"/>
      </w:pPr>
      <w:r>
        <w:rPr>
          <w:rFonts w:ascii="Times New Roman" w:hAnsi="Times New Roman"/>
          <w:b/>
          <w:i w:val="0"/>
          <w:color w:val="444A53"/>
          <w:sz w:val="17"/>
        </w:rPr>
        <w:t>Table V.</w:t>
      </w:r>
      <w:r>
        <w:rPr>
          <w:rFonts w:ascii="Times New Roman" w:hAnsi="Times New Roman"/>
          <w:b w:val="0"/>
          <w:i w:val="0"/>
          <w:color w:val="444A53"/>
          <w:sz w:val="17"/>
        </w:rPr>
        <w:t xml:space="preserve"> Spotlighting on our harness. Paired McNemar </w:t>
      </w:r>
      <w:r>
        <w:rPr>
          <w:rFonts w:ascii="Times New Roman" w:hAnsi="Times New Roman"/>
          <w:b w:val="0"/>
          <w:i/>
          <w:color w:val="444A53"/>
          <w:sz w:val="17"/>
        </w:rPr>
        <w:t>p</w:t>
      </w:r>
      <w:r>
        <w:rPr>
          <w:rFonts w:ascii="Times New Roman" w:hAnsi="Times New Roman"/>
          <w:b w:val="0"/>
          <w:i w:val="0"/>
          <w:color w:val="444A53"/>
          <w:sz w:val="17"/>
        </w:rPr>
        <w:t xml:space="preserve"> = 1.00, 8 helped / 7 hurt.</w:t>
      </w:r>
    </w:p>
    <w:p>
      <w:pPr>
        <w:spacing w:after="80" w:before="0" w:line="254" w:lineRule="auto"/>
        <w:jc w:val="both"/>
      </w:pPr>
      <w:r>
        <w:rPr>
          <w:rFonts w:ascii="Times New Roman" w:hAnsi="Times New Roman"/>
          <w:b/>
          <w:i w:val="0"/>
          <w:color w:val="000000"/>
          <w:sz w:val="20"/>
        </w:rPr>
        <w:t>The null is not indifference.</w:t>
      </w:r>
      <w:r>
        <w:rPr>
          <w:rFonts w:ascii="Times New Roman" w:hAnsi="Times New Roman"/>
          <w:b w:val="0"/>
          <w:i w:val="0"/>
          <w:color w:val="000000"/>
          <w:sz w:val="20"/>
        </w:rPr>
        <w:t xml:space="preserve"> It decomposes into two per-family effects of opposite sign: one attack family improves from 8 to 5 while another degrades from 0 to 3. A transform that makes a thin payload more </w:t>
      </w:r>
      <w:r>
        <w:rPr>
          <w:rFonts w:ascii="Times New Roman" w:hAnsi="Times New Roman"/>
          <w:b w:val="0"/>
          <w:i/>
          <w:color w:val="000000"/>
          <w:sz w:val="20"/>
        </w:rPr>
        <w:t>legible</w:t>
      </w:r>
      <w:r>
        <w:rPr>
          <w:rFonts w:ascii="Times New Roman" w:hAnsi="Times New Roman"/>
          <w:b w:val="0"/>
          <w:i w:val="0"/>
          <w:color w:val="000000"/>
          <w:sz w:val="20"/>
        </w:rPr>
        <w:t xml:space="preserve"> can increase compliance with it. We report the decomposition rather than the pooled null, because the pooled number invites the wrong conclusion.</w:t>
      </w:r>
    </w:p>
    <w:p>
      <w:pPr>
        <w:spacing w:after="60" w:before="160" w:line="254" w:lineRule="auto"/>
        <w:jc w:val="left"/>
      </w:pPr>
      <w:r>
        <w:rPr>
          <w:rFonts w:ascii="Times New Roman" w:hAnsi="Times New Roman"/>
          <w:b/>
          <w:i/>
          <w:color w:val="000000"/>
          <w:sz w:val="20"/>
        </w:rPr>
        <w:t>B. Three qualifiers that travel with this number</w:t>
      </w:r>
    </w:p>
    <w:p>
      <w:pPr>
        <w:spacing w:after="80" w:before="0" w:line="254" w:lineRule="auto"/>
        <w:jc w:val="both"/>
      </w:pPr>
      <w:r>
        <w:rPr>
          <w:rFonts w:ascii="Times New Roman" w:hAnsi="Times New Roman"/>
          <w:b w:val="0"/>
          <w:i w:val="0"/>
          <w:color w:val="000000"/>
          <w:sz w:val="20"/>
        </w:rPr>
        <w:t xml:space="preserve">First, </w:t>
      </w:r>
      <w:r>
        <w:rPr>
          <w:rFonts w:ascii="Times New Roman" w:hAnsi="Times New Roman"/>
          <w:b/>
          <w:i w:val="0"/>
          <w:color w:val="000000"/>
          <w:sz w:val="20"/>
        </w:rPr>
        <w:t>the steering rate is the outcome, not ASR.</w:t>
      </w:r>
      <w:r>
        <w:rPr>
          <w:rFonts w:ascii="Times New Roman" w:hAnsi="Times New Roman"/>
          <w:b w:val="0"/>
          <w:i w:val="0"/>
          <w:color w:val="000000"/>
          <w:sz w:val="20"/>
        </w:rPr>
        <w:t xml:space="preserve"> ASR is 0/66 in both arms because the egress allowlist absorbs every address-carrying attack; steering is judged before any gate, so no backstop can absorb it. Reporting ASR here would report the allowlist, not the baseline. Second, </w:t>
      </w:r>
      <w:r>
        <w:rPr>
          <w:rFonts w:ascii="Times New Roman" w:hAnsi="Times New Roman"/>
          <w:b/>
          <w:i w:val="0"/>
          <w:color w:val="000000"/>
          <w:sz w:val="20"/>
        </w:rPr>
        <w:t>these arms derive their own action</w:t>
      </w:r>
      <w:r>
        <w:rPr>
          <w:rFonts w:ascii="Times New Roman" w:hAnsi="Times New Roman"/>
          <w:b w:val="0"/>
          <w:i w:val="0"/>
          <w:color w:val="000000"/>
          <w:sz w:val="20"/>
        </w:rPr>
        <w:t xml:space="preserve">, and are therefore not comparable with §V's supplied-action arms. Third, </w:t>
      </w:r>
      <w:r>
        <w:rPr>
          <w:rFonts w:ascii="Times New Roman" w:hAnsi="Times New Roman"/>
          <w:b/>
          <w:i w:val="0"/>
          <w:color w:val="000000"/>
          <w:sz w:val="20"/>
        </w:rPr>
        <w:t>both arms run the agent at temperature 0</w:t>
      </w:r>
      <w:r>
        <w:rPr>
          <w:rFonts w:ascii="Times New Roman" w:hAnsi="Times New Roman"/>
          <w:b w:val="0"/>
          <w:i w:val="0"/>
          <w:color w:val="000000"/>
          <w:sz w:val="20"/>
        </w:rPr>
        <w:t>; the planner had inherited the inference server's default of 0.8 while the analyzer ran at 0, so a deliberately byte-identical prompt was not the same agent, and fixing it moved the undefended floor on its own.</w:t>
      </w:r>
    </w:p>
    <w:p>
      <w:pPr>
        <w:spacing w:after="60" w:before="160" w:line="254" w:lineRule="auto"/>
        <w:jc w:val="left"/>
      </w:pPr>
      <w:r>
        <w:rPr>
          <w:rFonts w:ascii="Times New Roman" w:hAnsi="Times New Roman"/>
          <w:b/>
          <w:i/>
          <w:color w:val="000000"/>
          <w:sz w:val="20"/>
        </w:rPr>
        <w:t>C. The defect that had reversed the sign</w:t>
      </w:r>
    </w:p>
    <w:p>
      <w:pPr>
        <w:spacing w:after="80" w:before="0" w:line="254" w:lineRule="auto"/>
        <w:jc w:val="both"/>
      </w:pPr>
      <w:r>
        <w:rPr>
          <w:rFonts w:ascii="Times New Roman" w:hAnsi="Times New Roman"/>
          <w:b w:val="0"/>
          <w:i w:val="0"/>
          <w:color w:val="000000"/>
          <w:sz w:val="20"/>
        </w:rPr>
        <w:t xml:space="preserve">The first run reported spotlighting as 17 points </w:t>
      </w:r>
      <w:r>
        <w:rPr>
          <w:rFonts w:ascii="Times New Roman" w:hAnsi="Times New Roman"/>
          <w:b w:val="0"/>
          <w:i/>
          <w:color w:val="000000"/>
          <w:sz w:val="20"/>
        </w:rPr>
        <w:t>worse</w:t>
      </w:r>
      <w:r>
        <w:rPr>
          <w:rFonts w:ascii="Times New Roman" w:hAnsi="Times New Roman"/>
          <w:b w:val="0"/>
          <w:i w:val="0"/>
          <w:color w:val="000000"/>
          <w:sz w:val="20"/>
        </w:rPr>
        <w:t xml:space="preserve"> (39.4% to 56.1%). It was not. Sixteen of 37 apparently-steered cases were </w:t>
      </w:r>
      <w:r>
        <w:rPr>
          <w:rFonts w:ascii="Times New Roman" w:hAnsi="Times New Roman"/>
          <w:b w:val="0"/>
          <w:i/>
          <w:color w:val="000000"/>
          <w:sz w:val="20"/>
        </w:rPr>
        <w:t>refusals</w:t>
      </w:r>
      <w:r>
        <w:rPr>
          <w:rFonts w:ascii="Times New Roman" w:hAnsi="Times New Roman"/>
          <w:b w:val="0"/>
          <w:i w:val="0"/>
          <w:color w:val="000000"/>
          <w:sz w:val="20"/>
        </w:rPr>
        <w:t xml:space="preserve"> that named the attacker's address while declining to act, and the keyword scorer had no negation handling. Spotlighting's own instruction inflated the metric judging it, </w:t>
      </w:r>
      <w:r>
        <w:rPr>
          <w:rFonts w:ascii="Times New Roman" w:hAnsi="Times New Roman"/>
          <w:b/>
          <w:i w:val="0"/>
          <w:color w:val="000000"/>
          <w:sz w:val="20"/>
        </w:rPr>
        <w:t>in proportion to how clearly it worked</w:t>
      </w:r>
      <w:r>
        <w:rPr>
          <w:rFonts w:ascii="Times New Roman" w:hAnsi="Times New Roman"/>
          <w:b w:val="0"/>
          <w:i w:val="0"/>
          <w:color w:val="000000"/>
          <w:sz w:val="20"/>
        </w:rPr>
        <w:t>.</w:t>
      </w:r>
    </w:p>
    <w:p>
      <w:pPr>
        <w:spacing w:after="80" w:before="0" w:line="254" w:lineRule="auto"/>
        <w:jc w:val="both"/>
      </w:pPr>
      <w:r>
        <w:rPr>
          <w:rFonts w:ascii="Times New Roman" w:hAnsi="Times New Roman"/>
          <w:b w:val="0"/>
          <w:i w:val="0"/>
          <w:color w:val="000000"/>
          <w:sz w:val="20"/>
        </w:rPr>
        <w:t xml:space="preserve">The fix is clause-scoped negation detection in the action scorer. We report the withdrawn figure because the failure is general: a defense that changes the </w:t>
      </w:r>
      <w:r>
        <w:rPr>
          <w:rFonts w:ascii="Times New Roman" w:hAnsi="Times New Roman"/>
          <w:b w:val="0"/>
          <w:i/>
          <w:color w:val="000000"/>
          <w:sz w:val="20"/>
        </w:rPr>
        <w:t>shape</w:t>
      </w:r>
      <w:r>
        <w:rPr>
          <w:rFonts w:ascii="Times New Roman" w:hAnsi="Times New Roman"/>
          <w:b w:val="0"/>
          <w:i w:val="0"/>
          <w:color w:val="000000"/>
          <w:sz w:val="20"/>
        </w:rPr>
        <w:t xml:space="preserve"> of model output can corrupt any keyword-based metric measuring it, and the corruption is sign-preserving with the defense's effectiveness. Any evaluation of a prompt-level defense using lexical scoring is exposed to it.</w:t>
      </w:r>
    </w:p>
    <w:p>
      <w:pPr>
        <w:spacing w:after="100" w:before="240" w:line="254" w:lineRule="auto"/>
        <w:jc w:val="left"/>
      </w:pPr>
      <w:r>
        <w:rPr>
          <w:rFonts w:ascii="Times New Roman" w:hAnsi="Times New Roman"/>
          <w:b/>
          <w:i w:val="0"/>
          <w:color w:val="000000"/>
          <w:sz w:val="22"/>
        </w:rPr>
        <w:t>VII. EXTERNAL VALIDITY: DETECTION FALLS FROM 96.7% TO ≈18%</w:t>
      </w:r>
    </w:p>
    <w:p>
      <w:pPr>
        <w:spacing w:after="120" w:before="0" w:line="254" w:lineRule="auto"/>
        <w:jc w:val="left"/>
      </w:pPr>
      <w:r>
        <w:rPr>
          <w:rFonts w:ascii="Times New Roman" w:hAnsi="Times New Roman"/>
          <w:b w:val="0"/>
          <w:i/>
          <w:color w:val="444A53"/>
          <w:sz w:val="17"/>
        </w:rPr>
        <w:t>Artifacts: `results/phase12/`, `results/noise_floor/injecagent.json`. 60 cases per arm, 30 per stratum.</w:t>
      </w:r>
    </w:p>
    <w:p>
      <w:pPr>
        <w:spacing w:after="80" w:before="0" w:line="254" w:lineRule="auto"/>
        <w:jc w:val="both"/>
      </w:pPr>
      <w:r>
        <w:rPr>
          <w:rFonts w:ascii="Times New Roman" w:hAnsi="Times New Roman"/>
          <w:b w:val="0"/>
          <w:i w:val="0"/>
          <w:color w:val="000000"/>
          <w:sz w:val="20"/>
        </w:rPr>
        <w:t xml:space="preserve">On our own corpus the causal sub-layer detects 116/120 = 96.7% [91.7%, 98.7%] of injections at a false-positive rate of 3.3% [0.9%, 11.4%] against 60 externally-authored benign documents. Those are the numbers a paper would normally headline. This section is what happens when the </w:t>
      </w:r>
      <w:r>
        <w:rPr>
          <w:rFonts w:ascii="Times New Roman" w:hAnsi="Times New Roman"/>
          <w:b w:val="0"/>
          <w:i/>
          <w:color w:val="000000"/>
          <w:sz w:val="20"/>
        </w:rPr>
        <w:t>attacks</w:t>
      </w:r>
      <w:r>
        <w:rPr>
          <w:rFonts w:ascii="Times New Roman" w:hAnsi="Times New Roman"/>
          <w:b w:val="0"/>
          <w:i w:val="0"/>
          <w:color w:val="000000"/>
          <w:sz w:val="20"/>
        </w:rPr>
        <w:t xml:space="preserve"> are also written by someone else.</w:t>
      </w:r>
    </w:p>
    <w:p>
      <w:pPr>
        <w:spacing w:after="60" w:before="160" w:line="254" w:lineRule="auto"/>
        <w:jc w:val="left"/>
      </w:pPr>
      <w:r>
        <w:rPr>
          <w:rFonts w:ascii="Times New Roman" w:hAnsi="Times New Roman"/>
          <w:b/>
          <w:i/>
          <w:color w:val="000000"/>
          <w:sz w:val="20"/>
        </w:rPr>
        <w:t>A. Result</w:t>
      </w:r>
    </w:p>
    <w:tbl>
      <w:tblPr>
        <w:tblStyle w:val="TableGrid"/>
        <w:tblW w:type="auto" w:w="0"/>
        <w:jc w:val="center"/>
        <w:tblLayout w:type="fixed"/>
        <w:tblLook w:firstColumn="1" w:firstRow="1" w:lastColumn="0" w:lastRow="0" w:noHBand="0" w:noVBand="1" w:val="04A0"/>
      </w:tblPr>
      <w:tblGrid>
        <w:gridCol w:w="4051"/>
        <w:gridCol w:w="2096"/>
        <w:gridCol w:w="1257"/>
        <w:gridCol w:w="1956"/>
      </w:tblGrid>
      <w:tr>
        <w:tc>
          <w:tcPr>
            <w:tcW w:type="dxa" w:w="4051"/>
            <w:shd w:val="clear" w:fill="EDF1F5"/>
          </w:tcPr>
          <w:p>
            <w:pPr>
              <w:spacing w:after="20" w:before="20"/>
              <w:jc w:val="left"/>
            </w:pPr>
            <w:r>
              <w:rPr>
                <w:rFonts w:ascii="Times New Roman" w:hAnsi="Times New Roman"/>
                <w:b/>
                <w:i w:val="0"/>
                <w:color w:val="000000"/>
                <w:sz w:val="17"/>
              </w:rPr>
              <w:t>Stratum</w:t>
            </w:r>
          </w:p>
        </w:tc>
        <w:tc>
          <w:tcPr>
            <w:tcW w:type="dxa" w:w="2096"/>
            <w:shd w:val="clear" w:fill="EDF1F5"/>
          </w:tcPr>
          <w:p>
            <w:pPr>
              <w:spacing w:after="20" w:before="20"/>
              <w:jc w:val="left"/>
            </w:pPr>
            <w:r>
              <w:rPr>
                <w:rFonts w:ascii="Times New Roman" w:hAnsi="Times New Roman"/>
                <w:b/>
                <w:i w:val="0"/>
                <w:color w:val="000000"/>
                <w:sz w:val="17"/>
              </w:rPr>
              <w:t>share of corpus</w:t>
            </w:r>
          </w:p>
        </w:tc>
        <w:tc>
          <w:tcPr>
            <w:tcW w:type="dxa" w:w="1257"/>
            <w:shd w:val="clear" w:fill="EDF1F5"/>
          </w:tcPr>
          <w:p>
            <w:pPr>
              <w:spacing w:after="20" w:before="20"/>
              <w:jc w:val="left"/>
            </w:pPr>
            <w:r>
              <w:rPr>
                <w:rFonts w:ascii="Times New Roman" w:hAnsi="Times New Roman"/>
                <w:b/>
                <w:i w:val="0"/>
                <w:color w:val="000000"/>
                <w:sz w:val="17"/>
              </w:rPr>
              <w:t>detection</w:t>
            </w:r>
          </w:p>
        </w:tc>
        <w:tc>
          <w:tcPr>
            <w:tcW w:type="dxa" w:w="1956"/>
            <w:shd w:val="clear" w:fill="EDF1F5"/>
          </w:tcPr>
          <w:p>
            <w:pPr>
              <w:spacing w:after="20" w:before="20"/>
              <w:jc w:val="left"/>
            </w:pPr>
            <w:r>
              <w:rPr>
                <w:rFonts w:ascii="Times New Roman" w:hAnsi="Times New Roman"/>
                <w:b/>
                <w:i w:val="0"/>
                <w:color w:val="000000"/>
                <w:sz w:val="17"/>
              </w:rPr>
              <w:t>95% Wilson</w:t>
            </w:r>
          </w:p>
        </w:tc>
      </w:tr>
      <w:tr>
        <w:tc>
          <w:tcPr>
            <w:tcW w:type="dxa" w:w="4051"/>
          </w:tcPr>
          <w:p>
            <w:pPr>
              <w:spacing w:after="20" w:before="20"/>
              <w:jc w:val="left"/>
            </w:pPr>
            <w:r>
              <w:rPr>
                <w:rFonts w:ascii="Times New Roman" w:hAnsi="Times New Roman"/>
                <w:b w:val="0"/>
                <w:i w:val="0"/>
                <w:color w:val="000000"/>
                <w:sz w:val="17"/>
              </w:rPr>
              <w:t>target-match path fires</w:t>
            </w:r>
          </w:p>
        </w:tc>
        <w:tc>
          <w:tcPr>
            <w:tcW w:type="dxa" w:w="2096"/>
          </w:tcPr>
          <w:p>
            <w:pPr>
              <w:spacing w:after="20" w:before="20"/>
              <w:jc w:val="right"/>
            </w:pPr>
            <w:r>
              <w:rPr>
                <w:rFonts w:ascii="Times New Roman" w:hAnsi="Times New Roman"/>
                <w:b w:val="0"/>
                <w:i w:val="0"/>
                <w:color w:val="000000"/>
                <w:sz w:val="17"/>
              </w:rPr>
              <w:t>≈10%</w:t>
            </w:r>
          </w:p>
        </w:tc>
        <w:tc>
          <w:tcPr>
            <w:tcW w:type="dxa" w:w="1257"/>
          </w:tcPr>
          <w:p>
            <w:pPr>
              <w:spacing w:after="20" w:before="20"/>
              <w:jc w:val="right"/>
            </w:pPr>
            <w:r>
              <w:rPr>
                <w:rFonts w:ascii="Times New Roman" w:hAnsi="Times New Roman"/>
                <w:b w:val="0"/>
                <w:i w:val="0"/>
                <w:color w:val="000000"/>
                <w:sz w:val="17"/>
              </w:rPr>
              <w:t>96.7%</w:t>
            </w:r>
          </w:p>
        </w:tc>
        <w:tc>
          <w:tcPr>
            <w:tcW w:type="dxa" w:w="1956"/>
          </w:tcPr>
          <w:p>
            <w:pPr>
              <w:spacing w:after="20" w:before="20"/>
              <w:jc w:val="left"/>
            </w:pPr>
            <w:r>
              <w:rPr>
                <w:rFonts w:ascii="Times New Roman" w:hAnsi="Times New Roman"/>
                <w:b w:val="0"/>
                <w:i w:val="0"/>
                <w:color w:val="000000"/>
                <w:sz w:val="17"/>
              </w:rPr>
              <w:t>[83.3%, 99.4%]</w:t>
            </w:r>
          </w:p>
        </w:tc>
      </w:tr>
      <w:tr>
        <w:tc>
          <w:tcPr>
            <w:tcW w:type="dxa" w:w="4051"/>
          </w:tcPr>
          <w:p>
            <w:pPr>
              <w:spacing w:after="20" w:before="20"/>
              <w:jc w:val="left"/>
            </w:pPr>
            <w:r>
              <w:rPr>
                <w:rFonts w:ascii="Times New Roman" w:hAnsi="Times New Roman"/>
                <w:b w:val="0"/>
                <w:i w:val="0"/>
                <w:color w:val="000000"/>
                <w:sz w:val="17"/>
              </w:rPr>
              <w:t>target-match path cannot fire</w:t>
            </w:r>
          </w:p>
        </w:tc>
        <w:tc>
          <w:tcPr>
            <w:tcW w:type="dxa" w:w="2096"/>
          </w:tcPr>
          <w:p>
            <w:pPr>
              <w:spacing w:after="20" w:before="20"/>
              <w:jc w:val="right"/>
            </w:pPr>
            <w:r>
              <w:rPr>
                <w:rFonts w:ascii="Times New Roman" w:hAnsi="Times New Roman"/>
                <w:b w:val="0"/>
                <w:i w:val="0"/>
                <w:color w:val="000000"/>
                <w:sz w:val="17"/>
              </w:rPr>
              <w:t>≈90%</w:t>
            </w:r>
          </w:p>
        </w:tc>
        <w:tc>
          <w:tcPr>
            <w:tcW w:type="dxa" w:w="1257"/>
          </w:tcPr>
          <w:p>
            <w:pPr>
              <w:spacing w:after="20" w:before="20"/>
              <w:jc w:val="right"/>
            </w:pPr>
            <w:r>
              <w:rPr>
                <w:rFonts w:ascii="Times New Roman" w:hAnsi="Times New Roman"/>
                <w:b w:val="0"/>
                <w:i w:val="0"/>
                <w:color w:val="000000"/>
                <w:sz w:val="17"/>
              </w:rPr>
              <w:t>10.0%</w:t>
            </w:r>
          </w:p>
        </w:tc>
        <w:tc>
          <w:tcPr>
            <w:tcW w:type="dxa" w:w="1956"/>
          </w:tcPr>
          <w:p>
            <w:pPr>
              <w:spacing w:after="20" w:before="20"/>
              <w:jc w:val="left"/>
            </w:pPr>
            <w:r>
              <w:rPr>
                <w:rFonts w:ascii="Times New Roman" w:hAnsi="Times New Roman"/>
                <w:b w:val="0"/>
                <w:i w:val="0"/>
                <w:color w:val="000000"/>
                <w:sz w:val="17"/>
              </w:rPr>
              <w:t>[3.5%, 25.6%]</w:t>
            </w:r>
          </w:p>
        </w:tc>
      </w:tr>
    </w:tbl>
    <w:p>
      <w:pPr>
        <w:spacing w:after="160" w:before="0" w:line="254" w:lineRule="auto"/>
        <w:jc w:val="left"/>
      </w:pPr>
      <w:r>
        <w:rPr>
          <w:rFonts w:ascii="Times New Roman" w:hAnsi="Times New Roman"/>
          <w:b/>
          <w:i w:val="0"/>
          <w:color w:val="444A53"/>
          <w:sz w:val="17"/>
        </w:rPr>
        <w:t>Table VI.</w:t>
      </w:r>
      <w:r>
        <w:rPr>
          <w:rFonts w:ascii="Times New Roman" w:hAnsi="Times New Roman"/>
          <w:b w:val="0"/>
          <w:i w:val="0"/>
          <w:color w:val="444A53"/>
          <w:sz w:val="17"/>
        </w:rPr>
        <w:t xml:space="preserve"> Detection on InjecAgent by stratum, median of three recordings. End-to-end, the complete system's ASR on this corpus is 29/60 = 48.3%, against 60/60 for both undefended and static-rule arms.</w:t>
      </w:r>
    </w:p>
    <w:p>
      <w:pPr>
        <w:spacing w:before="160" w:after="60"/>
        <w:jc w:val="center"/>
      </w:pPr>
      <w:r>
        <w:drawing>
          <wp:inline xmlns:a="http://schemas.openxmlformats.org/drawingml/2006/main" xmlns:pic="http://schemas.openxmlformats.org/drawingml/2006/picture">
            <wp:extent cx="3797627" cy="2834640"/>
            <wp:docPr id="3" name="Picture 3"/>
            <wp:cNvGraphicFramePr>
              <a:graphicFrameLocks noChangeAspect="1"/>
            </wp:cNvGraphicFramePr>
            <a:graphic>
              <a:graphicData uri="http://schemas.openxmlformats.org/drawingml/2006/picture">
                <pic:pic>
                  <pic:nvPicPr>
                    <pic:cNvPr id="0" name="fig2_stratified.png"/>
                    <pic:cNvPicPr/>
                  </pic:nvPicPr>
                  <pic:blipFill>
                    <a:blip r:embed="rId12"/>
                    <a:stretch>
                      <a:fillRect/>
                    </a:stretch>
                  </pic:blipFill>
                  <pic:spPr>
                    <a:xfrm>
                      <a:off x="0" y="0"/>
                      <a:ext cx="3797627" cy="2834640"/>
                    </a:xfrm>
                    <a:prstGeom prst="rect"/>
                  </pic:spPr>
                </pic:pic>
              </a:graphicData>
            </a:graphic>
          </wp:inline>
        </w:drawing>
      </w:r>
    </w:p>
    <w:p>
      <w:pPr>
        <w:spacing w:after="180" w:before="0" w:line="254" w:lineRule="auto"/>
        <w:ind w:left="0"/>
        <w:jc w:val="left"/>
      </w:pPr>
      <w:r>
        <w:rPr>
          <w:rFonts w:ascii="Times New Roman" w:hAnsi="Times New Roman"/>
          <w:b/>
          <w:i w:val="0"/>
          <w:color w:val="444A53"/>
          <w:sz w:val="17"/>
        </w:rPr>
        <w:t>Fig. 3.</w:t>
      </w:r>
      <w:r>
        <w:rPr>
          <w:rFonts w:ascii="Times New Roman" w:hAnsi="Times New Roman"/>
          <w:b w:val="0"/>
          <w:i w:val="0"/>
          <w:color w:val="444A53"/>
          <w:sz w:val="17"/>
        </w:rPr>
        <w:t xml:space="preserve"> Detection on externally-authored attacks, split by whether the target-match path can fire. Dots are the three independent recordings; the pooled figure is wrong for the population by 33 points.</w:t>
      </w:r>
    </w:p>
    <w:p>
      <w:pPr>
        <w:spacing w:after="80" w:before="0" w:line="254" w:lineRule="auto"/>
        <w:jc w:val="both"/>
      </w:pPr>
      <w:r>
        <w:rPr>
          <w:rFonts w:ascii="Times New Roman" w:hAnsi="Times New Roman"/>
          <w:b/>
          <w:i w:val="0"/>
          <w:color w:val="000000"/>
          <w:sz w:val="20"/>
        </w:rPr>
        <w:t>The strata must not be pooled.</w:t>
      </w:r>
      <w:r>
        <w:rPr>
          <w:rFonts w:ascii="Times New Roman" w:hAnsi="Times New Roman"/>
          <w:b w:val="0"/>
          <w:i w:val="0"/>
          <w:color w:val="000000"/>
          <w:sz w:val="20"/>
        </w:rPr>
        <w:t xml:space="preserve"> The evaluation draws 30 cases from each stratum, but the underlying population is split 51/459. A pooled figure over the balanced draw gives 51.7%, which is wrong for InjecAgent by 33 points. This is not a subtlety about weighting; it is the difference between a defense that works and one that does not, and a single pooled number reports the sampling design rather than the system.</w:t>
      </w:r>
    </w:p>
    <w:p>
      <w:pPr>
        <w:spacing w:after="60" w:before="160" w:line="254" w:lineRule="auto"/>
        <w:jc w:val="left"/>
      </w:pPr>
      <w:r>
        <w:rPr>
          <w:rFonts w:ascii="Times New Roman" w:hAnsi="Times New Roman"/>
          <w:b/>
          <w:i/>
          <w:color w:val="000000"/>
          <w:sz w:val="20"/>
        </w:rPr>
        <w:t>B. Why detection collapses</w:t>
      </w:r>
    </w:p>
    <w:p>
      <w:pPr>
        <w:spacing w:after="80" w:before="0" w:line="254" w:lineRule="auto"/>
        <w:jc w:val="both"/>
      </w:pPr>
      <w:r>
        <w:rPr>
          <w:rFonts w:ascii="Times New Roman" w:hAnsi="Times New Roman"/>
          <w:b w:val="0"/>
          <w:i w:val="0"/>
          <w:color w:val="000000"/>
          <w:sz w:val="20"/>
        </w:rPr>
        <w:t xml:space="preserve">The detector's severity scorer was built around a data-movement vocabulary — </w:t>
      </w:r>
      <w:r>
        <w:rPr>
          <w:rFonts w:ascii="Times New Roman" w:hAnsi="Times New Roman"/>
          <w:b w:val="0"/>
          <w:i/>
          <w:color w:val="000000"/>
          <w:sz w:val="20"/>
        </w:rPr>
        <w:t>forward, exfiltrate, upload, delete, post, send, write</w:t>
      </w:r>
      <w:r>
        <w:rPr>
          <w:rFonts w:ascii="Times New Roman" w:hAnsi="Times New Roman"/>
          <w:b w:val="0"/>
          <w:i w:val="0"/>
          <w:color w:val="000000"/>
          <w:sz w:val="20"/>
        </w:rPr>
        <w:t>. It measures that shape well. InjecAgent's attacks mostly do not have it.</w:t>
      </w:r>
    </w:p>
    <w:p>
      <w:pPr>
        <w:spacing w:after="80" w:before="0" w:line="254" w:lineRule="auto"/>
        <w:jc w:val="both"/>
      </w:pPr>
      <w:r>
        <w:rPr>
          <w:rFonts w:ascii="Times New Roman" w:hAnsi="Times New Roman"/>
          <w:b w:val="0"/>
          <w:i w:val="0"/>
          <w:color w:val="000000"/>
          <w:sz w:val="20"/>
        </w:rPr>
        <w:t xml:space="preserve">The recorded probe transcripts show the failure is </w:t>
      </w:r>
      <w:r>
        <w:rPr>
          <w:rFonts w:ascii="Times New Roman" w:hAnsi="Times New Roman"/>
          <w:b/>
          <w:i w:val="0"/>
          <w:color w:val="000000"/>
          <w:sz w:val="20"/>
        </w:rPr>
        <w:t>not</w:t>
      </w:r>
      <w:r>
        <w:rPr>
          <w:rFonts w:ascii="Times New Roman" w:hAnsi="Times New Roman"/>
          <w:b w:val="0"/>
          <w:i w:val="0"/>
          <w:color w:val="000000"/>
          <w:sz w:val="20"/>
        </w:rPr>
        <w:t xml:space="preserve"> in the probe. Shown the injected content, the model reports the action faithfully and verbatim: </w:t>
      </w:r>
      <w:r>
        <w:rPr>
          <w:rFonts w:ascii="Times New Roman" w:hAnsi="Times New Roman"/>
          <w:b w:val="0"/>
          <w:i/>
          <w:color w:val="000000"/>
          <w:sz w:val="20"/>
        </w:rPr>
        <w:t>"grant permanent access to guest_amy01 on the August Smart Lock system"</w:t>
      </w:r>
      <w:r>
        <w:rPr>
          <w:rFonts w:ascii="Times New Roman" w:hAnsi="Times New Roman"/>
          <w:b w:val="0"/>
          <w:i w:val="0"/>
          <w:color w:val="000000"/>
          <w:sz w:val="20"/>
        </w:rPr>
        <w:t xml:space="preserve">, </w:t>
      </w:r>
      <w:r>
        <w:rPr>
          <w:rFonts w:ascii="Times New Roman" w:hAnsi="Times New Roman"/>
          <w:b w:val="0"/>
          <w:i/>
          <w:color w:val="000000"/>
          <w:sz w:val="20"/>
        </w:rPr>
        <w:t>"transfer $3,000 to account number 123-1234-1234"</w:t>
      </w:r>
      <w:r>
        <w:rPr>
          <w:rFonts w:ascii="Times New Roman" w:hAnsi="Times New Roman"/>
          <w:b w:val="0"/>
          <w:i w:val="0"/>
          <w:color w:val="000000"/>
          <w:sz w:val="20"/>
        </w:rPr>
        <w:t xml:space="preserve">, </w:t>
      </w:r>
      <w:r>
        <w:rPr>
          <w:rFonts w:ascii="Times New Roman" w:hAnsi="Times New Roman"/>
          <w:b w:val="0"/>
          <w:i/>
          <w:color w:val="000000"/>
          <w:sz w:val="20"/>
        </w:rPr>
        <w:t>"unlock the front door"</w:t>
      </w:r>
      <w:r>
        <w:rPr>
          <w:rFonts w:ascii="Times New Roman" w:hAnsi="Times New Roman"/>
          <w:b w:val="0"/>
          <w:i w:val="0"/>
          <w:color w:val="000000"/>
          <w:sz w:val="20"/>
        </w:rPr>
        <w:t xml:space="preserve">. The scorer then reads those correct transcriptions, finds no data-movement verb, and returns 0. </w:t>
      </w:r>
      <w:r>
        <w:rPr>
          <w:rFonts w:ascii="Times New Roman" w:hAnsi="Times New Roman"/>
          <w:b/>
          <w:i w:val="0"/>
          <w:color w:val="000000"/>
          <w:sz w:val="20"/>
        </w:rPr>
        <w:t>23 of 26</w:t>
      </w:r>
      <w:r>
        <w:rPr>
          <w:rFonts w:ascii="Times New Roman" w:hAnsi="Times New Roman"/>
          <w:b w:val="0"/>
          <w:i w:val="0"/>
          <w:color w:val="000000"/>
          <w:sz w:val="20"/>
        </w:rPr>
        <w:t xml:space="preserve"> recorded address-free cases score (0, 0) with a perfectly correct transcription sitting in the log.</w:t>
      </w:r>
    </w:p>
    <w:p>
      <w:pPr>
        <w:spacing w:after="80" w:before="0" w:line="254" w:lineRule="auto"/>
        <w:jc w:val="both"/>
      </w:pPr>
      <w:r>
        <w:rPr>
          <w:rFonts w:ascii="Times New Roman" w:hAnsi="Times New Roman"/>
          <w:b w:val="0"/>
          <w:i w:val="0"/>
          <w:color w:val="000000"/>
          <w:sz w:val="20"/>
        </w:rPr>
        <w:t xml:space="preserve">Severity 0 is below </w:t>
      </w:r>
      <w:r>
        <w:rPr>
          <w:rFonts w:ascii="Times New Roman" w:hAnsi="Times New Roman"/>
          <w:b w:val="0"/>
          <w:i/>
          <w:color w:val="000000"/>
          <w:sz w:val="20"/>
        </w:rPr>
        <w:t>both</w:t>
      </w:r>
      <w:r>
        <w:rPr>
          <w:rFonts w:ascii="Times New Roman" w:hAnsi="Times New Roman"/>
          <w:b w:val="0"/>
          <w:i w:val="0"/>
          <w:color w:val="000000"/>
          <w:sz w:val="20"/>
        </w:rPr>
        <w:t xml:space="preserve"> detection rules at once — the standalone rule requires 2, the indirect-effect rule requires at least 1 — so no threshold setting could have reached these cases. The deficiency is a </w:t>
      </w:r>
      <w:r>
        <w:rPr>
          <w:rFonts w:ascii="Times New Roman" w:hAnsi="Times New Roman"/>
          <w:b/>
          <w:i w:val="0"/>
          <w:color w:val="000000"/>
          <w:sz w:val="20"/>
        </w:rPr>
        <w:t>harm taxonomy that names one kind of harm</w:t>
      </w:r>
      <w:r>
        <w:rPr>
          <w:rFonts w:ascii="Times New Roman" w:hAnsi="Times New Roman"/>
          <w:b w:val="0"/>
          <w:i w:val="0"/>
          <w:color w:val="000000"/>
          <w:sz w:val="20"/>
        </w:rPr>
        <w:t>, not a threshold that sits too high. §VIII is the attempt to widen it.</w:t>
      </w:r>
    </w:p>
    <w:p>
      <w:pPr>
        <w:spacing w:after="60" w:before="160" w:line="254" w:lineRule="auto"/>
        <w:jc w:val="left"/>
      </w:pPr>
      <w:r>
        <w:rPr>
          <w:rFonts w:ascii="Times New Roman" w:hAnsi="Times New Roman"/>
          <w:b/>
          <w:i/>
          <w:color w:val="000000"/>
          <w:sz w:val="20"/>
        </w:rPr>
        <w:t>C. What replicates</w:t>
      </w:r>
    </w:p>
    <w:p>
      <w:pPr>
        <w:spacing w:after="80" w:before="0" w:line="254" w:lineRule="auto"/>
        <w:jc w:val="both"/>
      </w:pPr>
      <w:r>
        <w:rPr>
          <w:rFonts w:ascii="Times New Roman" w:hAnsi="Times New Roman"/>
          <w:b w:val="0"/>
          <w:i w:val="0"/>
          <w:color w:val="000000"/>
          <w:sz w:val="20"/>
        </w:rPr>
        <w:t xml:space="preserve">The static-rule arm stops 0 of 60 here, replicating §V's zero on a corpus we did not write: the components that were inert on our data are inert on someone else's. And the backstop share is 0% — the egress allowlist, which absorbed everything in §VI, catches nothing here, because these attacks carry no address to filter. Taken with §V, this bounds the contribution precisely: </w:t>
      </w:r>
      <w:r>
        <w:rPr>
          <w:rFonts w:ascii="Times New Roman" w:hAnsi="Times New Roman"/>
          <w:b/>
          <w:i w:val="0"/>
          <w:color w:val="000000"/>
          <w:sz w:val="20"/>
        </w:rPr>
        <w:t>the causal sub-layer is the only component that detects anything, and what it detects is attacks shaped like the ones it was built against.</w:t>
      </w:r>
    </w:p>
    <w:p>
      <w:pPr>
        <w:spacing w:after="60" w:before="160" w:line="254" w:lineRule="auto"/>
        <w:jc w:val="left"/>
      </w:pPr>
      <w:r>
        <w:rPr>
          <w:rFonts w:ascii="Times New Roman" w:hAnsi="Times New Roman"/>
          <w:b/>
          <w:i/>
          <w:color w:val="000000"/>
          <w:sz w:val="20"/>
        </w:rPr>
        <w:t>D. Stability of the collapse</w:t>
      </w:r>
    </w:p>
    <w:p>
      <w:pPr>
        <w:spacing w:after="80" w:before="0" w:line="254" w:lineRule="auto"/>
        <w:jc w:val="both"/>
      </w:pPr>
      <w:r>
        <w:rPr>
          <w:rFonts w:ascii="Times New Roman" w:hAnsi="Times New Roman"/>
          <w:b w:val="0"/>
          <w:i w:val="0"/>
          <w:color w:val="000000"/>
          <w:sz w:val="20"/>
        </w:rPr>
        <w:t>The stratified figures were originally single-run, which for a flagship result is the least defensible position to hold. We recorded the cohort three independent times and re-scored each through the shipped detection rules.</w:t>
      </w:r>
    </w:p>
    <w:tbl>
      <w:tblPr>
        <w:tblStyle w:val="TableGrid"/>
        <w:tblW w:type="auto" w:w="0"/>
        <w:jc w:val="center"/>
        <w:tblLayout w:type="fixed"/>
        <w:tblLook w:firstColumn="1" w:firstRow="1" w:lastColumn="0" w:lastRow="0" w:noHBand="0" w:noVBand="1" w:val="04A0"/>
      </w:tblPr>
      <w:tblGrid>
        <w:gridCol w:w="2736"/>
        <w:gridCol w:w="1152"/>
        <w:gridCol w:w="1152"/>
        <w:gridCol w:w="1152"/>
        <w:gridCol w:w="1152"/>
        <w:gridCol w:w="2016"/>
      </w:tblGrid>
      <w:tr>
        <w:tc>
          <w:tcPr>
            <w:tcW w:type="dxa" w:w="2736"/>
            <w:shd w:val="clear" w:fill="EDF1F5"/>
          </w:tcPr>
          <w:p>
            <w:pPr>
              <w:spacing w:after="20" w:before="20"/>
              <w:jc w:val="left"/>
            </w:pPr>
            <w:r>
              <w:rPr>
                <w:rFonts w:ascii="Times New Roman" w:hAnsi="Times New Roman"/>
                <w:b/>
                <w:i w:val="0"/>
                <w:color w:val="000000"/>
                <w:sz w:val="17"/>
              </w:rPr>
              <w:t>Stratum</w:t>
            </w:r>
          </w:p>
        </w:tc>
        <w:tc>
          <w:tcPr>
            <w:tcW w:type="dxa" w:w="1152"/>
            <w:shd w:val="clear" w:fill="EDF1F5"/>
          </w:tcPr>
          <w:p>
            <w:pPr>
              <w:spacing w:after="20" w:before="20"/>
              <w:jc w:val="left"/>
            </w:pPr>
            <w:r>
              <w:rPr>
                <w:rFonts w:ascii="Times New Roman" w:hAnsi="Times New Roman"/>
                <w:b/>
                <w:i w:val="0"/>
                <w:color w:val="000000"/>
                <w:sz w:val="17"/>
              </w:rPr>
              <w:t>run 0</w:t>
            </w:r>
          </w:p>
        </w:tc>
        <w:tc>
          <w:tcPr>
            <w:tcW w:type="dxa" w:w="1152"/>
            <w:shd w:val="clear" w:fill="EDF1F5"/>
          </w:tcPr>
          <w:p>
            <w:pPr>
              <w:spacing w:after="20" w:before="20"/>
              <w:jc w:val="left"/>
            </w:pPr>
            <w:r>
              <w:rPr>
                <w:rFonts w:ascii="Times New Roman" w:hAnsi="Times New Roman"/>
                <w:b/>
                <w:i w:val="0"/>
                <w:color w:val="000000"/>
                <w:sz w:val="17"/>
              </w:rPr>
              <w:t>run 1</w:t>
            </w:r>
          </w:p>
        </w:tc>
        <w:tc>
          <w:tcPr>
            <w:tcW w:type="dxa" w:w="1152"/>
            <w:shd w:val="clear" w:fill="EDF1F5"/>
          </w:tcPr>
          <w:p>
            <w:pPr>
              <w:spacing w:after="20" w:before="20"/>
              <w:jc w:val="left"/>
            </w:pPr>
            <w:r>
              <w:rPr>
                <w:rFonts w:ascii="Times New Roman" w:hAnsi="Times New Roman"/>
                <w:b/>
                <w:i w:val="0"/>
                <w:color w:val="000000"/>
                <w:sz w:val="17"/>
              </w:rPr>
              <w:t>run 2</w:t>
            </w:r>
          </w:p>
        </w:tc>
        <w:tc>
          <w:tcPr>
            <w:tcW w:type="dxa" w:w="1152"/>
            <w:shd w:val="clear" w:fill="EDF1F5"/>
          </w:tcPr>
          <w:p>
            <w:pPr>
              <w:spacing w:after="20" w:before="20"/>
              <w:jc w:val="left"/>
            </w:pPr>
            <w:r>
              <w:rPr>
                <w:rFonts w:ascii="Times New Roman" w:hAnsi="Times New Roman"/>
                <w:b/>
                <w:i w:val="0"/>
                <w:color w:val="000000"/>
                <w:sz w:val="17"/>
              </w:rPr>
              <w:t>spread</w:t>
            </w:r>
          </w:p>
        </w:tc>
        <w:tc>
          <w:tcPr>
            <w:tcW w:type="dxa" w:w="2016"/>
            <w:shd w:val="clear" w:fill="EDF1F5"/>
          </w:tcPr>
          <w:p>
            <w:pPr>
              <w:spacing w:after="20" w:before="20"/>
              <w:jc w:val="left"/>
            </w:pPr>
            <w:r>
              <w:rPr>
                <w:rFonts w:ascii="Times New Roman" w:hAnsi="Times New Roman"/>
                <w:b/>
                <w:i w:val="0"/>
                <w:color w:val="000000"/>
                <w:sz w:val="17"/>
              </w:rPr>
              <w:t>unstable cases</w:t>
            </w:r>
          </w:p>
        </w:tc>
      </w:tr>
      <w:tr>
        <w:tc>
          <w:tcPr>
            <w:tcW w:type="dxa" w:w="2736"/>
          </w:tcPr>
          <w:p>
            <w:pPr>
              <w:spacing w:after="20" w:before="20"/>
              <w:jc w:val="left"/>
            </w:pPr>
            <w:r>
              <w:rPr>
                <w:rFonts w:ascii="Times New Roman" w:hAnsi="Times New Roman"/>
                <w:b w:val="0"/>
                <w:i w:val="0"/>
                <w:color w:val="000000"/>
                <w:sz w:val="17"/>
              </w:rPr>
              <w:t>target-match fires</w:t>
            </w:r>
          </w:p>
        </w:tc>
        <w:tc>
          <w:tcPr>
            <w:tcW w:type="dxa" w:w="1152"/>
          </w:tcPr>
          <w:p>
            <w:pPr>
              <w:spacing w:after="20" w:before="20"/>
              <w:jc w:val="right"/>
            </w:pPr>
            <w:r>
              <w:rPr>
                <w:rFonts w:ascii="Times New Roman" w:hAnsi="Times New Roman"/>
                <w:b w:val="0"/>
                <w:i w:val="0"/>
                <w:color w:val="000000"/>
                <w:sz w:val="17"/>
              </w:rPr>
              <w:t>96.7%</w:t>
            </w:r>
          </w:p>
        </w:tc>
        <w:tc>
          <w:tcPr>
            <w:tcW w:type="dxa" w:w="1152"/>
          </w:tcPr>
          <w:p>
            <w:pPr>
              <w:spacing w:after="20" w:before="20"/>
              <w:jc w:val="right"/>
            </w:pPr>
            <w:r>
              <w:rPr>
                <w:rFonts w:ascii="Times New Roman" w:hAnsi="Times New Roman"/>
                <w:b w:val="0"/>
                <w:i w:val="0"/>
                <w:color w:val="000000"/>
                <w:sz w:val="17"/>
              </w:rPr>
              <w:t>96.7%</w:t>
            </w:r>
          </w:p>
        </w:tc>
        <w:tc>
          <w:tcPr>
            <w:tcW w:type="dxa" w:w="1152"/>
          </w:tcPr>
          <w:p>
            <w:pPr>
              <w:spacing w:after="20" w:before="20"/>
              <w:jc w:val="right"/>
            </w:pPr>
            <w:r>
              <w:rPr>
                <w:rFonts w:ascii="Times New Roman" w:hAnsi="Times New Roman"/>
                <w:b w:val="0"/>
                <w:i w:val="0"/>
                <w:color w:val="000000"/>
                <w:sz w:val="17"/>
              </w:rPr>
              <w:t>96.7%</w:t>
            </w:r>
          </w:p>
        </w:tc>
        <w:tc>
          <w:tcPr>
            <w:tcW w:type="dxa" w:w="1152"/>
          </w:tcPr>
          <w:p>
            <w:pPr>
              <w:spacing w:after="20" w:before="20"/>
              <w:jc w:val="right"/>
            </w:pPr>
            <w:r>
              <w:rPr>
                <w:rFonts w:ascii="Times New Roman" w:hAnsi="Times New Roman"/>
                <w:b w:val="0"/>
                <w:i w:val="0"/>
                <w:color w:val="000000"/>
                <w:sz w:val="17"/>
              </w:rPr>
              <w:t>0</w:t>
            </w:r>
          </w:p>
        </w:tc>
        <w:tc>
          <w:tcPr>
            <w:tcW w:type="dxa" w:w="2016"/>
          </w:tcPr>
          <w:p>
            <w:pPr>
              <w:spacing w:after="20" w:before="20"/>
              <w:jc w:val="right"/>
            </w:pPr>
            <w:r>
              <w:rPr>
                <w:rFonts w:ascii="Times New Roman" w:hAnsi="Times New Roman"/>
                <w:b w:val="0"/>
                <w:i w:val="0"/>
                <w:color w:val="000000"/>
                <w:sz w:val="17"/>
              </w:rPr>
              <w:t>0 / 30</w:t>
            </w:r>
          </w:p>
        </w:tc>
      </w:tr>
      <w:tr>
        <w:tc>
          <w:tcPr>
            <w:tcW w:type="dxa" w:w="2736"/>
          </w:tcPr>
          <w:p>
            <w:pPr>
              <w:spacing w:after="20" w:before="20"/>
              <w:jc w:val="left"/>
            </w:pPr>
            <w:r>
              <w:rPr>
                <w:rFonts w:ascii="Times New Roman" w:hAnsi="Times New Roman"/>
                <w:b w:val="0"/>
                <w:i w:val="0"/>
                <w:color w:val="000000"/>
                <w:sz w:val="17"/>
              </w:rPr>
              <w:t>target-match cannot</w:t>
            </w:r>
          </w:p>
        </w:tc>
        <w:tc>
          <w:tcPr>
            <w:tcW w:type="dxa" w:w="1152"/>
          </w:tcPr>
          <w:p>
            <w:pPr>
              <w:spacing w:after="20" w:before="20"/>
              <w:jc w:val="right"/>
            </w:pPr>
            <w:r>
              <w:rPr>
                <w:rFonts w:ascii="Times New Roman" w:hAnsi="Times New Roman"/>
                <w:b w:val="0"/>
                <w:i w:val="0"/>
                <w:color w:val="000000"/>
                <w:sz w:val="17"/>
              </w:rPr>
              <w:t>13.3%</w:t>
            </w:r>
          </w:p>
        </w:tc>
        <w:tc>
          <w:tcPr>
            <w:tcW w:type="dxa" w:w="1152"/>
          </w:tcPr>
          <w:p>
            <w:pPr>
              <w:spacing w:after="20" w:before="20"/>
              <w:jc w:val="right"/>
            </w:pPr>
            <w:r>
              <w:rPr>
                <w:rFonts w:ascii="Times New Roman" w:hAnsi="Times New Roman"/>
                <w:b w:val="0"/>
                <w:i w:val="0"/>
                <w:color w:val="000000"/>
                <w:sz w:val="17"/>
              </w:rPr>
              <w:t>10.0%</w:t>
            </w:r>
          </w:p>
        </w:tc>
        <w:tc>
          <w:tcPr>
            <w:tcW w:type="dxa" w:w="1152"/>
          </w:tcPr>
          <w:p>
            <w:pPr>
              <w:spacing w:after="20" w:before="20"/>
              <w:jc w:val="right"/>
            </w:pPr>
            <w:r>
              <w:rPr>
                <w:rFonts w:ascii="Times New Roman" w:hAnsi="Times New Roman"/>
                <w:b w:val="0"/>
                <w:i w:val="0"/>
                <w:color w:val="000000"/>
                <w:sz w:val="17"/>
              </w:rPr>
              <w:t>10.0%</w:t>
            </w:r>
          </w:p>
        </w:tc>
        <w:tc>
          <w:tcPr>
            <w:tcW w:type="dxa" w:w="1152"/>
          </w:tcPr>
          <w:p>
            <w:pPr>
              <w:spacing w:after="20" w:before="20"/>
              <w:jc w:val="left"/>
            </w:pPr>
            <w:r>
              <w:rPr>
                <w:rFonts w:ascii="Times New Roman" w:hAnsi="Times New Roman"/>
                <w:b w:val="0"/>
                <w:i w:val="0"/>
                <w:color w:val="000000"/>
                <w:sz w:val="17"/>
              </w:rPr>
              <w:t>1 case</w:t>
            </w:r>
          </w:p>
        </w:tc>
        <w:tc>
          <w:tcPr>
            <w:tcW w:type="dxa" w:w="2016"/>
          </w:tcPr>
          <w:p>
            <w:pPr>
              <w:spacing w:after="20" w:before="20"/>
              <w:jc w:val="right"/>
            </w:pPr>
            <w:r>
              <w:rPr>
                <w:rFonts w:ascii="Times New Roman" w:hAnsi="Times New Roman"/>
                <w:b w:val="0"/>
                <w:i w:val="0"/>
                <w:color w:val="000000"/>
                <w:sz w:val="17"/>
              </w:rPr>
              <w:t>1 / 30</w:t>
            </w:r>
          </w:p>
        </w:tc>
      </w:tr>
    </w:tbl>
    <w:p>
      <w:pPr>
        <w:spacing w:after="160" w:before="0" w:line="254" w:lineRule="auto"/>
        <w:jc w:val="left"/>
      </w:pPr>
      <w:r>
        <w:rPr>
          <w:rFonts w:ascii="Times New Roman" w:hAnsi="Times New Roman"/>
          <w:b/>
          <w:i w:val="0"/>
          <w:color w:val="444A53"/>
          <w:sz w:val="17"/>
        </w:rPr>
        <w:t>Table VII.</w:t>
      </w:r>
      <w:r>
        <w:rPr>
          <w:rFonts w:ascii="Times New Roman" w:hAnsi="Times New Roman"/>
          <w:b w:val="0"/>
          <w:i w:val="0"/>
          <w:color w:val="444A53"/>
          <w:sz w:val="17"/>
        </w:rPr>
        <w:t xml:space="preserve"> Repeat stability. The gap between strata is ≈86 points; run-to-run variation is at most one case, or 3.3 points.</w:t>
      </w:r>
    </w:p>
    <w:p>
      <w:pPr>
        <w:spacing w:after="80" w:before="0" w:line="254" w:lineRule="auto"/>
        <w:jc w:val="both"/>
      </w:pPr>
      <w:r>
        <w:rPr>
          <w:rFonts w:ascii="Times New Roman" w:hAnsi="Times New Roman"/>
          <w:b w:val="0"/>
          <w:i w:val="0"/>
          <w:color w:val="000000"/>
          <w:sz w:val="20"/>
        </w:rPr>
        <w:t xml:space="preserve">The target-match stratum is </w:t>
      </w:r>
      <w:r>
        <w:rPr>
          <w:rFonts w:ascii="Times New Roman" w:hAnsi="Times New Roman"/>
          <w:b w:val="0"/>
          <w:i/>
          <w:color w:val="000000"/>
          <w:sz w:val="20"/>
        </w:rPr>
        <w:t>perfectly</w:t>
      </w:r>
      <w:r>
        <w:rPr>
          <w:rFonts w:ascii="Times New Roman" w:hAnsi="Times New Roman"/>
          <w:b w:val="0"/>
          <w:i w:val="0"/>
          <w:color w:val="000000"/>
          <w:sz w:val="20"/>
        </w:rPr>
        <w:t xml:space="preserve"> stable — every one of its 30 documents receives the same verdict in all three runs — which is what one expects when detection rides on a near-deterministic string match rather than on a judgement. These are recordings re-scored offline, so they bound the recording instrument's variability rather than a full live run's; we claim only what that supports, namely that the stratified collapse is not an artifact of a single run.</w:t>
      </w:r>
    </w:p>
    <w:p>
      <w:pPr>
        <w:spacing w:after="100" w:before="240" w:line="254" w:lineRule="auto"/>
        <w:jc w:val="left"/>
      </w:pPr>
      <w:r>
        <w:rPr>
          <w:rFonts w:ascii="Times New Roman" w:hAnsi="Times New Roman"/>
          <w:b/>
          <w:i w:val="0"/>
          <w:color w:val="000000"/>
          <w:sz w:val="22"/>
        </w:rPr>
        <w:t>VIII. A HARM TAXONOMY GENERALIZES ABOUT HALF</w:t>
      </w:r>
    </w:p>
    <w:p>
      <w:pPr>
        <w:spacing w:after="120" w:before="0" w:line="254" w:lineRule="auto"/>
        <w:jc w:val="left"/>
      </w:pPr>
      <w:r>
        <w:rPr>
          <w:rFonts w:ascii="Times New Roman" w:hAnsi="Times New Roman"/>
          <w:b w:val="0"/>
          <w:i/>
          <w:color w:val="444A53"/>
          <w:sz w:val="17"/>
        </w:rPr>
        <w:t>Artifacts: `results/severity/rescore.json`, `results/severity/rescore_holdout.json`.</w:t>
      </w:r>
    </w:p>
    <w:p>
      <w:pPr>
        <w:spacing w:after="80" w:before="0" w:line="254" w:lineRule="auto"/>
        <w:jc w:val="both"/>
      </w:pPr>
      <w:r>
        <w:rPr>
          <w:rFonts w:ascii="Times New Roman" w:hAnsi="Times New Roman"/>
          <w:b w:val="0"/>
          <w:i w:val="0"/>
          <w:color w:val="000000"/>
          <w:sz w:val="20"/>
        </w:rPr>
        <w:t>§VII located the deficiency: the severity scorer knows one class of harm. The obvious repair is to add a second — misuse of a capability rather than movement of data — and the obvious way to evaluate it is on the corpus that revealed the problem. That is also the way to overstate it.</w:t>
      </w:r>
    </w:p>
    <w:p>
      <w:pPr>
        <w:spacing w:after="80" w:before="0" w:line="254" w:lineRule="auto"/>
        <w:jc w:val="both"/>
      </w:pPr>
      <w:r>
        <w:rPr>
          <w:rFonts w:ascii="Times New Roman" w:hAnsi="Times New Roman"/>
          <w:b w:val="0"/>
          <w:i w:val="0"/>
          <w:color w:val="000000"/>
          <w:sz w:val="20"/>
        </w:rPr>
        <w:t xml:space="preserve">The protocol was therefore fixed in advance. The candidate harm class, a verb–resource conjunction over capability misuse, was written and </w:t>
      </w:r>
      <w:r>
        <w:rPr>
          <w:rFonts w:ascii="Times New Roman" w:hAnsi="Times New Roman"/>
          <w:b/>
          <w:i w:val="0"/>
          <w:color w:val="000000"/>
          <w:sz w:val="20"/>
        </w:rPr>
        <w:t>frozen at a named commit</w:t>
      </w:r>
      <w:r>
        <w:rPr>
          <w:rFonts w:ascii="Times New Roman" w:hAnsi="Times New Roman"/>
          <w:b w:val="0"/>
          <w:i w:val="0"/>
          <w:color w:val="000000"/>
          <w:sz w:val="20"/>
        </w:rPr>
        <w:t xml:space="preserve">. A second external attack corpus — AgentDojo's attack side, stratified on the detector's own predicate — was imported and </w:t>
      </w:r>
      <w:r>
        <w:rPr>
          <w:rFonts w:ascii="Times New Roman" w:hAnsi="Times New Roman"/>
          <w:b/>
          <w:i w:val="0"/>
          <w:color w:val="000000"/>
          <w:sz w:val="20"/>
        </w:rPr>
        <w:t>committed afterwards</w:t>
      </w:r>
      <w:r>
        <w:rPr>
          <w:rFonts w:ascii="Times New Roman" w:hAnsi="Times New Roman"/>
          <w:b w:val="0"/>
          <w:i w:val="0"/>
          <w:color w:val="000000"/>
          <w:sz w:val="20"/>
        </w:rPr>
        <w:t xml:space="preserve"> as a holdout. Only then was the holdout scored. The freeze commit is recorded in the payload and asserted by a test, so the ordering is verifiable rather than asserted.</w:t>
      </w:r>
    </w:p>
    <w:p>
      <w:pPr>
        <w:spacing w:after="60" w:before="160" w:line="254" w:lineRule="auto"/>
        <w:jc w:val="left"/>
      </w:pPr>
      <w:r>
        <w:rPr>
          <w:rFonts w:ascii="Times New Roman" w:hAnsi="Times New Roman"/>
          <w:b/>
          <w:i/>
          <w:color w:val="000000"/>
          <w:sz w:val="20"/>
        </w:rPr>
        <w:t>A. Result</w:t>
      </w:r>
    </w:p>
    <w:tbl>
      <w:tblPr>
        <w:tblStyle w:val="TableGrid"/>
        <w:tblW w:type="auto" w:w="0"/>
        <w:jc w:val="center"/>
        <w:tblLayout w:type="fixed"/>
        <w:tblLook w:firstColumn="1" w:firstRow="1" w:lastColumn="0" w:lastRow="0" w:noHBand="0" w:noVBand="1" w:val="04A0"/>
      </w:tblPr>
      <w:tblGrid>
        <w:gridCol w:w="1766"/>
        <w:gridCol w:w="1589"/>
        <w:gridCol w:w="4238"/>
        <w:gridCol w:w="1766"/>
      </w:tblGrid>
      <w:tr>
        <w:tc>
          <w:tcPr>
            <w:tcW w:type="dxa" w:w="1766"/>
            <w:shd w:val="clear" w:fill="EDF1F5"/>
          </w:tcPr>
          <w:p>
            <w:pPr>
              <w:spacing w:after="20" w:before="20"/>
              <w:jc w:val="left"/>
            </w:pPr>
            <w:r>
              <w:rPr>
                <w:rFonts w:ascii="Times New Roman" w:hAnsi="Times New Roman"/>
                <w:b/>
                <w:i w:val="0"/>
                <w:color w:val="000000"/>
                <w:sz w:val="17"/>
              </w:rPr>
              <w:t>Arm</w:t>
            </w:r>
          </w:p>
        </w:tc>
        <w:tc>
          <w:tcPr>
            <w:tcW w:type="dxa" w:w="1589"/>
            <w:shd w:val="clear" w:fill="EDF1F5"/>
          </w:tcPr>
          <w:p>
            <w:pPr>
              <w:spacing w:after="20" w:before="20"/>
              <w:jc w:val="left"/>
            </w:pPr>
            <w:r>
              <w:rPr>
                <w:rFonts w:ascii="Times New Roman" w:hAnsi="Times New Roman"/>
                <w:b/>
                <w:i w:val="0"/>
                <w:color w:val="000000"/>
                <w:sz w:val="17"/>
              </w:rPr>
              <w:t>in-sample</w:t>
            </w:r>
          </w:p>
        </w:tc>
        <w:tc>
          <w:tcPr>
            <w:tcW w:type="dxa" w:w="4238"/>
            <w:shd w:val="clear" w:fill="EDF1F5"/>
          </w:tcPr>
          <w:p>
            <w:pPr>
              <w:spacing w:after="20" w:before="20"/>
              <w:jc w:val="left"/>
            </w:pPr>
            <w:r>
              <w:rPr>
                <w:rFonts w:ascii="Times New Roman" w:hAnsi="Times New Roman"/>
                <w:b/>
                <w:i w:val="0"/>
                <w:color w:val="000000"/>
                <w:sz w:val="17"/>
              </w:rPr>
              <w:t>holdout</w:t>
            </w:r>
          </w:p>
        </w:tc>
        <w:tc>
          <w:tcPr>
            <w:tcW w:type="dxa" w:w="1766"/>
            <w:shd w:val="clear" w:fill="EDF1F5"/>
          </w:tcPr>
          <w:p>
            <w:pPr>
              <w:spacing w:after="20" w:before="20"/>
              <w:jc w:val="left"/>
            </w:pPr>
            <w:r>
              <w:rPr>
                <w:rFonts w:ascii="Times New Roman" w:hAnsi="Times New Roman"/>
                <w:b/>
                <w:i w:val="0"/>
                <w:color w:val="000000"/>
                <w:sz w:val="17"/>
              </w:rPr>
              <w:t>benign FPR</w:t>
            </w:r>
          </w:p>
        </w:tc>
      </w:tr>
      <w:tr>
        <w:tc>
          <w:tcPr>
            <w:tcW w:type="dxa" w:w="1766"/>
          </w:tcPr>
          <w:p>
            <w:pPr>
              <w:spacing w:after="20" w:before="20"/>
              <w:jc w:val="left"/>
            </w:pPr>
            <w:r>
              <w:rPr>
                <w:rFonts w:ascii="Times New Roman" w:hAnsi="Times New Roman"/>
                <w:b w:val="0"/>
                <w:i w:val="0"/>
                <w:color w:val="000000"/>
                <w:sz w:val="17"/>
              </w:rPr>
              <w:t>baseline</w:t>
            </w:r>
          </w:p>
        </w:tc>
        <w:tc>
          <w:tcPr>
            <w:tcW w:type="dxa" w:w="1589"/>
          </w:tcPr>
          <w:p>
            <w:pPr>
              <w:spacing w:after="20" w:before="20"/>
              <w:jc w:val="right"/>
            </w:pPr>
            <w:r>
              <w:rPr>
                <w:rFonts w:ascii="Times New Roman" w:hAnsi="Times New Roman"/>
                <w:b w:val="0"/>
                <w:i w:val="0"/>
                <w:color w:val="000000"/>
                <w:sz w:val="17"/>
              </w:rPr>
              <w:t>13.3%</w:t>
            </w:r>
          </w:p>
        </w:tc>
        <w:tc>
          <w:tcPr>
            <w:tcW w:type="dxa" w:w="4238"/>
          </w:tcPr>
          <w:p>
            <w:pPr>
              <w:spacing w:after="20" w:before="20"/>
              <w:jc w:val="right"/>
            </w:pPr>
            <w:r>
              <w:rPr>
                <w:rFonts w:ascii="Times New Roman" w:hAnsi="Times New Roman"/>
                <w:b w:val="0"/>
                <w:i w:val="0"/>
                <w:color w:val="000000"/>
                <w:sz w:val="17"/>
              </w:rPr>
              <w:t>30.0%</w:t>
            </w:r>
          </w:p>
        </w:tc>
        <w:tc>
          <w:tcPr>
            <w:tcW w:type="dxa" w:w="1766"/>
          </w:tcPr>
          <w:p>
            <w:pPr>
              <w:spacing w:after="20" w:before="20"/>
              <w:jc w:val="right"/>
            </w:pPr>
            <w:r>
              <w:rPr>
                <w:rFonts w:ascii="Times New Roman" w:hAnsi="Times New Roman"/>
                <w:b w:val="0"/>
                <w:i w:val="0"/>
                <w:color w:val="000000"/>
                <w:sz w:val="17"/>
              </w:rPr>
              <w:t>3.3%</w:t>
            </w:r>
          </w:p>
        </w:tc>
      </w:tr>
      <w:tr>
        <w:tc>
          <w:tcPr>
            <w:tcW w:type="dxa" w:w="1766"/>
          </w:tcPr>
          <w:p>
            <w:pPr>
              <w:spacing w:after="20" w:before="20"/>
              <w:jc w:val="left"/>
            </w:pPr>
            <w:r>
              <w:rPr>
                <w:rFonts w:ascii="Times New Roman" w:hAnsi="Times New Roman"/>
                <w:b w:val="0"/>
                <w:i w:val="0"/>
                <w:color w:val="000000"/>
                <w:sz w:val="17"/>
              </w:rPr>
              <w:t>capability</w:t>
            </w:r>
          </w:p>
        </w:tc>
        <w:tc>
          <w:tcPr>
            <w:tcW w:type="dxa" w:w="1589"/>
          </w:tcPr>
          <w:p>
            <w:pPr>
              <w:spacing w:after="20" w:before="20"/>
              <w:jc w:val="right"/>
            </w:pPr>
            <w:r>
              <w:rPr>
                <w:rFonts w:ascii="Times New Roman" w:hAnsi="Times New Roman"/>
                <w:b w:val="0"/>
                <w:i w:val="0"/>
                <w:color w:val="000000"/>
                <w:sz w:val="17"/>
              </w:rPr>
              <w:t>90.0%</w:t>
            </w:r>
          </w:p>
        </w:tc>
        <w:tc>
          <w:tcPr>
            <w:tcW w:type="dxa" w:w="4238"/>
          </w:tcPr>
          <w:p>
            <w:pPr>
              <w:spacing w:after="20" w:before="20"/>
              <w:jc w:val="left"/>
            </w:pPr>
            <w:r>
              <w:rPr>
                <w:rFonts w:ascii="Times New Roman" w:hAnsi="Times New Roman"/>
                <w:b w:val="0"/>
                <w:i w:val="0"/>
                <w:color w:val="000000"/>
                <w:sz w:val="17"/>
              </w:rPr>
              <w:t xml:space="preserve">43.3% (4/0, </w:t>
            </w:r>
            <w:r>
              <w:rPr>
                <w:rFonts w:ascii="Times New Roman" w:hAnsi="Times New Roman"/>
                <w:b w:val="0"/>
                <w:i/>
                <w:color w:val="000000"/>
                <w:sz w:val="17"/>
              </w:rPr>
              <w:t>p</w:t>
            </w:r>
            <w:r>
              <w:rPr>
                <w:rFonts w:ascii="Times New Roman" w:hAnsi="Times New Roman"/>
                <w:b w:val="0"/>
                <w:i w:val="0"/>
                <w:color w:val="000000"/>
                <w:sz w:val="17"/>
              </w:rPr>
              <w:t xml:space="preserve"> = 0.125)</w:t>
            </w:r>
          </w:p>
        </w:tc>
        <w:tc>
          <w:tcPr>
            <w:tcW w:type="dxa" w:w="1766"/>
          </w:tcPr>
          <w:p>
            <w:pPr>
              <w:spacing w:after="20" w:before="20"/>
              <w:jc w:val="right"/>
            </w:pPr>
            <w:r>
              <w:rPr>
                <w:rFonts w:ascii="Times New Roman" w:hAnsi="Times New Roman"/>
                <w:b w:val="0"/>
                <w:i w:val="0"/>
                <w:color w:val="000000"/>
                <w:sz w:val="17"/>
              </w:rPr>
              <w:t>5.0%</w:t>
            </w:r>
          </w:p>
        </w:tc>
      </w:tr>
      <w:tr>
        <w:tc>
          <w:tcPr>
            <w:tcW w:type="dxa" w:w="1766"/>
          </w:tcPr>
          <w:p>
            <w:pPr>
              <w:spacing w:after="20" w:before="20"/>
              <w:jc w:val="left"/>
            </w:pPr>
            <w:r>
              <w:rPr>
                <w:rFonts w:ascii="Times New Roman" w:hAnsi="Times New Roman"/>
                <w:b w:val="0"/>
                <w:i w:val="0"/>
                <w:color w:val="000000"/>
                <w:sz w:val="17"/>
              </w:rPr>
              <w:t>schemeless</w:t>
            </w:r>
          </w:p>
        </w:tc>
        <w:tc>
          <w:tcPr>
            <w:tcW w:type="dxa" w:w="1589"/>
          </w:tcPr>
          <w:p>
            <w:pPr>
              <w:spacing w:after="20" w:before="20"/>
              <w:jc w:val="right"/>
            </w:pPr>
            <w:r>
              <w:rPr>
                <w:rFonts w:ascii="Times New Roman" w:hAnsi="Times New Roman"/>
                <w:b w:val="0"/>
                <w:i w:val="0"/>
                <w:color w:val="000000"/>
                <w:sz w:val="17"/>
              </w:rPr>
              <w:t>26.7%</w:t>
            </w:r>
          </w:p>
        </w:tc>
        <w:tc>
          <w:tcPr>
            <w:tcW w:type="dxa" w:w="4238"/>
          </w:tcPr>
          <w:p>
            <w:pPr>
              <w:spacing w:after="20" w:before="20"/>
              <w:jc w:val="right"/>
            </w:pPr>
            <w:r>
              <w:rPr>
                <w:rFonts w:ascii="Times New Roman" w:hAnsi="Times New Roman"/>
                <w:b w:val="0"/>
                <w:i w:val="0"/>
                <w:color w:val="000000"/>
                <w:sz w:val="17"/>
              </w:rPr>
              <w:t>36.7%</w:t>
            </w:r>
          </w:p>
        </w:tc>
        <w:tc>
          <w:tcPr>
            <w:tcW w:type="dxa" w:w="1766"/>
          </w:tcPr>
          <w:p>
            <w:pPr>
              <w:spacing w:after="20" w:before="20"/>
              <w:jc w:val="right"/>
            </w:pPr>
            <w:r>
              <w:rPr>
                <w:rFonts w:ascii="Times New Roman" w:hAnsi="Times New Roman"/>
                <w:b w:val="0"/>
                <w:i w:val="0"/>
                <w:color w:val="000000"/>
                <w:sz w:val="17"/>
              </w:rPr>
              <w:t>8.3%</w:t>
            </w:r>
          </w:p>
        </w:tc>
      </w:tr>
      <w:tr>
        <w:tc>
          <w:tcPr>
            <w:tcW w:type="dxa" w:w="1766"/>
          </w:tcPr>
          <w:p>
            <w:pPr>
              <w:spacing w:after="20" w:before="20"/>
              <w:jc w:val="left"/>
            </w:pPr>
            <w:r>
              <w:rPr>
                <w:rFonts w:ascii="Times New Roman" w:hAnsi="Times New Roman"/>
                <w:b w:val="0"/>
                <w:i w:val="0"/>
                <w:color w:val="000000"/>
                <w:sz w:val="17"/>
              </w:rPr>
              <w:t>both</w:t>
            </w:r>
          </w:p>
        </w:tc>
        <w:tc>
          <w:tcPr>
            <w:tcW w:type="dxa" w:w="1589"/>
          </w:tcPr>
          <w:p>
            <w:pPr>
              <w:spacing w:after="20" w:before="20"/>
              <w:jc w:val="right"/>
            </w:pPr>
            <w:r>
              <w:rPr>
                <w:rFonts w:ascii="Times New Roman" w:hAnsi="Times New Roman"/>
                <w:b w:val="0"/>
                <w:i w:val="0"/>
                <w:color w:val="000000"/>
                <w:sz w:val="17"/>
              </w:rPr>
              <w:t>90.0%</w:t>
            </w:r>
          </w:p>
        </w:tc>
        <w:tc>
          <w:tcPr>
            <w:tcW w:type="dxa" w:w="4238"/>
          </w:tcPr>
          <w:p>
            <w:pPr>
              <w:spacing w:after="20" w:before="20"/>
              <w:jc w:val="left"/>
            </w:pPr>
            <w:r>
              <w:rPr>
                <w:rFonts w:ascii="Times New Roman" w:hAnsi="Times New Roman"/>
                <w:b w:val="0"/>
                <w:i w:val="0"/>
                <w:color w:val="000000"/>
                <w:sz w:val="17"/>
              </w:rPr>
              <w:t xml:space="preserve">50.0% (6/0, </w:t>
            </w:r>
            <w:r>
              <w:rPr>
                <w:rFonts w:ascii="Times New Roman" w:hAnsi="Times New Roman"/>
                <w:b w:val="0"/>
                <w:i/>
                <w:color w:val="000000"/>
                <w:sz w:val="17"/>
              </w:rPr>
              <w:t>p</w:t>
            </w:r>
            <w:r>
              <w:rPr>
                <w:rFonts w:ascii="Times New Roman" w:hAnsi="Times New Roman"/>
                <w:b w:val="0"/>
                <w:i w:val="0"/>
                <w:color w:val="000000"/>
                <w:sz w:val="17"/>
              </w:rPr>
              <w:t xml:space="preserve"> = 0.031)</w:t>
            </w:r>
          </w:p>
        </w:tc>
        <w:tc>
          <w:tcPr>
            <w:tcW w:type="dxa" w:w="1766"/>
          </w:tcPr>
          <w:p>
            <w:pPr>
              <w:spacing w:after="20" w:before="20"/>
              <w:jc w:val="right"/>
            </w:pPr>
            <w:r>
              <w:rPr>
                <w:rFonts w:ascii="Times New Roman" w:hAnsi="Times New Roman"/>
                <w:b w:val="0"/>
                <w:i w:val="0"/>
                <w:color w:val="000000"/>
                <w:sz w:val="17"/>
              </w:rPr>
              <w:t>10.0%</w:t>
            </w:r>
          </w:p>
        </w:tc>
      </w:tr>
    </w:tbl>
    <w:p>
      <w:pPr>
        <w:spacing w:after="160" w:before="0" w:line="254" w:lineRule="auto"/>
        <w:jc w:val="left"/>
      </w:pPr>
      <w:r>
        <w:rPr>
          <w:rFonts w:ascii="Times New Roman" w:hAnsi="Times New Roman"/>
          <w:b/>
          <w:i w:val="0"/>
          <w:color w:val="444A53"/>
          <w:sz w:val="17"/>
        </w:rPr>
        <w:t>Table VIII.</w:t>
      </w:r>
      <w:r>
        <w:rPr>
          <w:rFonts w:ascii="Times New Roman" w:hAnsi="Times New Roman"/>
          <w:b w:val="0"/>
          <w:i w:val="0"/>
          <w:color w:val="444A53"/>
          <w:sz w:val="17"/>
        </w:rPr>
        <w:t xml:space="preserve"> In-sample 90.0% [74.4%, 96.5%] against holdout 43.3% [27.4%, 60.8%]. The intervals do not overlap. The diagnosis survives; the effect size does not.</w:t>
      </w:r>
    </w:p>
    <w:p>
      <w:pPr>
        <w:spacing w:before="160" w:after="60"/>
        <w:jc w:val="center"/>
      </w:pPr>
      <w:r>
        <w:drawing>
          <wp:inline xmlns:a="http://schemas.openxmlformats.org/drawingml/2006/main" xmlns:pic="http://schemas.openxmlformats.org/drawingml/2006/picture">
            <wp:extent cx="3844511" cy="2834639"/>
            <wp:docPr id="4" name="Picture 4"/>
            <wp:cNvGraphicFramePr>
              <a:graphicFrameLocks noChangeAspect="1"/>
            </wp:cNvGraphicFramePr>
            <a:graphic>
              <a:graphicData uri="http://schemas.openxmlformats.org/drawingml/2006/picture">
                <pic:pic>
                  <pic:nvPicPr>
                    <pic:cNvPr id="0" name="fig3_generalisation.png"/>
                    <pic:cNvPicPr/>
                  </pic:nvPicPr>
                  <pic:blipFill>
                    <a:blip r:embed="rId13"/>
                    <a:stretch>
                      <a:fillRect/>
                    </a:stretch>
                  </pic:blipFill>
                  <pic:spPr>
                    <a:xfrm>
                      <a:off x="0" y="0"/>
                      <a:ext cx="3844511" cy="2834639"/>
                    </a:xfrm>
                    <a:prstGeom prst="rect"/>
                  </pic:spPr>
                </pic:pic>
              </a:graphicData>
            </a:graphic>
          </wp:inline>
        </w:drawing>
      </w:r>
    </w:p>
    <w:p>
      <w:pPr>
        <w:spacing w:after="180" w:before="0" w:line="254" w:lineRule="auto"/>
        <w:ind w:left="0"/>
        <w:jc w:val="left"/>
      </w:pPr>
      <w:r>
        <w:rPr>
          <w:rFonts w:ascii="Times New Roman" w:hAnsi="Times New Roman"/>
          <w:b/>
          <w:i w:val="0"/>
          <w:color w:val="444A53"/>
          <w:sz w:val="17"/>
        </w:rPr>
        <w:t>Fig. 4.</w:t>
      </w:r>
      <w:r>
        <w:rPr>
          <w:rFonts w:ascii="Times New Roman" w:hAnsi="Times New Roman"/>
          <w:b w:val="0"/>
          <w:i w:val="0"/>
          <w:color w:val="444A53"/>
          <w:sz w:val="17"/>
        </w:rPr>
        <w:t xml:space="preserve"> Address-free detection for the capability lexicon, in-sample versus holdout. Error bars are Wilson 95% intervals and do not overlap.</w:t>
      </w:r>
    </w:p>
    <w:p>
      <w:pPr>
        <w:spacing w:after="80" w:before="0" w:line="254" w:lineRule="auto"/>
        <w:jc w:val="both"/>
      </w:pPr>
      <w:r>
        <w:rPr>
          <w:rFonts w:ascii="Times New Roman" w:hAnsi="Times New Roman"/>
          <w:b w:val="0"/>
          <w:i w:val="0"/>
          <w:color w:val="000000"/>
          <w:sz w:val="20"/>
        </w:rPr>
        <w:t xml:space="preserve">The in-sample figure overstated generalization by roughly 47 points, and the holdout gain is not statistically significant. A harm taxonomy assembled from one corpus's nouns is substantially </w:t>
      </w:r>
      <w:r>
        <w:rPr>
          <w:rFonts w:ascii="Times New Roman" w:hAnsi="Times New Roman"/>
          <w:b/>
          <w:i w:val="0"/>
          <w:color w:val="000000"/>
          <w:sz w:val="20"/>
        </w:rPr>
        <w:t>that corpus's nouns</w:t>
      </w:r>
      <w:r>
        <w:rPr>
          <w:rFonts w:ascii="Times New Roman" w:hAnsi="Times New Roman"/>
          <w:b w:val="0"/>
          <w:i w:val="0"/>
          <w:color w:val="000000"/>
          <w:sz w:val="20"/>
        </w:rPr>
        <w:t>. We report this as the section's finding, not as a disappointing detail attached to a fix.</w:t>
      </w:r>
    </w:p>
    <w:p>
      <w:pPr>
        <w:spacing w:after="60" w:before="160" w:line="254" w:lineRule="auto"/>
        <w:jc w:val="left"/>
      </w:pPr>
      <w:r>
        <w:rPr>
          <w:rFonts w:ascii="Times New Roman" w:hAnsi="Times New Roman"/>
          <w:b/>
          <w:i/>
          <w:color w:val="000000"/>
          <w:sz w:val="20"/>
        </w:rPr>
        <w:t>B. Where the remaining misses go</w:t>
      </w:r>
    </w:p>
    <w:p>
      <w:pPr>
        <w:spacing w:after="80" w:before="0" w:line="254" w:lineRule="auto"/>
        <w:jc w:val="both"/>
      </w:pPr>
      <w:r>
        <w:rPr>
          <w:rFonts w:ascii="Times New Roman" w:hAnsi="Times New Roman"/>
          <w:b w:val="0"/>
          <w:i w:val="0"/>
          <w:color w:val="000000"/>
          <w:sz w:val="20"/>
        </w:rPr>
        <w:t xml:space="preserve">Seventeen holdout misses decompose cleanly, and the decomposition is what makes the null informative. Ten are </w:t>
      </w:r>
      <w:r>
        <w:rPr>
          <w:rFonts w:ascii="Times New Roman" w:hAnsi="Times New Roman"/>
          <w:b w:val="0"/>
          <w:i/>
          <w:color w:val="000000"/>
          <w:sz w:val="20"/>
        </w:rPr>
        <w:t>travel</w:t>
      </w:r>
      <w:r>
        <w:rPr>
          <w:rFonts w:ascii="Times New Roman" w:hAnsi="Times New Roman"/>
          <w:b w:val="0"/>
          <w:i w:val="0"/>
          <w:color w:val="000000"/>
          <w:sz w:val="20"/>
        </w:rPr>
        <w:t xml:space="preserve"> — reservations and calendar events — which is the taxonomy's designed non-coverage, and the interesting part is that its cost is distribution-dependent: 3 injections in one corpus, 10 of 30 in the other. A category's importance is a property of the corpus, not of the threat. Five are bare-IBAN financial: a financial verb with no financial noun, where the lexicon reads words and the account is digits. Two are schemeless URLs, a genuine defect in shipped code.</w:t>
      </w:r>
    </w:p>
    <w:p>
      <w:pPr>
        <w:spacing w:after="60" w:before="160" w:line="254" w:lineRule="auto"/>
        <w:jc w:val="left"/>
      </w:pPr>
      <w:r>
        <w:rPr>
          <w:rFonts w:ascii="Times New Roman" w:hAnsi="Times New Roman"/>
          <w:b/>
          <w:i/>
          <w:color w:val="000000"/>
          <w:sz w:val="20"/>
        </w:rPr>
        <w:t>C. A defect fixed and deliberately left switched off</w:t>
      </w:r>
    </w:p>
    <w:p>
      <w:pPr>
        <w:spacing w:after="80" w:before="0" w:line="254" w:lineRule="auto"/>
        <w:jc w:val="both"/>
      </w:pPr>
      <w:r>
        <w:rPr>
          <w:rFonts w:ascii="Times New Roman" w:hAnsi="Times New Roman"/>
          <w:b w:val="0"/>
          <w:i w:val="0"/>
          <w:color w:val="000000"/>
          <w:sz w:val="20"/>
        </w:rPr>
        <w:t xml:space="preserve">Target extraction matched </w:t>
      </w:r>
      <w:r>
        <w:rPr>
          <w:rFonts w:ascii="Consolas" w:hAnsi="Consolas"/>
          <w:b w:val="0"/>
          <w:i w:val="0"/>
          <w:color w:val="000000"/>
          <w:sz w:val="19"/>
        </w:rPr>
        <w:t>https?://</w:t>
      </w:r>
      <w:r>
        <w:rPr>
          <w:rFonts w:ascii="Times New Roman" w:hAnsi="Times New Roman"/>
          <w:b w:val="0"/>
          <w:i w:val="0"/>
          <w:color w:val="000000"/>
          <w:sz w:val="20"/>
        </w:rPr>
        <w:t xml:space="preserve"> only, so a bare host in body text concealed an attacker-controlled destination in plain sight. The fix buys </w:t>
      </w:r>
      <w:r>
        <w:rPr>
          <w:rFonts w:ascii="Times New Roman" w:hAnsi="Times New Roman"/>
          <w:b/>
          <w:i w:val="0"/>
          <w:color w:val="000000"/>
          <w:sz w:val="20"/>
        </w:rPr>
        <w:t>2 detections for 3 false positives</w:t>
      </w:r>
      <w:r>
        <w:rPr>
          <w:rFonts w:ascii="Times New Roman" w:hAnsi="Times New Roman"/>
          <w:b w:val="0"/>
          <w:i w:val="0"/>
          <w:color w:val="000000"/>
          <w:sz w:val="20"/>
        </w:rPr>
        <w:t xml:space="preserve">, and all three false positives are benign workplace chat containing a bare host — which is also the benchmark's own phishing </w:t>
      </w:r>
      <w:r>
        <w:rPr>
          <w:rFonts w:ascii="Times New Roman" w:hAnsi="Times New Roman"/>
          <w:b w:val="0"/>
          <w:i/>
          <w:color w:val="000000"/>
          <w:sz w:val="20"/>
        </w:rPr>
        <w:t>attack</w:t>
      </w:r>
      <w:r>
        <w:rPr>
          <w:rFonts w:ascii="Times New Roman" w:hAnsi="Times New Roman"/>
          <w:b w:val="0"/>
          <w:i w:val="0"/>
          <w:color w:val="000000"/>
          <w:sz w:val="20"/>
        </w:rPr>
        <w:t xml:space="preserve">. At the level this detector observes, the benign case and the attack are the same sentence. We ship the fix behind a flag defaulting to off, and report it as a </w:t>
      </w:r>
      <w:r>
        <w:rPr>
          <w:rFonts w:ascii="Times New Roman" w:hAnsi="Times New Roman"/>
          <w:b/>
          <w:i w:val="0"/>
          <w:color w:val="000000"/>
          <w:sz w:val="20"/>
        </w:rPr>
        <w:t>boundary rather than a tuning problem</w:t>
      </w:r>
      <w:r>
        <w:rPr>
          <w:rFonts w:ascii="Times New Roman" w:hAnsi="Times New Roman"/>
          <w:b w:val="0"/>
          <w:i w:val="0"/>
          <w:color w:val="000000"/>
          <w:sz w:val="20"/>
        </w:rPr>
        <w:t>.</w:t>
      </w:r>
    </w:p>
    <w:p>
      <w:pPr>
        <w:spacing w:after="60" w:before="160" w:line="254" w:lineRule="auto"/>
        <w:jc w:val="left"/>
      </w:pPr>
      <w:r>
        <w:rPr>
          <w:rFonts w:ascii="Times New Roman" w:hAnsi="Times New Roman"/>
          <w:b/>
          <w:i/>
          <w:color w:val="000000"/>
          <w:sz w:val="20"/>
        </w:rPr>
        <w:t>D. The measurement has a floor its own size</w:t>
      </w:r>
    </w:p>
    <w:p>
      <w:pPr>
        <w:spacing w:after="80" w:before="0" w:line="254" w:lineRule="auto"/>
        <w:jc w:val="both"/>
      </w:pPr>
      <w:r>
        <w:rPr>
          <w:rFonts w:ascii="Times New Roman" w:hAnsi="Times New Roman"/>
          <w:b w:val="0"/>
          <w:i w:val="0"/>
          <w:color w:val="000000"/>
          <w:sz w:val="20"/>
        </w:rPr>
        <w:t xml:space="preserve">Three independent recordings of the same 60 benign documents give three identical rates: 2/60 = 3.3% each time. </w:t>
      </w:r>
      <w:r>
        <w:rPr>
          <w:rFonts w:ascii="Times New Roman" w:hAnsi="Times New Roman"/>
          <w:b/>
          <w:i w:val="0"/>
          <w:color w:val="000000"/>
          <w:sz w:val="20"/>
        </w:rPr>
        <w:t>The count does not move; the membership does.</w:t>
      </w:r>
      <w:r>
        <w:rPr>
          <w:rFonts w:ascii="Times New Roman" w:hAnsi="Times New Roman"/>
          <w:b w:val="0"/>
          <w:i w:val="0"/>
          <w:color w:val="000000"/>
          <w:sz w:val="20"/>
        </w:rPr>
        <w:t xml:space="preserve"> Per-document stability across the three runs is 1 always, 57 never, 2 unstable — one stable false positive plus exactly one of two borderline documents firing per run.</w:t>
      </w:r>
    </w:p>
    <w:p>
      <w:pPr>
        <w:spacing w:after="120" w:before="80" w:line="254" w:lineRule="auto"/>
        <w:ind w:left="504"/>
        <w:jc w:val="left"/>
      </w:pPr>
      <w:r>
        <w:rPr>
          <w:rFonts w:ascii="Times New Roman" w:hAnsi="Times New Roman"/>
          <w:b/>
          <w:i/>
          <w:color w:val="000000"/>
          <w:sz w:val="20"/>
        </w:rPr>
        <w:t>The FPR reproduces as a rate; the set of documents producing it does not.</w:t>
      </w:r>
    </w:p>
    <w:p>
      <w:pPr>
        <w:spacing w:after="80" w:before="0" w:line="254" w:lineRule="auto"/>
        <w:jc w:val="both"/>
      </w:pPr>
      <w:r>
        <w:rPr>
          <w:rFonts w:ascii="Times New Roman" w:hAnsi="Times New Roman"/>
          <w:b w:val="0"/>
          <w:i w:val="0"/>
          <w:color w:val="000000"/>
          <w:sz w:val="20"/>
        </w:rPr>
        <w:t xml:space="preserve">A claim of the form "this configuration adds one false positive" is therefore not supported by a single run, because it may be reporting churn in the borderline pool. This bounds Table VIII directly: the capability arm's apparent FPR cost is one case in 60, precisely the magnitude that churns, so the defensible statement is </w:t>
      </w:r>
      <w:r>
        <w:rPr>
          <w:rFonts w:ascii="Times New Roman" w:hAnsi="Times New Roman"/>
          <w:b/>
          <w:i w:val="0"/>
          <w:color w:val="000000"/>
          <w:sz w:val="20"/>
        </w:rPr>
        <w:t>no measurable FPR change</w:t>
      </w:r>
      <w:r>
        <w:rPr>
          <w:rFonts w:ascii="Times New Roman" w:hAnsi="Times New Roman"/>
          <w:b w:val="0"/>
          <w:i w:val="0"/>
          <w:color w:val="000000"/>
          <w:sz w:val="20"/>
        </w:rPr>
        <w:t>, not "+1.7 points".</w:t>
      </w:r>
    </w:p>
    <w:p>
      <w:pPr>
        <w:spacing w:after="100" w:before="240" w:line="254" w:lineRule="auto"/>
        <w:jc w:val="left"/>
      </w:pPr>
      <w:r>
        <w:rPr>
          <w:rFonts w:ascii="Times New Roman" w:hAnsi="Times New Roman"/>
          <w:b/>
          <w:i w:val="0"/>
          <w:color w:val="000000"/>
          <w:sz w:val="22"/>
        </w:rPr>
        <w:t>IX. THE ADAPTIVE LAYER AND THE TEMPORAL-DRIFT RULE</w:t>
      </w:r>
    </w:p>
    <w:p>
      <w:pPr>
        <w:spacing w:after="120" w:before="0" w:line="254" w:lineRule="auto"/>
        <w:jc w:val="left"/>
      </w:pPr>
      <w:r>
        <w:rPr>
          <w:rFonts w:ascii="Times New Roman" w:hAnsi="Times New Roman"/>
          <w:b w:val="0"/>
          <w:i/>
          <w:color w:val="444A53"/>
          <w:sz w:val="17"/>
        </w:rPr>
        <w:t>Artifacts: `results/phase15/multiturn_r1.json`, `multiturn_r2.json`.</w:t>
      </w:r>
    </w:p>
    <w:p>
      <w:pPr>
        <w:spacing w:after="80" w:before="0" w:line="254" w:lineRule="auto"/>
        <w:jc w:val="both"/>
      </w:pPr>
      <w:r>
        <w:rPr>
          <w:rFonts w:ascii="Times New Roman" w:hAnsi="Times New Roman"/>
          <w:b w:val="0"/>
          <w:i w:val="0"/>
          <w:color w:val="000000"/>
          <w:sz w:val="20"/>
        </w:rPr>
        <w:t>The adaptive component observes detection failures and proposes configuration changes for human approval. This section reports what it does, and the answer has three parts that must be read together.</w:t>
      </w:r>
    </w:p>
    <w:p>
      <w:pPr>
        <w:spacing w:after="60" w:before="160" w:line="254" w:lineRule="auto"/>
        <w:jc w:val="left"/>
      </w:pPr>
      <w:r>
        <w:rPr>
          <w:rFonts w:ascii="Times New Roman" w:hAnsi="Times New Roman"/>
          <w:b/>
          <w:i/>
          <w:color w:val="000000"/>
          <w:sz w:val="20"/>
        </w:rPr>
        <w:t>A. The loop closes a constructed gap, and the fix generalizes</w:t>
      </w:r>
    </w:p>
    <w:p>
      <w:pPr>
        <w:spacing w:after="80" w:before="0" w:line="254" w:lineRule="auto"/>
        <w:jc w:val="both"/>
      </w:pPr>
      <w:r>
        <w:rPr>
          <w:rFonts w:ascii="Times New Roman" w:hAnsi="Times New Roman"/>
          <w:b w:val="0"/>
          <w:i w:val="0"/>
          <w:color w:val="000000"/>
          <w:sz w:val="20"/>
        </w:rPr>
        <w:t xml:space="preserve">Given an injection missed because one threshold sits too high, the component observes the miss, proposes a threshold change carrying no memorized literal, applies it, and the attack is then caught. Critically, a </w:t>
      </w:r>
      <w:r>
        <w:rPr>
          <w:rFonts w:ascii="Times New Roman" w:hAnsi="Times New Roman"/>
          <w:b/>
          <w:i w:val="0"/>
          <w:color w:val="000000"/>
          <w:sz w:val="20"/>
        </w:rPr>
        <w:t>held-out attacker address the component never saw</w:t>
      </w:r>
      <w:r>
        <w:rPr>
          <w:rFonts w:ascii="Times New Roman" w:hAnsi="Times New Roman"/>
          <w:b w:val="0"/>
          <w:i w:val="0"/>
          <w:color w:val="000000"/>
          <w:sz w:val="20"/>
        </w:rPr>
        <w:t xml:space="preserve"> is also caught. That pair matters because an earlier version of this system failed it: the apparent gain was memorization of a training-set address and vanished on a held-out one. So the mechanism is not unproven. What was unproven is that such a gap arises naturally.</w:t>
      </w:r>
    </w:p>
    <w:p>
      <w:pPr>
        <w:spacing w:after="60" w:before="160" w:line="254" w:lineRule="auto"/>
        <w:jc w:val="left"/>
      </w:pPr>
      <w:r>
        <w:rPr>
          <w:rFonts w:ascii="Times New Roman" w:hAnsi="Times New Roman"/>
          <w:b/>
          <w:i/>
          <w:color w:val="000000"/>
          <w:sz w:val="20"/>
        </w:rPr>
        <w:t>B. It proposes nothing on every natural corpus</w:t>
      </w:r>
    </w:p>
    <w:p>
      <w:pPr>
        <w:spacing w:after="80" w:before="0" w:line="254" w:lineRule="auto"/>
        <w:jc w:val="both"/>
      </w:pPr>
      <w:r>
        <w:rPr>
          <w:rFonts w:ascii="Times New Roman" w:hAnsi="Times New Roman"/>
          <w:b w:val="0"/>
          <w:i w:val="0"/>
          <w:color w:val="000000"/>
          <w:sz w:val="20"/>
        </w:rPr>
        <w:t xml:space="preserve">Across an expanded campaign of 118 labeled episodes, replaying the reward across the entire threshold grid catches </w:t>
      </w:r>
      <w:r>
        <w:rPr>
          <w:rFonts w:ascii="Times New Roman" w:hAnsi="Times New Roman"/>
          <w:b/>
          <w:i w:val="0"/>
          <w:color w:val="000000"/>
          <w:sz w:val="20"/>
        </w:rPr>
        <w:t>zero</w:t>
      </w:r>
      <w:r>
        <w:rPr>
          <w:rFonts w:ascii="Times New Roman" w:hAnsi="Times New Roman"/>
          <w:b w:val="0"/>
          <w:i w:val="0"/>
          <w:color w:val="000000"/>
          <w:sz w:val="20"/>
        </w:rPr>
        <w:t xml:space="preserve"> additional attacks. The residual misses all score 0 on the masked probe, which is below both detection rules simultaneously and therefore </w:t>
      </w:r>
      <w:r>
        <w:rPr>
          <w:rFonts w:ascii="Times New Roman" w:hAnsi="Times New Roman"/>
          <w:b/>
          <w:i w:val="0"/>
          <w:color w:val="000000"/>
          <w:sz w:val="20"/>
        </w:rPr>
        <w:t>unreachable by the threshold the component controls</w:t>
      </w:r>
      <w:r>
        <w:rPr>
          <w:rFonts w:ascii="Times New Roman" w:hAnsi="Times New Roman"/>
          <w:b w:val="0"/>
          <w:i w:val="0"/>
          <w:color w:val="000000"/>
          <w:sz w:val="20"/>
        </w:rPr>
        <w:t>. An independent benchmark agrees: all of its residual attack successes are the address-free vector, none a threshold failure. The component correctly proposes a no-op, and we report the no-op as the result.</w:t>
      </w:r>
    </w:p>
    <w:p>
      <w:pPr>
        <w:spacing w:after="60" w:before="160" w:line="254" w:lineRule="auto"/>
        <w:jc w:val="left"/>
      </w:pPr>
      <w:r>
        <w:rPr>
          <w:rFonts w:ascii="Times New Roman" w:hAnsi="Times New Roman"/>
          <w:b/>
          <w:i/>
          <w:color w:val="000000"/>
          <w:sz w:val="20"/>
        </w:rPr>
        <w:t>C. The temporal rule: two pre-registered attempts</w:t>
      </w:r>
    </w:p>
    <w:p>
      <w:pPr>
        <w:spacing w:after="80" w:before="0" w:line="254" w:lineRule="auto"/>
        <w:jc w:val="both"/>
      </w:pPr>
      <w:r>
        <w:rPr>
          <w:rFonts w:ascii="Times New Roman" w:hAnsi="Times New Roman"/>
          <w:b w:val="0"/>
          <w:i w:val="0"/>
          <w:color w:val="000000"/>
          <w:sz w:val="20"/>
        </w:rPr>
        <w:t xml:space="preserve">The component also controls two parameters governing a temporal-drift rule, designed to catch a conversation trending toward compliance when no single boundary crosses a threshold. This is the one threat model in the paper that prompt-level and single-boundary defenses cannot address even in principle. Those parameters had never been evaluated, because every corpus in the literature — and every corpus of ours — treats each case as an independent conversation, so the rule's history never accumulates and the parameters are formally </w:t>
      </w:r>
      <w:r>
        <w:rPr>
          <w:rFonts w:ascii="Times New Roman" w:hAnsi="Times New Roman"/>
          <w:b w:val="0"/>
          <w:i/>
          <w:color w:val="000000"/>
          <w:sz w:val="20"/>
        </w:rPr>
        <w:t>unidentifiable</w:t>
      </w:r>
      <w:r>
        <w:rPr>
          <w:rFonts w:ascii="Times New Roman" w:hAnsi="Times New Roman"/>
          <w:b w:val="0"/>
          <w:i w:val="0"/>
          <w:color w:val="000000"/>
          <w:sz w:val="20"/>
        </w:rPr>
        <w:t>.</w:t>
      </w:r>
    </w:p>
    <w:p>
      <w:pPr>
        <w:spacing w:after="80" w:before="0" w:line="254" w:lineRule="auto"/>
        <w:jc w:val="both"/>
      </w:pPr>
      <w:r>
        <w:rPr>
          <w:rFonts w:ascii="Times New Roman" w:hAnsi="Times New Roman"/>
          <w:b w:val="0"/>
          <w:i w:val="0"/>
          <w:color w:val="000000"/>
          <w:sz w:val="20"/>
        </w:rPr>
        <w:t xml:space="preserve">We built the first multi-turn cohort that could exercise it: five three-turn conversations sharing a session, with the success criterion, the target severity trajectories, and the guard </w:t>
      </w:r>
      <w:r>
        <w:rPr>
          <w:rFonts w:ascii="Times New Roman" w:hAnsi="Times New Roman"/>
          <w:b/>
          <w:i w:val="0"/>
          <w:color w:val="000000"/>
          <w:sz w:val="20"/>
        </w:rPr>
        <w:t>registered and committed before the run</w:t>
      </w:r>
      <w:r>
        <w:rPr>
          <w:rFonts w:ascii="Times New Roman" w:hAnsi="Times New Roman"/>
          <w:b w:val="0"/>
          <w:i w:val="0"/>
          <w:color w:val="000000"/>
          <w:sz w:val="20"/>
        </w:rPr>
        <w:t>.</w:t>
      </w:r>
    </w:p>
    <w:p>
      <w:pPr>
        <w:spacing w:after="80" w:before="0" w:line="254" w:lineRule="auto"/>
        <w:jc w:val="both"/>
      </w:pPr>
      <w:r>
        <w:rPr>
          <w:rFonts w:ascii="Times New Roman" w:hAnsi="Times New Roman"/>
          <w:b/>
          <w:i w:val="0"/>
          <w:color w:val="000000"/>
          <w:sz w:val="20"/>
        </w:rPr>
        <w:t>Result: no drift-only detection, in either of two runs.</w:t>
      </w:r>
      <w:r>
        <w:rPr>
          <w:rFonts w:ascii="Times New Roman" w:hAnsi="Times New Roman"/>
          <w:b w:val="0"/>
          <w:i w:val="0"/>
          <w:color w:val="000000"/>
          <w:sz w:val="20"/>
        </w:rPr>
        <w:t xml:space="preserve"> After the first null we diagnosed three content defects, repaired them under a second pre-registration that records having been written </w:t>
      </w:r>
      <w:r>
        <w:rPr>
          <w:rFonts w:ascii="Times New Roman" w:hAnsi="Times New Roman"/>
          <w:b w:val="0"/>
          <w:i/>
          <w:color w:val="000000"/>
          <w:sz w:val="20"/>
        </w:rPr>
        <w:t>after</w:t>
      </w:r>
      <w:r>
        <w:rPr>
          <w:rFonts w:ascii="Times New Roman" w:hAnsi="Times New Roman"/>
          <w:b w:val="0"/>
          <w:i w:val="0"/>
          <w:color w:val="000000"/>
          <w:sz w:val="20"/>
        </w:rPr>
        <w:t xml:space="preserve"> seeing the first run's trajectories, and re-ran. The repair demonstrably worked where it was diagnosed, and the primary criterion was still not met.</w:t>
      </w:r>
    </w:p>
    <w:tbl>
      <w:tblPr>
        <w:tblStyle w:val="TableGrid"/>
        <w:tblW w:type="auto" w:w="0"/>
        <w:jc w:val="center"/>
        <w:tblLayout w:type="fixed"/>
        <w:tblLook w:firstColumn="1" w:firstRow="1" w:lastColumn="0" w:lastRow="0" w:noHBand="0" w:noVBand="1" w:val="04A0"/>
      </w:tblPr>
      <w:tblGrid>
        <w:gridCol w:w="5883"/>
        <w:gridCol w:w="3477"/>
      </w:tblGrid>
      <w:tr>
        <w:tc>
          <w:tcPr>
            <w:tcW w:type="dxa" w:w="5883"/>
            <w:shd w:val="clear" w:fill="EDF1F5"/>
          </w:tcPr>
          <w:p>
            <w:pPr>
              <w:spacing w:after="20" w:before="20"/>
              <w:jc w:val="left"/>
            </w:pPr>
            <w:r>
              <w:rPr>
                <w:rFonts w:ascii="Times New Roman" w:hAnsi="Times New Roman"/>
                <w:b/>
                <w:i w:val="0"/>
                <w:color w:val="000000"/>
                <w:sz w:val="17"/>
              </w:rPr>
              <w:t>Across 30 scored turns</w:t>
            </w:r>
          </w:p>
        </w:tc>
        <w:tc>
          <w:tcPr>
            <w:tcW w:type="dxa" w:w="3477"/>
            <w:shd w:val="clear" w:fill="EDF1F5"/>
          </w:tcPr>
          <w:p>
            <w:pPr>
              <w:spacing w:after="20" w:before="20"/>
              <w:jc w:val="left"/>
            </w:pPr>
            <w:r>
              <w:rPr>
                <w:rFonts w:ascii="Times New Roman" w:hAnsi="Times New Roman"/>
                <w:b/>
                <w:i w:val="0"/>
                <w:color w:val="000000"/>
                <w:sz w:val="17"/>
              </w:rPr>
              <w:t>count</w:t>
            </w:r>
          </w:p>
        </w:tc>
      </w:tr>
      <w:tr>
        <w:tc>
          <w:tcPr>
            <w:tcW w:type="dxa" w:w="5883"/>
          </w:tcPr>
          <w:p>
            <w:pPr>
              <w:spacing w:after="20" w:before="20"/>
              <w:jc w:val="left"/>
            </w:pPr>
            <w:r>
              <w:rPr>
                <w:rFonts w:ascii="Consolas" w:hAnsi="Consolas"/>
                <w:b w:val="0"/>
                <w:i w:val="0"/>
                <w:color w:val="000000"/>
                <w:sz w:val="16"/>
              </w:rPr>
              <w:t>orig</w:t>
            </w:r>
            <w:r>
              <w:rPr>
                <w:rFonts w:ascii="Times New Roman" w:hAnsi="Times New Roman"/>
                <w:b w:val="0"/>
                <w:i w:val="0"/>
                <w:color w:val="000000"/>
                <w:sz w:val="17"/>
              </w:rPr>
              <w:t xml:space="preserve"> equals </w:t>
            </w:r>
            <w:r>
              <w:rPr>
                <w:rFonts w:ascii="Consolas" w:hAnsi="Consolas"/>
                <w:b w:val="0"/>
                <w:i w:val="0"/>
                <w:color w:val="000000"/>
                <w:sz w:val="16"/>
              </w:rPr>
              <w:t>masked</w:t>
            </w:r>
          </w:p>
        </w:tc>
        <w:tc>
          <w:tcPr>
            <w:tcW w:type="dxa" w:w="3477"/>
          </w:tcPr>
          <w:p>
            <w:pPr>
              <w:spacing w:after="20" w:before="20"/>
              <w:jc w:val="left"/>
            </w:pPr>
            <w:r>
              <w:rPr>
                <w:rFonts w:ascii="Times New Roman" w:hAnsi="Times New Roman"/>
                <w:b w:val="0"/>
                <w:i w:val="0"/>
                <w:color w:val="000000"/>
                <w:sz w:val="17"/>
              </w:rPr>
              <w:t>24 / 30 (80%)</w:t>
            </w:r>
          </w:p>
        </w:tc>
      </w:tr>
      <w:tr>
        <w:tc>
          <w:tcPr>
            <w:tcW w:type="dxa" w:w="5883"/>
          </w:tcPr>
          <w:p>
            <w:pPr>
              <w:spacing w:after="20" w:before="20"/>
              <w:jc w:val="left"/>
            </w:pPr>
            <w:r>
              <w:rPr>
                <w:rFonts w:ascii="Times New Roman" w:hAnsi="Times New Roman"/>
                <w:b w:val="0"/>
                <w:i w:val="0"/>
                <w:color w:val="000000"/>
                <w:sz w:val="17"/>
              </w:rPr>
              <w:t>ACE = 0</w:t>
            </w:r>
          </w:p>
        </w:tc>
        <w:tc>
          <w:tcPr>
            <w:tcW w:type="dxa" w:w="3477"/>
          </w:tcPr>
          <w:p>
            <w:pPr>
              <w:spacing w:after="20" w:before="20"/>
              <w:jc w:val="left"/>
            </w:pPr>
            <w:r>
              <w:rPr>
                <w:rFonts w:ascii="Times New Roman" w:hAnsi="Times New Roman"/>
                <w:b w:val="0"/>
                <w:i w:val="0"/>
                <w:color w:val="000000"/>
                <w:sz w:val="17"/>
              </w:rPr>
              <w:t>24 / 30 (80%)</w:t>
            </w:r>
          </w:p>
        </w:tc>
      </w:tr>
      <w:tr>
        <w:tc>
          <w:tcPr>
            <w:tcW w:type="dxa" w:w="5883"/>
          </w:tcPr>
          <w:p>
            <w:pPr>
              <w:spacing w:after="20" w:before="20"/>
              <w:jc w:val="left"/>
            </w:pPr>
            <w:r>
              <w:rPr>
                <w:rFonts w:ascii="Times New Roman" w:hAnsi="Times New Roman"/>
                <w:b w:val="0"/>
                <w:i w:val="0"/>
                <w:color w:val="000000"/>
                <w:sz w:val="17"/>
              </w:rPr>
              <w:t>IE = 0</w:t>
            </w:r>
          </w:p>
        </w:tc>
        <w:tc>
          <w:tcPr>
            <w:tcW w:type="dxa" w:w="3477"/>
          </w:tcPr>
          <w:p>
            <w:pPr>
              <w:spacing w:after="20" w:before="20"/>
              <w:jc w:val="left"/>
            </w:pPr>
            <w:r>
              <w:rPr>
                <w:rFonts w:ascii="Times New Roman" w:hAnsi="Times New Roman"/>
                <w:b w:val="0"/>
                <w:i w:val="0"/>
                <w:color w:val="000000"/>
                <w:sz w:val="17"/>
              </w:rPr>
              <w:t>29 / 30 (97%)</w:t>
            </w:r>
          </w:p>
        </w:tc>
      </w:tr>
    </w:tbl>
    <w:p>
      <w:pPr>
        <w:spacing w:after="160" w:before="0" w:line="254" w:lineRule="auto"/>
        <w:jc w:val="left"/>
      </w:pPr>
      <w:r>
        <w:rPr>
          <w:rFonts w:ascii="Times New Roman" w:hAnsi="Times New Roman"/>
          <w:b/>
          <w:i w:val="0"/>
          <w:color w:val="444A53"/>
          <w:sz w:val="17"/>
        </w:rPr>
        <w:t>Table IX.</w:t>
      </w:r>
      <w:r>
        <w:rPr>
          <w:rFonts w:ascii="Times New Roman" w:hAnsi="Times New Roman"/>
          <w:b w:val="0"/>
          <w:i w:val="0"/>
          <w:color w:val="444A53"/>
          <w:sz w:val="17"/>
        </w:rPr>
        <w:t xml:space="preserve"> The causal contrast across both pre-registered runs.</w:t>
      </w:r>
    </w:p>
    <w:p>
      <w:pPr>
        <w:spacing w:before="160" w:after="60"/>
        <w:jc w:val="center"/>
      </w:pPr>
      <w:r>
        <w:drawing>
          <wp:inline xmlns:a="http://schemas.openxmlformats.org/drawingml/2006/main" xmlns:pic="http://schemas.openxmlformats.org/drawingml/2006/picture">
            <wp:extent cx="2712720" cy="2834640"/>
            <wp:docPr id="5" name="Picture 5"/>
            <wp:cNvGraphicFramePr>
              <a:graphicFrameLocks noChangeAspect="1"/>
            </wp:cNvGraphicFramePr>
            <a:graphic>
              <a:graphicData uri="http://schemas.openxmlformats.org/drawingml/2006/picture">
                <pic:pic>
                  <pic:nvPicPr>
                    <pic:cNvPr id="0" name="fig4_flat_contrast.png"/>
                    <pic:cNvPicPr/>
                  </pic:nvPicPr>
                  <pic:blipFill>
                    <a:blip r:embed="rId14"/>
                    <a:stretch>
                      <a:fillRect/>
                    </a:stretch>
                  </pic:blipFill>
                  <pic:spPr>
                    <a:xfrm>
                      <a:off x="0" y="0"/>
                      <a:ext cx="2712720" cy="2834640"/>
                    </a:xfrm>
                    <a:prstGeom prst="rect"/>
                  </pic:spPr>
                </pic:pic>
              </a:graphicData>
            </a:graphic>
          </wp:inline>
        </w:drawing>
      </w:r>
    </w:p>
    <w:p>
      <w:pPr>
        <w:spacing w:after="180" w:before="0" w:line="254" w:lineRule="auto"/>
        <w:ind w:left="0"/>
        <w:jc w:val="left"/>
      </w:pPr>
      <w:r>
        <w:rPr>
          <w:rFonts w:ascii="Times New Roman" w:hAnsi="Times New Roman"/>
          <w:b/>
          <w:i w:val="0"/>
          <w:color w:val="444A53"/>
          <w:sz w:val="17"/>
        </w:rPr>
        <w:t>Fig. 5.</w:t>
      </w:r>
      <w:r>
        <w:rPr>
          <w:rFonts w:ascii="Times New Roman" w:hAnsi="Times New Roman"/>
          <w:b w:val="0"/>
          <w:i w:val="0"/>
          <w:color w:val="444A53"/>
          <w:sz w:val="17"/>
        </w:rPr>
        <w:t xml:space="preserve"> Unmasked against masked severity for every scored turn of both runs. Points on the diagonal have zero causal contrast; 24 of 30 turns lie there, malicious and benign alike.</w:t>
      </w:r>
    </w:p>
    <w:p>
      <w:pPr>
        <w:spacing w:after="80" w:before="0" w:line="254" w:lineRule="auto"/>
        <w:jc w:val="both"/>
      </w:pPr>
      <w:r>
        <w:rPr>
          <w:rFonts w:ascii="Times New Roman" w:hAnsi="Times New Roman"/>
          <w:b w:val="0"/>
          <w:i w:val="0"/>
          <w:color w:val="000000"/>
          <w:sz w:val="20"/>
        </w:rPr>
        <w:t xml:space="preserve">The drift score is a weighted sum of a falling ACE and a rising IE. </w:t>
      </w:r>
      <w:r>
        <w:rPr>
          <w:rFonts w:ascii="Times New Roman" w:hAnsi="Times New Roman"/>
          <w:b/>
          <w:i w:val="0"/>
          <w:color w:val="000000"/>
          <w:sz w:val="20"/>
        </w:rPr>
        <w:t>With both quantities zero almost everywhere, the score is zero for any threshold, on any content, however the conversation escalates.</w:t>
      </w:r>
      <w:r>
        <w:rPr>
          <w:rFonts w:ascii="Times New Roman" w:hAnsi="Times New Roman"/>
          <w:b w:val="0"/>
          <w:i w:val="0"/>
          <w:color w:val="000000"/>
          <w:sz w:val="20"/>
        </w:rPr>
        <w:t xml:space="preserve"> The masked and unmasked probes </w:t>
      </w:r>
      <w:r>
        <w:rPr>
          <w:rFonts w:ascii="Times New Roman" w:hAnsi="Times New Roman"/>
          <w:b w:val="0"/>
          <w:i/>
          <w:color w:val="000000"/>
          <w:sz w:val="20"/>
        </w:rPr>
        <w:t>agree with each other</w:t>
      </w:r>
      <w:r>
        <w:rPr>
          <w:rFonts w:ascii="Times New Roman" w:hAnsi="Times New Roman"/>
          <w:b w:val="0"/>
          <w:i w:val="0"/>
          <w:color w:val="000000"/>
          <w:sz w:val="20"/>
        </w:rPr>
        <w:t xml:space="preserve"> on realistic content, so the causal contrast that gives the architecture its name produces no signal to accumulate. Only 6 of 30 turns produced a non-zero contrast, and four of those are an address being lifted from the content in one regime and not the other — the same fact §VII measured from the detection side, now shown to govern the temporal rule as well.</w:t>
      </w:r>
    </w:p>
    <w:p>
      <w:pPr>
        <w:spacing w:after="80" w:before="0" w:line="254" w:lineRule="auto"/>
        <w:jc w:val="both"/>
      </w:pPr>
      <w:r>
        <w:rPr>
          <w:rFonts w:ascii="Times New Roman" w:hAnsi="Times New Roman"/>
          <w:b w:val="0"/>
          <w:i w:val="0"/>
          <w:color w:val="000000"/>
          <w:sz w:val="20"/>
        </w:rPr>
        <w:t>We stopped after two attempts, as pre-registered, because a third would have been indistinguishable from tuning a corpus until it fired.</w:t>
      </w:r>
    </w:p>
    <w:p>
      <w:pPr>
        <w:spacing w:after="100" w:before="240" w:line="254" w:lineRule="auto"/>
        <w:jc w:val="left"/>
      </w:pPr>
      <w:r>
        <w:rPr>
          <w:rFonts w:ascii="Times New Roman" w:hAnsi="Times New Roman"/>
          <w:b/>
          <w:i w:val="0"/>
          <w:color w:val="000000"/>
          <w:sz w:val="22"/>
        </w:rPr>
        <w:t>X. NEGATIVE RESULTS AND THE CASE FOR A HUMAN GATE</w:t>
      </w:r>
    </w:p>
    <w:p>
      <w:pPr>
        <w:spacing w:after="80" w:before="0" w:line="254" w:lineRule="auto"/>
        <w:jc w:val="both"/>
      </w:pPr>
      <w:r>
        <w:rPr>
          <w:rFonts w:ascii="Times New Roman" w:hAnsi="Times New Roman"/>
          <w:b w:val="0"/>
          <w:i w:val="0"/>
          <w:color w:val="000000"/>
          <w:sz w:val="20"/>
        </w:rPr>
        <w:t>Three results about adaptive security configuration are reported here because each is invisible from inside the component that produced it.</w:t>
      </w:r>
    </w:p>
    <w:p>
      <w:pPr>
        <w:spacing w:after="80" w:before="0" w:line="254" w:lineRule="auto"/>
        <w:jc w:val="both"/>
      </w:pPr>
      <w:r>
        <w:rPr>
          <w:rFonts w:ascii="Times New Roman" w:hAnsi="Times New Roman"/>
          <w:b/>
          <w:i w:val="0"/>
          <w:color w:val="000000"/>
          <w:sz w:val="20"/>
        </w:rPr>
        <w:t>1) A learned policy proposed a change its own reward scored lower.</w:t>
      </w:r>
      <w:r>
        <w:rPr>
          <w:rFonts w:ascii="Times New Roman" w:hAnsi="Times New Roman"/>
          <w:b w:val="0"/>
          <w:i w:val="0"/>
          <w:color w:val="000000"/>
          <w:sz w:val="20"/>
        </w:rPr>
        <w:t xml:space="preserve"> On live data the adaptive component proposed a configuration scoring +0.8683 against the incumbent's +0.8688, and the apply path would have accepted it silently, because the policy's argmax was trusted as the policy's recommendation. The repair is propose-and-verify — the proposal is re-scored against the incumbent under the same reward before it is emitted, plus a minimality pass. The guard has fired three more times since, most recently on different hardware with a different random seed. The general point is that </w:t>
      </w:r>
      <w:r>
        <w:rPr>
          <w:rFonts w:ascii="Times New Roman" w:hAnsi="Times New Roman"/>
          <w:b/>
          <w:i w:val="0"/>
          <w:color w:val="000000"/>
          <w:sz w:val="20"/>
        </w:rPr>
        <w:t>a learned policy's argmax is not a guarantee about the objective.</w:t>
      </w:r>
    </w:p>
    <w:p>
      <w:pPr>
        <w:spacing w:after="80" w:before="0" w:line="254" w:lineRule="auto"/>
        <w:jc w:val="both"/>
      </w:pPr>
      <w:r>
        <w:rPr>
          <w:rFonts w:ascii="Times New Roman" w:hAnsi="Times New Roman"/>
          <w:b/>
          <w:i w:val="0"/>
          <w:color w:val="000000"/>
          <w:sz w:val="20"/>
        </w:rPr>
        <w:t>2) The only gain the trainer ever found was an artifact of our own benign corpus.</w:t>
      </w:r>
      <w:r>
        <w:rPr>
          <w:rFonts w:ascii="Times New Roman" w:hAnsi="Times New Roman"/>
          <w:b w:val="0"/>
          <w:i w:val="0"/>
          <w:color w:val="000000"/>
          <w:sz w:val="20"/>
        </w:rPr>
        <w:t xml:space="preserve"> A configuration improving reward from +0.8688 to +0.9046 was verified and minimised over 128 episodes. Evaluated against externally-authored benign documents, the same action produces </w:t>
      </w:r>
      <w:r>
        <w:rPr>
          <w:rFonts w:ascii="Times New Roman" w:hAnsi="Times New Roman"/>
          <w:b/>
          <w:i w:val="0"/>
          <w:color w:val="000000"/>
          <w:sz w:val="20"/>
        </w:rPr>
        <w:t>36 false positives out of 68</w:t>
      </w:r>
      <w:r>
        <w:rPr>
          <w:rFonts w:ascii="Times New Roman" w:hAnsi="Times New Roman"/>
          <w:b w:val="0"/>
          <w:i w:val="0"/>
          <w:color w:val="000000"/>
          <w:sz w:val="20"/>
        </w:rPr>
        <w:t xml:space="preserve">: the learned marker fires on 30 of 60 external benign documents and 0 of 8 of ours. Every trainer safeguard worked correctly and none could see outside the corpus. </w:t>
      </w:r>
      <w:r>
        <w:rPr>
          <w:rFonts w:ascii="Times New Roman" w:hAnsi="Times New Roman"/>
          <w:b/>
          <w:i w:val="0"/>
          <w:color w:val="000000"/>
          <w:sz w:val="20"/>
        </w:rPr>
        <w:t>Safeguards internal to an optimizer cannot detect that the objective is measured on the wrong distribution.</w:t>
      </w:r>
    </w:p>
    <w:p>
      <w:pPr>
        <w:spacing w:after="80" w:before="0" w:line="254" w:lineRule="auto"/>
        <w:jc w:val="both"/>
      </w:pPr>
      <w:r>
        <w:rPr>
          <w:rFonts w:ascii="Times New Roman" w:hAnsi="Times New Roman"/>
          <w:b/>
          <w:i w:val="0"/>
          <w:color w:val="000000"/>
          <w:sz w:val="20"/>
        </w:rPr>
        <w:t>3) The adaptive layer's honest output is a no-op, and the reason is quantified</w:t>
      </w:r>
      <w:r>
        <w:rPr>
          <w:rFonts w:ascii="Times New Roman" w:hAnsi="Times New Roman"/>
          <w:b w:val="0"/>
          <w:i w:val="0"/>
          <w:color w:val="000000"/>
          <w:sz w:val="20"/>
        </w:rPr>
        <w:t xml:space="preserve"> (§IX).</w:t>
      </w:r>
    </w:p>
    <w:p>
      <w:pPr>
        <w:spacing w:after="80" w:before="0" w:line="254" w:lineRule="auto"/>
        <w:jc w:val="both"/>
      </w:pPr>
      <w:r>
        <w:rPr>
          <w:rFonts w:ascii="Times New Roman" w:hAnsi="Times New Roman"/>
          <w:b w:val="0"/>
          <w:i w:val="0"/>
          <w:color w:val="000000"/>
          <w:sz w:val="20"/>
        </w:rPr>
        <w:t xml:space="preserve">Each failure is invisible from inside the component that produced it, and in all three cases every internal check passed. That is the empirical argument for </w:t>
      </w:r>
      <w:r>
        <w:rPr>
          <w:rFonts w:ascii="Times New Roman" w:hAnsi="Times New Roman"/>
          <w:b/>
          <w:i w:val="0"/>
          <w:color w:val="000000"/>
          <w:sz w:val="20"/>
        </w:rPr>
        <w:t>a human gate that recomputes evidence rather than trusting a proposal.</w:t>
      </w:r>
      <w:r>
        <w:rPr>
          <w:rFonts w:ascii="Times New Roman" w:hAnsi="Times New Roman"/>
          <w:b w:val="0"/>
          <w:i w:val="0"/>
          <w:color w:val="000000"/>
          <w:sz w:val="20"/>
        </w:rPr>
        <w:t xml:space="preserve"> Our Layer 5 review console does exactly that, and it found a live defect on its first run: every proposal's blocked-pattern field was inert, because the policy engine matched those patterns against a different string than the one the trainer harvested them from. A reviewer reading the proposal would have seen a plausible security change; recomputing the evidence showed it could not fire.</w:t>
      </w:r>
    </w:p>
    <w:p>
      <w:pPr>
        <w:spacing w:after="80" w:before="0" w:line="254" w:lineRule="auto"/>
        <w:jc w:val="both"/>
      </w:pPr>
      <w:r>
        <w:rPr>
          <w:rFonts w:ascii="Times New Roman" w:hAnsi="Times New Roman"/>
          <w:b w:val="0"/>
          <w:i w:val="0"/>
          <w:color w:val="000000"/>
          <w:sz w:val="20"/>
        </w:rPr>
        <w:t>Three of these results surfaced from instrumentation added to answer a different question: per-layer attribution, added to make an ablation interpretable, exposed two benchmark defects on its first use; the recorded probe corpus, added to make evaluation cheap, is what showed the scorer rather than the probe was failing; the review console, added as a usability feature, found the inert patterns.</w:t>
      </w:r>
    </w:p>
    <w:p>
      <w:pPr>
        <w:spacing w:after="100" w:before="240" w:line="254" w:lineRule="auto"/>
        <w:jc w:val="left"/>
      </w:pPr>
      <w:r>
        <w:rPr>
          <w:rFonts w:ascii="Times New Roman" w:hAnsi="Times New Roman"/>
          <w:b/>
          <w:i w:val="0"/>
          <w:color w:val="000000"/>
          <w:sz w:val="22"/>
        </w:rPr>
        <w:t>XI. POSITIONING AGAINST PUBLISHED RESULTS</w:t>
      </w:r>
    </w:p>
    <w:p>
      <w:pPr>
        <w:spacing w:after="80" w:before="0" w:line="254" w:lineRule="auto"/>
        <w:jc w:val="both"/>
      </w:pPr>
      <w:r>
        <w:rPr>
          <w:rFonts w:ascii="Times New Roman" w:hAnsi="Times New Roman"/>
          <w:b w:val="0"/>
          <w:i w:val="0"/>
          <w:color w:val="000000"/>
          <w:sz w:val="20"/>
        </w:rPr>
        <w:t>Every published figure below was measured on a different corpus, with a different agent, against a different threat model, and scored by a different metric. None is a like-for-like comparison with ours and we do not present any as one. The table's purpose is calibration: where our numbers sit in the range the field reports, which are unremarkable, and the one place where our result diverges from what a reader would expect.</w:t>
      </w:r>
    </w:p>
    <w:tbl>
      <w:tblPr>
        <w:tblStyle w:val="TableGrid"/>
        <w:tblW w:type="auto" w:w="0"/>
        <w:jc w:val="center"/>
        <w:tblLayout w:type="fixed"/>
        <w:tblLook w:firstColumn="1" w:firstRow="1" w:lastColumn="0" w:lastRow="0" w:noHBand="0" w:noVBand="1" w:val="04A0"/>
      </w:tblPr>
      <w:tblGrid>
        <w:gridCol w:w="4603"/>
        <w:gridCol w:w="2609"/>
        <w:gridCol w:w="2148"/>
      </w:tblGrid>
      <w:tr>
        <w:tc>
          <w:tcPr>
            <w:tcW w:type="dxa" w:w="4603"/>
            <w:shd w:val="clear" w:fill="EDF1F5"/>
          </w:tcPr>
          <w:p>
            <w:pPr>
              <w:spacing w:after="20" w:before="20"/>
              <w:jc w:val="left"/>
            </w:pPr>
            <w:r>
              <w:rPr>
                <w:rFonts w:ascii="Times New Roman" w:hAnsi="Times New Roman"/>
                <w:b/>
                <w:i w:val="0"/>
                <w:color w:val="000000"/>
                <w:sz w:val="17"/>
              </w:rPr>
              <w:t>System</w:t>
            </w:r>
          </w:p>
        </w:tc>
        <w:tc>
          <w:tcPr>
            <w:tcW w:type="dxa" w:w="2609"/>
            <w:shd w:val="clear" w:fill="EDF1F5"/>
          </w:tcPr>
          <w:p>
            <w:pPr>
              <w:spacing w:after="20" w:before="20"/>
              <w:jc w:val="left"/>
            </w:pPr>
            <w:r>
              <w:rPr>
                <w:rFonts w:ascii="Times New Roman" w:hAnsi="Times New Roman"/>
                <w:b/>
                <w:i w:val="0"/>
                <w:color w:val="000000"/>
                <w:sz w:val="17"/>
              </w:rPr>
              <w:t>Setting</w:t>
            </w:r>
          </w:p>
        </w:tc>
        <w:tc>
          <w:tcPr>
            <w:tcW w:type="dxa" w:w="2148"/>
            <w:shd w:val="clear" w:fill="EDF1F5"/>
          </w:tcPr>
          <w:p>
            <w:pPr>
              <w:spacing w:after="20" w:before="20"/>
              <w:jc w:val="left"/>
            </w:pPr>
            <w:r>
              <w:rPr>
                <w:rFonts w:ascii="Times New Roman" w:hAnsi="Times New Roman"/>
                <w:b/>
                <w:i w:val="0"/>
                <w:color w:val="000000"/>
                <w:sz w:val="17"/>
              </w:rPr>
              <w:t>ASR</w:t>
            </w:r>
          </w:p>
        </w:tc>
      </w:tr>
      <w:tr>
        <w:tc>
          <w:tcPr>
            <w:tcW w:type="dxa" w:w="4603"/>
          </w:tcPr>
          <w:p>
            <w:pPr>
              <w:spacing w:after="20" w:before="20"/>
              <w:jc w:val="left"/>
            </w:pPr>
            <w:r>
              <w:rPr>
                <w:rFonts w:ascii="Times New Roman" w:hAnsi="Times New Roman"/>
                <w:b w:val="0"/>
                <w:i w:val="0"/>
                <w:color w:val="000000"/>
                <w:sz w:val="17"/>
              </w:rPr>
              <w:t>This work, undefended</w:t>
            </w:r>
          </w:p>
        </w:tc>
        <w:tc>
          <w:tcPr>
            <w:tcW w:type="dxa" w:w="2609"/>
          </w:tcPr>
          <w:p>
            <w:pPr>
              <w:spacing w:after="20" w:before="20"/>
              <w:jc w:val="left"/>
            </w:pPr>
            <w:r>
              <w:rPr>
                <w:rFonts w:ascii="Times New Roman" w:hAnsi="Times New Roman"/>
                <w:b w:val="0"/>
                <w:i w:val="0"/>
                <w:color w:val="000000"/>
                <w:sz w:val="17"/>
              </w:rPr>
              <w:t>3–4B local models</w:t>
            </w:r>
          </w:p>
        </w:tc>
        <w:tc>
          <w:tcPr>
            <w:tcW w:type="dxa" w:w="2148"/>
          </w:tcPr>
          <w:p>
            <w:pPr>
              <w:spacing w:after="20" w:before="20"/>
              <w:jc w:val="left"/>
            </w:pPr>
            <w:r>
              <w:rPr>
                <w:rFonts w:ascii="Times New Roman" w:hAnsi="Times New Roman"/>
                <w:b w:val="0"/>
                <w:i w:val="0"/>
                <w:color w:val="000000"/>
                <w:sz w:val="17"/>
              </w:rPr>
              <w:t>100.0% (60/60)</w:t>
            </w:r>
          </w:p>
        </w:tc>
      </w:tr>
      <w:tr>
        <w:tc>
          <w:tcPr>
            <w:tcW w:type="dxa" w:w="4603"/>
          </w:tcPr>
          <w:p>
            <w:pPr>
              <w:spacing w:after="20" w:before="20"/>
              <w:jc w:val="left"/>
            </w:pPr>
            <w:r>
              <w:rPr>
                <w:rFonts w:ascii="Times New Roman" w:hAnsi="Times New Roman"/>
                <w:b w:val="0"/>
                <w:i w:val="0"/>
                <w:color w:val="000000"/>
                <w:sz w:val="17"/>
              </w:rPr>
              <w:t>This work, static rules only</w:t>
            </w:r>
          </w:p>
        </w:tc>
        <w:tc>
          <w:tcPr>
            <w:tcW w:type="dxa" w:w="2609"/>
          </w:tcPr>
          <w:p>
            <w:pPr>
              <w:spacing w:after="20" w:before="20"/>
              <w:jc w:val="left"/>
            </w:pPr>
            <w:r>
              <w:rPr>
                <w:rFonts w:ascii="Times New Roman" w:hAnsi="Times New Roman"/>
                <w:b w:val="0"/>
                <w:i w:val="0"/>
                <w:color w:val="000000"/>
                <w:sz w:val="17"/>
              </w:rPr>
              <w:t>same</w:t>
            </w:r>
          </w:p>
        </w:tc>
        <w:tc>
          <w:tcPr>
            <w:tcW w:type="dxa" w:w="2148"/>
          </w:tcPr>
          <w:p>
            <w:pPr>
              <w:spacing w:after="20" w:before="20"/>
              <w:jc w:val="left"/>
            </w:pPr>
            <w:r>
              <w:rPr>
                <w:rFonts w:ascii="Times New Roman" w:hAnsi="Times New Roman"/>
                <w:b w:val="0"/>
                <w:i w:val="0"/>
                <w:color w:val="000000"/>
                <w:sz w:val="17"/>
              </w:rPr>
              <w:t>100.0% (60/60)</w:t>
            </w:r>
          </w:p>
        </w:tc>
      </w:tr>
      <w:tr>
        <w:tc>
          <w:tcPr>
            <w:tcW w:type="dxa" w:w="4603"/>
          </w:tcPr>
          <w:p>
            <w:pPr>
              <w:spacing w:after="20" w:before="20"/>
              <w:jc w:val="left"/>
            </w:pPr>
            <w:r>
              <w:rPr>
                <w:rFonts w:ascii="Times New Roman" w:hAnsi="Times New Roman"/>
                <w:b w:val="0"/>
                <w:i w:val="0"/>
                <w:color w:val="000000"/>
                <w:sz w:val="17"/>
              </w:rPr>
              <w:t>ReAct-prompted Llama2-70B [1]</w:t>
            </w:r>
          </w:p>
        </w:tc>
        <w:tc>
          <w:tcPr>
            <w:tcW w:type="dxa" w:w="2609"/>
          </w:tcPr>
          <w:p>
            <w:pPr>
              <w:spacing w:after="20" w:before="20"/>
              <w:jc w:val="left"/>
            </w:pPr>
            <w:r>
              <w:rPr>
                <w:rFonts w:ascii="Times New Roman" w:hAnsi="Times New Roman"/>
                <w:b w:val="0"/>
                <w:i w:val="0"/>
                <w:color w:val="000000"/>
                <w:sz w:val="17"/>
              </w:rPr>
              <w:t>base and enhanced</w:t>
            </w:r>
          </w:p>
        </w:tc>
        <w:tc>
          <w:tcPr>
            <w:tcW w:type="dxa" w:w="2148"/>
          </w:tcPr>
          <w:p>
            <w:pPr>
              <w:spacing w:after="20" w:before="20"/>
              <w:jc w:val="right"/>
            </w:pPr>
            <w:r>
              <w:rPr>
                <w:rFonts w:ascii="Times New Roman" w:hAnsi="Times New Roman"/>
                <w:b w:val="0"/>
                <w:i w:val="0"/>
                <w:color w:val="000000"/>
                <w:sz w:val="17"/>
              </w:rPr>
              <w:t>&gt;80%</w:t>
            </w:r>
          </w:p>
        </w:tc>
      </w:tr>
      <w:tr>
        <w:tc>
          <w:tcPr>
            <w:tcW w:type="dxa" w:w="4603"/>
          </w:tcPr>
          <w:p>
            <w:pPr>
              <w:spacing w:after="20" w:before="20"/>
              <w:jc w:val="left"/>
            </w:pPr>
            <w:r>
              <w:rPr>
                <w:rFonts w:ascii="Times New Roman" w:hAnsi="Times New Roman"/>
                <w:b w:val="0"/>
                <w:i w:val="0"/>
                <w:color w:val="000000"/>
                <w:sz w:val="17"/>
              </w:rPr>
              <w:t>ReAct-prompted GPT-4 [1]</w:t>
            </w:r>
          </w:p>
        </w:tc>
        <w:tc>
          <w:tcPr>
            <w:tcW w:type="dxa" w:w="2609"/>
          </w:tcPr>
          <w:p>
            <w:pPr>
              <w:spacing w:after="20" w:before="20"/>
              <w:jc w:val="left"/>
            </w:pPr>
            <w:r>
              <w:rPr>
                <w:rFonts w:ascii="Times New Roman" w:hAnsi="Times New Roman"/>
                <w:b w:val="0"/>
                <w:i w:val="0"/>
                <w:color w:val="000000"/>
                <w:sz w:val="17"/>
              </w:rPr>
              <w:t>enhanced</w:t>
            </w:r>
          </w:p>
        </w:tc>
        <w:tc>
          <w:tcPr>
            <w:tcW w:type="dxa" w:w="2148"/>
          </w:tcPr>
          <w:p>
            <w:pPr>
              <w:spacing w:after="20" w:before="20"/>
              <w:jc w:val="right"/>
            </w:pPr>
            <w:r>
              <w:rPr>
                <w:rFonts w:ascii="Times New Roman" w:hAnsi="Times New Roman"/>
                <w:b w:val="0"/>
                <w:i w:val="0"/>
                <w:color w:val="000000"/>
                <w:sz w:val="17"/>
              </w:rPr>
              <w:t>47%</w:t>
            </w:r>
          </w:p>
        </w:tc>
      </w:tr>
      <w:tr>
        <w:tc>
          <w:tcPr>
            <w:tcW w:type="dxa" w:w="4603"/>
          </w:tcPr>
          <w:p>
            <w:pPr>
              <w:spacing w:after="20" w:before="20"/>
              <w:jc w:val="left"/>
            </w:pPr>
            <w:r>
              <w:rPr>
                <w:rFonts w:ascii="Times New Roman" w:hAnsi="Times New Roman"/>
                <w:b w:val="0"/>
                <w:i w:val="0"/>
                <w:color w:val="000000"/>
                <w:sz w:val="17"/>
              </w:rPr>
              <w:t>ReAct-prompted GPT-4 [1]</w:t>
            </w:r>
          </w:p>
        </w:tc>
        <w:tc>
          <w:tcPr>
            <w:tcW w:type="dxa" w:w="2609"/>
          </w:tcPr>
          <w:p>
            <w:pPr>
              <w:spacing w:after="20" w:before="20"/>
              <w:jc w:val="left"/>
            </w:pPr>
            <w:r>
              <w:rPr>
                <w:rFonts w:ascii="Times New Roman" w:hAnsi="Times New Roman"/>
                <w:b w:val="0"/>
                <w:i w:val="0"/>
                <w:color w:val="000000"/>
                <w:sz w:val="17"/>
              </w:rPr>
              <w:t>base</w:t>
            </w:r>
          </w:p>
        </w:tc>
        <w:tc>
          <w:tcPr>
            <w:tcW w:type="dxa" w:w="2148"/>
          </w:tcPr>
          <w:p>
            <w:pPr>
              <w:spacing w:after="20" w:before="20"/>
              <w:jc w:val="right"/>
            </w:pPr>
            <w:r>
              <w:rPr>
                <w:rFonts w:ascii="Times New Roman" w:hAnsi="Times New Roman"/>
                <w:b w:val="0"/>
                <w:i w:val="0"/>
                <w:color w:val="000000"/>
                <w:sz w:val="17"/>
              </w:rPr>
              <w:t>24%</w:t>
            </w:r>
          </w:p>
        </w:tc>
      </w:tr>
      <w:tr>
        <w:tc>
          <w:tcPr>
            <w:tcW w:type="dxa" w:w="4603"/>
          </w:tcPr>
          <w:p>
            <w:pPr>
              <w:spacing w:after="20" w:before="20"/>
              <w:jc w:val="left"/>
            </w:pPr>
            <w:r>
              <w:rPr>
                <w:rFonts w:ascii="Times New Roman" w:hAnsi="Times New Roman"/>
                <w:b w:val="0"/>
                <w:i w:val="0"/>
                <w:color w:val="000000"/>
                <w:sz w:val="17"/>
              </w:rPr>
              <w:t>Fine-tuned GPT-4 / GPT-3.5 [1]</w:t>
            </w:r>
          </w:p>
        </w:tc>
        <w:tc>
          <w:tcPr>
            <w:tcW w:type="dxa" w:w="2609"/>
          </w:tcPr>
          <w:p>
            <w:pPr>
              <w:spacing w:after="20" w:before="20"/>
              <w:jc w:val="left"/>
            </w:pPr>
            <w:r>
              <w:rPr>
                <w:rFonts w:ascii="Times New Roman" w:hAnsi="Times New Roman"/>
                <w:b w:val="0"/>
                <w:i w:val="0"/>
                <w:color w:val="000000"/>
                <w:sz w:val="17"/>
              </w:rPr>
              <w:t>base</w:t>
            </w:r>
          </w:p>
        </w:tc>
        <w:tc>
          <w:tcPr>
            <w:tcW w:type="dxa" w:w="2148"/>
          </w:tcPr>
          <w:p>
            <w:pPr>
              <w:spacing w:after="20" w:before="20"/>
              <w:jc w:val="right"/>
            </w:pPr>
            <w:r>
              <w:rPr>
                <w:rFonts w:ascii="Times New Roman" w:hAnsi="Times New Roman"/>
                <w:b w:val="0"/>
                <w:i w:val="0"/>
                <w:color w:val="000000"/>
                <w:sz w:val="17"/>
              </w:rPr>
              <w:t>3.8% / 6.6%</w:t>
            </w:r>
          </w:p>
        </w:tc>
      </w:tr>
    </w:tbl>
    <w:p>
      <w:pPr>
        <w:spacing w:after="160" w:before="0" w:line="254" w:lineRule="auto"/>
        <w:jc w:val="left"/>
      </w:pPr>
      <w:r>
        <w:rPr>
          <w:rFonts w:ascii="Times New Roman" w:hAnsi="Times New Roman"/>
          <w:b/>
          <w:i w:val="0"/>
          <w:color w:val="444A53"/>
          <w:sz w:val="17"/>
        </w:rPr>
        <w:t>Table X.</w:t>
      </w:r>
      <w:r>
        <w:rPr>
          <w:rFonts w:ascii="Times New Roman" w:hAnsi="Times New Roman"/>
          <w:b w:val="0"/>
          <w:i w:val="0"/>
          <w:color w:val="444A53"/>
          <w:sz w:val="17"/>
        </w:rPr>
        <w:t xml:space="preserve"> Attack success on InjecAgent's direct-harm split. Published figures are ASR-valid over all attack types and carry no interval.</w:t>
      </w:r>
    </w:p>
    <w:p>
      <w:pPr>
        <w:spacing w:after="80" w:before="0" w:line="254" w:lineRule="auto"/>
        <w:jc w:val="both"/>
      </w:pPr>
      <w:r>
        <w:rPr>
          <w:rFonts w:ascii="Times New Roman" w:hAnsi="Times New Roman"/>
          <w:b w:val="0"/>
          <w:i w:val="0"/>
          <w:color w:val="000000"/>
          <w:sz w:val="20"/>
        </w:rPr>
        <w:t xml:space="preserve">This is a floor check, not a result. Our 100% is the </w:t>
      </w:r>
      <w:r>
        <w:rPr>
          <w:rFonts w:ascii="Times New Roman" w:hAnsi="Times New Roman"/>
          <w:b w:val="0"/>
          <w:i/>
          <w:color w:val="000000"/>
          <w:sz w:val="20"/>
        </w:rPr>
        <w:t>undefended</w:t>
      </w:r>
      <w:r>
        <w:rPr>
          <w:rFonts w:ascii="Times New Roman" w:hAnsi="Times New Roman"/>
          <w:b w:val="0"/>
          <w:i w:val="0"/>
          <w:color w:val="000000"/>
          <w:sz w:val="20"/>
        </w:rPr>
        <w:t xml:space="preserve"> number and sits above everything InjecAgent measured because our agent is a 3–4B local model rather than GPT-4. What it earns is the right to report a downstream difference; if the attacks did not land, no defended number would mean anything.</w:t>
      </w:r>
    </w:p>
    <w:tbl>
      <w:tblPr>
        <w:tblStyle w:val="TableGrid"/>
        <w:tblW w:type="auto" w:w="0"/>
        <w:jc w:val="center"/>
        <w:tblLayout w:type="fixed"/>
        <w:tblLook w:firstColumn="1" w:firstRow="1" w:lastColumn="0" w:lastRow="0" w:noHBand="0" w:noVBand="1" w:val="04A0"/>
      </w:tblPr>
      <w:tblGrid>
        <w:gridCol w:w="5051"/>
        <w:gridCol w:w="3120"/>
        <w:gridCol w:w="1189"/>
      </w:tblGrid>
      <w:tr>
        <w:tc>
          <w:tcPr>
            <w:tcW w:type="dxa" w:w="5051"/>
            <w:shd w:val="clear" w:fill="EDF1F5"/>
          </w:tcPr>
          <w:p>
            <w:pPr>
              <w:spacing w:after="20" w:before="20"/>
              <w:jc w:val="left"/>
            </w:pPr>
            <w:r>
              <w:rPr>
                <w:rFonts w:ascii="Times New Roman" w:hAnsi="Times New Roman"/>
                <w:b/>
                <w:i w:val="0"/>
                <w:color w:val="000000"/>
                <w:sz w:val="17"/>
              </w:rPr>
              <w:t>Detector</w:t>
            </w:r>
          </w:p>
        </w:tc>
        <w:tc>
          <w:tcPr>
            <w:tcW w:type="dxa" w:w="3120"/>
            <w:shd w:val="clear" w:fill="EDF1F5"/>
          </w:tcPr>
          <w:p>
            <w:pPr>
              <w:spacing w:after="20" w:before="20"/>
              <w:jc w:val="left"/>
            </w:pPr>
            <w:r>
              <w:rPr>
                <w:rFonts w:ascii="Times New Roman" w:hAnsi="Times New Roman"/>
                <w:b/>
                <w:i w:val="0"/>
                <w:color w:val="000000"/>
                <w:sz w:val="17"/>
              </w:rPr>
              <w:t>Detection (100 − FNR)</w:t>
            </w:r>
          </w:p>
        </w:tc>
        <w:tc>
          <w:tcPr>
            <w:tcW w:type="dxa" w:w="1189"/>
            <w:shd w:val="clear" w:fill="EDF1F5"/>
          </w:tcPr>
          <w:p>
            <w:pPr>
              <w:spacing w:after="20" w:before="20"/>
              <w:jc w:val="left"/>
            </w:pPr>
            <w:r>
              <w:rPr>
                <w:rFonts w:ascii="Times New Roman" w:hAnsi="Times New Roman"/>
                <w:b/>
                <w:i w:val="0"/>
                <w:color w:val="000000"/>
                <w:sz w:val="17"/>
              </w:rPr>
              <w:t>FPR</w:t>
            </w:r>
          </w:p>
        </w:tc>
      </w:tr>
      <w:tr>
        <w:tc>
          <w:tcPr>
            <w:tcW w:type="dxa" w:w="5051"/>
          </w:tcPr>
          <w:p>
            <w:pPr>
              <w:spacing w:after="20" w:before="20"/>
              <w:jc w:val="left"/>
            </w:pPr>
            <w:r>
              <w:rPr>
                <w:rFonts w:ascii="Times New Roman" w:hAnsi="Times New Roman"/>
                <w:b w:val="0"/>
                <w:i w:val="0"/>
                <w:color w:val="000000"/>
                <w:sz w:val="17"/>
              </w:rPr>
              <w:t>This work — target-bearing stratum</w:t>
            </w:r>
          </w:p>
        </w:tc>
        <w:tc>
          <w:tcPr>
            <w:tcW w:type="dxa" w:w="3120"/>
          </w:tcPr>
          <w:p>
            <w:pPr>
              <w:spacing w:after="20" w:before="20"/>
              <w:jc w:val="right"/>
            </w:pPr>
            <w:r>
              <w:rPr>
                <w:rFonts w:ascii="Times New Roman" w:hAnsi="Times New Roman"/>
                <w:b w:val="0"/>
                <w:i w:val="0"/>
                <w:color w:val="000000"/>
                <w:sz w:val="17"/>
              </w:rPr>
              <w:t>96.7%</w:t>
            </w:r>
          </w:p>
        </w:tc>
        <w:tc>
          <w:tcPr>
            <w:tcW w:type="dxa" w:w="1189"/>
          </w:tcPr>
          <w:p>
            <w:pPr>
              <w:spacing w:after="20" w:before="20"/>
              <w:jc w:val="right"/>
            </w:pPr>
            <w:r>
              <w:rPr>
                <w:rFonts w:ascii="Times New Roman" w:hAnsi="Times New Roman"/>
                <w:b w:val="0"/>
                <w:i w:val="0"/>
                <w:color w:val="000000"/>
                <w:sz w:val="17"/>
              </w:rPr>
              <w:t>3.3%</w:t>
            </w:r>
          </w:p>
        </w:tc>
      </w:tr>
      <w:tr>
        <w:tc>
          <w:tcPr>
            <w:tcW w:type="dxa" w:w="5051"/>
          </w:tcPr>
          <w:p>
            <w:pPr>
              <w:spacing w:after="20" w:before="20"/>
              <w:jc w:val="left"/>
            </w:pPr>
            <w:r>
              <w:rPr>
                <w:rFonts w:ascii="Times New Roman" w:hAnsi="Times New Roman"/>
                <w:b w:val="0"/>
                <w:i w:val="0"/>
                <w:color w:val="000000"/>
                <w:sz w:val="17"/>
              </w:rPr>
              <w:t>This work — no-target stratum</w:t>
            </w:r>
          </w:p>
        </w:tc>
        <w:tc>
          <w:tcPr>
            <w:tcW w:type="dxa" w:w="3120"/>
          </w:tcPr>
          <w:p>
            <w:pPr>
              <w:spacing w:after="20" w:before="20"/>
              <w:jc w:val="right"/>
            </w:pPr>
            <w:r>
              <w:rPr>
                <w:rFonts w:ascii="Times New Roman" w:hAnsi="Times New Roman"/>
                <w:b w:val="0"/>
                <w:i w:val="0"/>
                <w:color w:val="000000"/>
                <w:sz w:val="17"/>
              </w:rPr>
              <w:t>10.0%</w:t>
            </w:r>
          </w:p>
        </w:tc>
        <w:tc>
          <w:tcPr>
            <w:tcW w:type="dxa" w:w="1189"/>
          </w:tcPr>
          <w:p>
            <w:pPr>
              <w:spacing w:after="20" w:before="20"/>
              <w:jc w:val="right"/>
            </w:pPr>
            <w:r>
              <w:rPr>
                <w:rFonts w:ascii="Times New Roman" w:hAnsi="Times New Roman"/>
                <w:b w:val="0"/>
                <w:i w:val="0"/>
                <w:color w:val="000000"/>
                <w:sz w:val="17"/>
              </w:rPr>
              <w:t>3.3%</w:t>
            </w:r>
          </w:p>
        </w:tc>
      </w:tr>
      <w:tr>
        <w:tc>
          <w:tcPr>
            <w:tcW w:type="dxa" w:w="5051"/>
          </w:tcPr>
          <w:p>
            <w:pPr>
              <w:spacing w:after="20" w:before="20"/>
              <w:jc w:val="left"/>
            </w:pPr>
            <w:r>
              <w:rPr>
                <w:rFonts w:ascii="Times New Roman" w:hAnsi="Times New Roman"/>
                <w:b w:val="0"/>
                <w:i w:val="0"/>
                <w:color w:val="000000"/>
                <w:sz w:val="17"/>
              </w:rPr>
              <w:t>PIShield [4]</w:t>
            </w:r>
          </w:p>
        </w:tc>
        <w:tc>
          <w:tcPr>
            <w:tcW w:type="dxa" w:w="3120"/>
          </w:tcPr>
          <w:p>
            <w:pPr>
              <w:spacing w:after="20" w:before="20"/>
              <w:jc w:val="right"/>
            </w:pPr>
            <w:r>
              <w:rPr>
                <w:rFonts w:ascii="Times New Roman" w:hAnsi="Times New Roman"/>
                <w:b w:val="0"/>
                <w:i w:val="0"/>
                <w:color w:val="000000"/>
                <w:sz w:val="17"/>
              </w:rPr>
              <w:t>98.6%</w:t>
            </w:r>
          </w:p>
        </w:tc>
        <w:tc>
          <w:tcPr>
            <w:tcW w:type="dxa" w:w="1189"/>
          </w:tcPr>
          <w:p>
            <w:pPr>
              <w:spacing w:after="20" w:before="20"/>
              <w:jc w:val="right"/>
            </w:pPr>
            <w:r>
              <w:rPr>
                <w:rFonts w:ascii="Times New Roman" w:hAnsi="Times New Roman"/>
                <w:b w:val="0"/>
                <w:i w:val="0"/>
                <w:color w:val="000000"/>
                <w:sz w:val="17"/>
              </w:rPr>
              <w:t>0.5%</w:t>
            </w:r>
          </w:p>
        </w:tc>
      </w:tr>
      <w:tr>
        <w:tc>
          <w:tcPr>
            <w:tcW w:type="dxa" w:w="5051"/>
          </w:tcPr>
          <w:p>
            <w:pPr>
              <w:spacing w:after="20" w:before="20"/>
              <w:jc w:val="left"/>
            </w:pPr>
            <w:r>
              <w:rPr>
                <w:rFonts w:ascii="Times New Roman" w:hAnsi="Times New Roman"/>
                <w:b w:val="0"/>
                <w:i w:val="0"/>
                <w:color w:val="000000"/>
                <w:sz w:val="17"/>
              </w:rPr>
              <w:t>PromptGuard [4]</w:t>
            </w:r>
          </w:p>
        </w:tc>
        <w:tc>
          <w:tcPr>
            <w:tcW w:type="dxa" w:w="3120"/>
          </w:tcPr>
          <w:p>
            <w:pPr>
              <w:spacing w:after="20" w:before="20"/>
              <w:jc w:val="right"/>
            </w:pPr>
            <w:r>
              <w:rPr>
                <w:rFonts w:ascii="Times New Roman" w:hAnsi="Times New Roman"/>
                <w:b w:val="0"/>
                <w:i w:val="0"/>
                <w:color w:val="000000"/>
                <w:sz w:val="17"/>
              </w:rPr>
              <w:t>91.3%</w:t>
            </w:r>
          </w:p>
        </w:tc>
        <w:tc>
          <w:tcPr>
            <w:tcW w:type="dxa" w:w="1189"/>
          </w:tcPr>
          <w:p>
            <w:pPr>
              <w:spacing w:after="20" w:before="20"/>
              <w:jc w:val="right"/>
            </w:pPr>
            <w:r>
              <w:rPr>
                <w:rFonts w:ascii="Times New Roman" w:hAnsi="Times New Roman"/>
                <w:b w:val="0"/>
                <w:i w:val="0"/>
                <w:color w:val="000000"/>
                <w:sz w:val="17"/>
              </w:rPr>
              <w:t>40.3%</w:t>
            </w:r>
          </w:p>
        </w:tc>
      </w:tr>
      <w:tr>
        <w:tc>
          <w:tcPr>
            <w:tcW w:type="dxa" w:w="5051"/>
          </w:tcPr>
          <w:p>
            <w:pPr>
              <w:spacing w:after="20" w:before="20"/>
              <w:jc w:val="left"/>
            </w:pPr>
            <w:r>
              <w:rPr>
                <w:rFonts w:ascii="Times New Roman" w:hAnsi="Times New Roman"/>
                <w:b w:val="0"/>
                <w:i w:val="0"/>
                <w:color w:val="000000"/>
                <w:sz w:val="17"/>
              </w:rPr>
              <w:t>DataSentinel [4]</w:t>
            </w:r>
          </w:p>
        </w:tc>
        <w:tc>
          <w:tcPr>
            <w:tcW w:type="dxa" w:w="3120"/>
          </w:tcPr>
          <w:p>
            <w:pPr>
              <w:spacing w:after="20" w:before="20"/>
              <w:jc w:val="right"/>
            </w:pPr>
            <w:r>
              <w:rPr>
                <w:rFonts w:ascii="Times New Roman" w:hAnsi="Times New Roman"/>
                <w:b w:val="0"/>
                <w:i w:val="0"/>
                <w:color w:val="000000"/>
                <w:sz w:val="17"/>
              </w:rPr>
              <w:t>89.6%</w:t>
            </w:r>
          </w:p>
        </w:tc>
        <w:tc>
          <w:tcPr>
            <w:tcW w:type="dxa" w:w="1189"/>
          </w:tcPr>
          <w:p>
            <w:pPr>
              <w:spacing w:after="20" w:before="20"/>
              <w:jc w:val="right"/>
            </w:pPr>
            <w:r>
              <w:rPr>
                <w:rFonts w:ascii="Times New Roman" w:hAnsi="Times New Roman"/>
                <w:b w:val="0"/>
                <w:i w:val="0"/>
                <w:color w:val="000000"/>
                <w:sz w:val="17"/>
              </w:rPr>
              <w:t>33.6%</w:t>
            </w:r>
          </w:p>
        </w:tc>
      </w:tr>
      <w:tr>
        <w:tc>
          <w:tcPr>
            <w:tcW w:type="dxa" w:w="5051"/>
          </w:tcPr>
          <w:p>
            <w:pPr>
              <w:spacing w:after="20" w:before="20"/>
              <w:jc w:val="left"/>
            </w:pPr>
            <w:r>
              <w:rPr>
                <w:rFonts w:ascii="Times New Roman" w:hAnsi="Times New Roman"/>
                <w:b w:val="0"/>
                <w:i w:val="0"/>
                <w:color w:val="000000"/>
                <w:sz w:val="17"/>
              </w:rPr>
              <w:t>TaskTracker [4]</w:t>
            </w:r>
          </w:p>
        </w:tc>
        <w:tc>
          <w:tcPr>
            <w:tcW w:type="dxa" w:w="3120"/>
          </w:tcPr>
          <w:p>
            <w:pPr>
              <w:spacing w:after="20" w:before="20"/>
              <w:jc w:val="right"/>
            </w:pPr>
            <w:r>
              <w:rPr>
                <w:rFonts w:ascii="Times New Roman" w:hAnsi="Times New Roman"/>
                <w:b w:val="0"/>
                <w:i w:val="0"/>
                <w:color w:val="000000"/>
                <w:sz w:val="17"/>
              </w:rPr>
              <w:t>68.3%</w:t>
            </w:r>
          </w:p>
        </w:tc>
        <w:tc>
          <w:tcPr>
            <w:tcW w:type="dxa" w:w="1189"/>
          </w:tcPr>
          <w:p>
            <w:pPr>
              <w:spacing w:after="20" w:before="20"/>
              <w:jc w:val="right"/>
            </w:pPr>
            <w:r>
              <w:rPr>
                <w:rFonts w:ascii="Times New Roman" w:hAnsi="Times New Roman"/>
                <w:b w:val="0"/>
                <w:i w:val="0"/>
                <w:color w:val="000000"/>
                <w:sz w:val="17"/>
              </w:rPr>
              <w:t>27.4%</w:t>
            </w:r>
          </w:p>
        </w:tc>
      </w:tr>
      <w:tr>
        <w:tc>
          <w:tcPr>
            <w:tcW w:type="dxa" w:w="5051"/>
          </w:tcPr>
          <w:p>
            <w:pPr>
              <w:spacing w:after="20" w:before="20"/>
              <w:jc w:val="left"/>
            </w:pPr>
            <w:r>
              <w:rPr>
                <w:rFonts w:ascii="Times New Roman" w:hAnsi="Times New Roman"/>
                <w:b w:val="0"/>
                <w:i w:val="0"/>
                <w:color w:val="000000"/>
                <w:sz w:val="17"/>
              </w:rPr>
              <w:t>PromptArmor [4]</w:t>
            </w:r>
          </w:p>
        </w:tc>
        <w:tc>
          <w:tcPr>
            <w:tcW w:type="dxa" w:w="3120"/>
          </w:tcPr>
          <w:p>
            <w:pPr>
              <w:spacing w:after="20" w:before="20"/>
              <w:jc w:val="right"/>
            </w:pPr>
            <w:r>
              <w:rPr>
                <w:rFonts w:ascii="Times New Roman" w:hAnsi="Times New Roman"/>
                <w:b w:val="0"/>
                <w:i w:val="0"/>
                <w:color w:val="000000"/>
                <w:sz w:val="17"/>
              </w:rPr>
              <w:t>54.1%</w:t>
            </w:r>
          </w:p>
        </w:tc>
        <w:tc>
          <w:tcPr>
            <w:tcW w:type="dxa" w:w="1189"/>
          </w:tcPr>
          <w:p>
            <w:pPr>
              <w:spacing w:after="20" w:before="20"/>
              <w:jc w:val="right"/>
            </w:pPr>
            <w:r>
              <w:rPr>
                <w:rFonts w:ascii="Times New Roman" w:hAnsi="Times New Roman"/>
                <w:b w:val="0"/>
                <w:i w:val="0"/>
                <w:color w:val="000000"/>
                <w:sz w:val="17"/>
              </w:rPr>
              <w:t>1.3%</w:t>
            </w:r>
          </w:p>
        </w:tc>
      </w:tr>
      <w:tr>
        <w:tc>
          <w:tcPr>
            <w:tcW w:type="dxa" w:w="5051"/>
          </w:tcPr>
          <w:p>
            <w:pPr>
              <w:spacing w:after="20" w:before="20"/>
              <w:jc w:val="left"/>
            </w:pPr>
            <w:r>
              <w:rPr>
                <w:rFonts w:ascii="Times New Roman" w:hAnsi="Times New Roman"/>
                <w:b w:val="0"/>
                <w:i w:val="0"/>
                <w:color w:val="000000"/>
                <w:sz w:val="17"/>
              </w:rPr>
              <w:t>AttentionTracker [4]</w:t>
            </w:r>
          </w:p>
        </w:tc>
        <w:tc>
          <w:tcPr>
            <w:tcW w:type="dxa" w:w="3120"/>
          </w:tcPr>
          <w:p>
            <w:pPr>
              <w:spacing w:after="20" w:before="20"/>
              <w:jc w:val="right"/>
            </w:pPr>
            <w:r>
              <w:rPr>
                <w:rFonts w:ascii="Times New Roman" w:hAnsi="Times New Roman"/>
                <w:b w:val="0"/>
                <w:i w:val="0"/>
                <w:color w:val="000000"/>
                <w:sz w:val="17"/>
              </w:rPr>
              <w:t>44.7%</w:t>
            </w:r>
          </w:p>
        </w:tc>
        <w:tc>
          <w:tcPr>
            <w:tcW w:type="dxa" w:w="1189"/>
          </w:tcPr>
          <w:p>
            <w:pPr>
              <w:spacing w:after="20" w:before="20"/>
              <w:jc w:val="right"/>
            </w:pPr>
            <w:r>
              <w:rPr>
                <w:rFonts w:ascii="Times New Roman" w:hAnsi="Times New Roman"/>
                <w:b w:val="0"/>
                <w:i w:val="0"/>
                <w:color w:val="000000"/>
                <w:sz w:val="17"/>
              </w:rPr>
              <w:t>32.8%</w:t>
            </w:r>
          </w:p>
        </w:tc>
      </w:tr>
      <w:tr>
        <w:tc>
          <w:tcPr>
            <w:tcW w:type="dxa" w:w="5051"/>
          </w:tcPr>
          <w:p>
            <w:pPr>
              <w:spacing w:after="20" w:before="20"/>
              <w:jc w:val="left"/>
            </w:pPr>
            <w:r>
              <w:rPr>
                <w:rFonts w:ascii="Times New Roman" w:hAnsi="Times New Roman"/>
                <w:b w:val="0"/>
                <w:i w:val="0"/>
                <w:color w:val="000000"/>
                <w:sz w:val="17"/>
              </w:rPr>
              <w:t>InjecGuard [4]</w:t>
            </w:r>
          </w:p>
        </w:tc>
        <w:tc>
          <w:tcPr>
            <w:tcW w:type="dxa" w:w="3120"/>
          </w:tcPr>
          <w:p>
            <w:pPr>
              <w:spacing w:after="20" w:before="20"/>
              <w:jc w:val="right"/>
            </w:pPr>
            <w:r>
              <w:rPr>
                <w:rFonts w:ascii="Times New Roman" w:hAnsi="Times New Roman"/>
                <w:b w:val="0"/>
                <w:i w:val="0"/>
                <w:color w:val="000000"/>
                <w:sz w:val="17"/>
              </w:rPr>
              <w:t>33.7%</w:t>
            </w:r>
          </w:p>
        </w:tc>
        <w:tc>
          <w:tcPr>
            <w:tcW w:type="dxa" w:w="1189"/>
          </w:tcPr>
          <w:p>
            <w:pPr>
              <w:spacing w:after="20" w:before="20"/>
              <w:jc w:val="right"/>
            </w:pPr>
            <w:r>
              <w:rPr>
                <w:rFonts w:ascii="Times New Roman" w:hAnsi="Times New Roman"/>
                <w:b w:val="0"/>
                <w:i w:val="0"/>
                <w:color w:val="000000"/>
                <w:sz w:val="17"/>
              </w:rPr>
              <w:t>8.2%</w:t>
            </w:r>
          </w:p>
        </w:tc>
      </w:tr>
      <w:tr>
        <w:tc>
          <w:tcPr>
            <w:tcW w:type="dxa" w:w="5051"/>
          </w:tcPr>
          <w:p>
            <w:pPr>
              <w:spacing w:after="20" w:before="20"/>
              <w:jc w:val="left"/>
            </w:pPr>
            <w:r>
              <w:rPr>
                <w:rFonts w:ascii="Times New Roman" w:hAnsi="Times New Roman"/>
                <w:b w:val="0"/>
                <w:i w:val="0"/>
                <w:color w:val="000000"/>
                <w:sz w:val="17"/>
              </w:rPr>
              <w:t>ProtectAI-deberta [4]</w:t>
            </w:r>
          </w:p>
        </w:tc>
        <w:tc>
          <w:tcPr>
            <w:tcW w:type="dxa" w:w="3120"/>
          </w:tcPr>
          <w:p>
            <w:pPr>
              <w:spacing w:after="20" w:before="20"/>
              <w:jc w:val="right"/>
            </w:pPr>
            <w:r>
              <w:rPr>
                <w:rFonts w:ascii="Times New Roman" w:hAnsi="Times New Roman"/>
                <w:b w:val="0"/>
                <w:i w:val="0"/>
                <w:color w:val="000000"/>
                <w:sz w:val="17"/>
              </w:rPr>
              <w:t>24.1%</w:t>
            </w:r>
          </w:p>
        </w:tc>
        <w:tc>
          <w:tcPr>
            <w:tcW w:type="dxa" w:w="1189"/>
          </w:tcPr>
          <w:p>
            <w:pPr>
              <w:spacing w:after="20" w:before="20"/>
              <w:jc w:val="right"/>
            </w:pPr>
            <w:r>
              <w:rPr>
                <w:rFonts w:ascii="Times New Roman" w:hAnsi="Times New Roman"/>
                <w:b w:val="0"/>
                <w:i w:val="0"/>
                <w:color w:val="000000"/>
                <w:sz w:val="17"/>
              </w:rPr>
              <w:t>10.1%</w:t>
            </w:r>
          </w:p>
        </w:tc>
      </w:tr>
    </w:tbl>
    <w:p>
      <w:pPr>
        <w:spacing w:after="160" w:before="0" w:line="254" w:lineRule="auto"/>
        <w:jc w:val="left"/>
      </w:pPr>
      <w:r>
        <w:rPr>
          <w:rFonts w:ascii="Times New Roman" w:hAnsi="Times New Roman"/>
          <w:b/>
          <w:i w:val="0"/>
          <w:color w:val="444A53"/>
          <w:sz w:val="17"/>
        </w:rPr>
        <w:t>Table XI.</w:t>
      </w:r>
      <w:r>
        <w:rPr>
          <w:rFonts w:ascii="Times New Roman" w:hAnsi="Times New Roman"/>
          <w:b w:val="0"/>
          <w:i w:val="0"/>
          <w:color w:val="444A53"/>
          <w:sz w:val="17"/>
        </w:rPr>
        <w:t xml:space="preserve"> Detection against published detectors. Published figures are averages over six text benchmarks as reported in [4]; ours are measured on an agent loop over injected tool output at one fixed threshold.</w:t>
      </w:r>
    </w:p>
    <w:p>
      <w:pPr>
        <w:spacing w:after="80" w:before="0" w:line="254" w:lineRule="auto"/>
        <w:jc w:val="both"/>
      </w:pPr>
      <w:r>
        <w:rPr>
          <w:rFonts w:ascii="Times New Roman" w:hAnsi="Times New Roman"/>
          <w:b w:val="0"/>
          <w:i w:val="0"/>
          <w:color w:val="000000"/>
          <w:sz w:val="20"/>
        </w:rPr>
        <w:t xml:space="preserve">Those detectors trade false positives against misses along one axis, and a paper's contribution is usually a better point on that curve. </w:t>
      </w:r>
      <w:r>
        <w:rPr>
          <w:rFonts w:ascii="Times New Roman" w:hAnsi="Times New Roman"/>
          <w:b/>
          <w:i w:val="0"/>
          <w:color w:val="000000"/>
          <w:sz w:val="20"/>
        </w:rPr>
        <w:t>Ours does not sit on that curve.</w:t>
      </w:r>
      <w:r>
        <w:rPr>
          <w:rFonts w:ascii="Times New Roman" w:hAnsi="Times New Roman"/>
          <w:b w:val="0"/>
          <w:i w:val="0"/>
          <w:color w:val="000000"/>
          <w:sz w:val="20"/>
        </w:rPr>
        <w:t xml:space="preserve"> At one fixed false-positive rate it is near the ceiling on one stratum and near the floor on the other, and the split is a mechanism rather than a threshold. None of the nine reports its numbers stratified this way, so a mechanism-dependent collapse of this size would not be visible in any of their tables. We are not claiming those systems share the failure; we are claiming their evaluations, as reported, could not tell us either way.</w:t>
      </w:r>
    </w:p>
    <w:p>
      <w:pPr>
        <w:spacing w:after="80" w:before="0" w:line="254" w:lineRule="auto"/>
        <w:jc w:val="both"/>
      </w:pPr>
      <w:r>
        <w:rPr>
          <w:rFonts w:ascii="Times New Roman" w:hAnsi="Times New Roman"/>
          <w:b w:val="0"/>
          <w:i w:val="0"/>
          <w:color w:val="000000"/>
          <w:sz w:val="20"/>
        </w:rPr>
        <w:t>For defenses, spotlighting is reported at "&gt;50% to below 2%" on GPT-family models [3] against our null on 3–4B local models with action selection as the outcome (§VI), and AgentDojo's tool filter at 7.5% ASR [2] against our Layer 4, which §V reports as redundant. The gap between our spotlighting null and the published figure is most likely a gap in setting, and we say so rather than claiming a contradiction.</w:t>
      </w:r>
    </w:p>
    <w:p>
      <w:pPr>
        <w:spacing w:after="100" w:before="240" w:line="254" w:lineRule="auto"/>
        <w:jc w:val="left"/>
      </w:pPr>
      <w:r>
        <w:rPr>
          <w:rFonts w:ascii="Times New Roman" w:hAnsi="Times New Roman"/>
          <w:b/>
          <w:i w:val="0"/>
          <w:color w:val="000000"/>
          <w:sz w:val="22"/>
        </w:rPr>
        <w:t>XII. LIMITATIONS</w:t>
      </w:r>
    </w:p>
    <w:p>
      <w:pPr>
        <w:spacing w:after="80" w:before="0" w:line="254" w:lineRule="auto"/>
        <w:jc w:val="both"/>
      </w:pPr>
      <w:r>
        <w:rPr>
          <w:rFonts w:ascii="Times New Roman" w:hAnsi="Times New Roman"/>
          <w:b/>
          <w:i w:val="0"/>
          <w:color w:val="000000"/>
          <w:sz w:val="20"/>
        </w:rPr>
        <w:t>Single model, single scorer.</w:t>
      </w:r>
      <w:r>
        <w:rPr>
          <w:rFonts w:ascii="Times New Roman" w:hAnsi="Times New Roman"/>
          <w:b w:val="0"/>
          <w:i w:val="0"/>
          <w:color w:val="000000"/>
          <w:sz w:val="20"/>
        </w:rPr>
        <w:t xml:space="preserve"> Every number rests on one 4B model behind the causal probe and one keyword scorer. The central finding — the causal contrast being zero on 80% of turns — is a property of </w:t>
      </w:r>
      <w:r>
        <w:rPr>
          <w:rFonts w:ascii="Times New Roman" w:hAnsi="Times New Roman"/>
          <w:b w:val="0"/>
          <w:i/>
          <w:color w:val="000000"/>
          <w:sz w:val="20"/>
        </w:rPr>
        <w:t>that pair</w:t>
      </w:r>
      <w:r>
        <w:rPr>
          <w:rFonts w:ascii="Times New Roman" w:hAnsi="Times New Roman"/>
          <w:b w:val="0"/>
          <w:i w:val="0"/>
          <w:color w:val="000000"/>
          <w:sz w:val="20"/>
        </w:rPr>
        <w:t>, not of causal detection in general.</w:t>
      </w:r>
    </w:p>
    <w:p>
      <w:pPr>
        <w:spacing w:after="80" w:before="0" w:line="254" w:lineRule="auto"/>
        <w:jc w:val="both"/>
      </w:pPr>
      <w:r>
        <w:rPr>
          <w:rFonts w:ascii="Times New Roman" w:hAnsi="Times New Roman"/>
          <w:b/>
          <w:i w:val="0"/>
          <w:color w:val="000000"/>
          <w:sz w:val="20"/>
        </w:rPr>
        <w:t>Model choice is constrained, not free.</w:t>
      </w:r>
      <w:r>
        <w:rPr>
          <w:rFonts w:ascii="Times New Roman" w:hAnsi="Times New Roman"/>
          <w:b w:val="0"/>
          <w:i w:val="0"/>
          <w:color w:val="000000"/>
          <w:sz w:val="20"/>
        </w:rPr>
        <w:t xml:space="preserve"> The probe needs a model that complies under the masked regime. A more refusal-prone model produces no signal at all, so the approach cannot simply be moved to a stronger, better-aligned model: the property being exploited to </w:t>
      </w:r>
      <w:r>
        <w:rPr>
          <w:rFonts w:ascii="Times New Roman" w:hAnsi="Times New Roman"/>
          <w:b w:val="0"/>
          <w:i/>
          <w:color w:val="000000"/>
          <w:sz w:val="20"/>
        </w:rPr>
        <w:t>measure</w:t>
      </w:r>
      <w:r>
        <w:rPr>
          <w:rFonts w:ascii="Times New Roman" w:hAnsi="Times New Roman"/>
          <w:b w:val="0"/>
          <w:i w:val="0"/>
          <w:color w:val="000000"/>
          <w:sz w:val="20"/>
        </w:rPr>
        <w:t xml:space="preserve"> the attack is the same property that makes the model vulnerable to it.</w:t>
      </w:r>
    </w:p>
    <w:p>
      <w:pPr>
        <w:spacing w:after="80" w:before="0" w:line="254" w:lineRule="auto"/>
        <w:jc w:val="both"/>
      </w:pPr>
      <w:r>
        <w:rPr>
          <w:rFonts w:ascii="Times New Roman" w:hAnsi="Times New Roman"/>
          <w:b/>
          <w:i w:val="0"/>
          <w:color w:val="000000"/>
          <w:sz w:val="20"/>
        </w:rPr>
        <w:t>The benign corpus is 60 external documents,</w:t>
      </w:r>
      <w:r>
        <w:rPr>
          <w:rFonts w:ascii="Times New Roman" w:hAnsi="Times New Roman"/>
          <w:b w:val="0"/>
          <w:i w:val="0"/>
          <w:color w:val="000000"/>
          <w:sz w:val="20"/>
        </w:rPr>
        <w:t xml:space="preserve"> adequate for the reported [0.9%, 11.4%] interval but wide enough that a two-point FPR difference is unresolvable.</w:t>
      </w:r>
    </w:p>
    <w:p>
      <w:pPr>
        <w:spacing w:after="80" w:before="0" w:line="254" w:lineRule="auto"/>
        <w:jc w:val="both"/>
      </w:pPr>
      <w:r>
        <w:rPr>
          <w:rFonts w:ascii="Times New Roman" w:hAnsi="Times New Roman"/>
          <w:b/>
          <w:i w:val="0"/>
          <w:color w:val="000000"/>
          <w:sz w:val="20"/>
        </w:rPr>
        <w:t>Per-document FPR does not reproduce</w:t>
      </w:r>
      <w:r>
        <w:rPr>
          <w:rFonts w:ascii="Times New Roman" w:hAnsi="Times New Roman"/>
          <w:b w:val="0"/>
          <w:i w:val="0"/>
          <w:color w:val="000000"/>
          <w:sz w:val="20"/>
        </w:rPr>
        <w:t xml:space="preserve"> (§VIII-D), which bounds several comparisons to "no measurable change".</w:t>
      </w:r>
    </w:p>
    <w:p>
      <w:pPr>
        <w:spacing w:after="80" w:before="0" w:line="254" w:lineRule="auto"/>
        <w:jc w:val="both"/>
      </w:pPr>
      <w:r>
        <w:rPr>
          <w:rFonts w:ascii="Times New Roman" w:hAnsi="Times New Roman"/>
          <w:b/>
          <w:i w:val="0"/>
          <w:color w:val="000000"/>
          <w:sz w:val="20"/>
        </w:rPr>
        <w:t>Single-repeat strata in the harm-taxonomy analysis,</w:t>
      </w:r>
      <w:r>
        <w:rPr>
          <w:rFonts w:ascii="Times New Roman" w:hAnsi="Times New Roman"/>
          <w:b w:val="0"/>
          <w:i w:val="0"/>
          <w:color w:val="000000"/>
          <w:sz w:val="20"/>
        </w:rPr>
        <w:t xml:space="preserve"> and </w:t>
      </w:r>
      <w:r>
        <w:rPr>
          <w:rFonts w:ascii="Times New Roman" w:hAnsi="Times New Roman"/>
          <w:b/>
          <w:i w:val="0"/>
          <w:color w:val="000000"/>
          <w:sz w:val="20"/>
        </w:rPr>
        <w:t>three malicious sessions per multi-turn run.</w:t>
      </w:r>
      <w:r>
        <w:rPr>
          <w:rFonts w:ascii="Times New Roman" w:hAnsi="Times New Roman"/>
          <w:b w:val="0"/>
          <w:i w:val="0"/>
          <w:color w:val="000000"/>
          <w:sz w:val="20"/>
        </w:rPr>
        <w:t xml:space="preserve"> The latter is an existence question, not a rate; the negative result is strong not because n is large but because the mechanism's </w:t>
      </w:r>
      <w:r>
        <w:rPr>
          <w:rFonts w:ascii="Times New Roman" w:hAnsi="Times New Roman"/>
          <w:b w:val="0"/>
          <w:i/>
          <w:color w:val="000000"/>
          <w:sz w:val="20"/>
        </w:rPr>
        <w:t>input</w:t>
      </w:r>
      <w:r>
        <w:rPr>
          <w:rFonts w:ascii="Times New Roman" w:hAnsi="Times New Roman"/>
          <w:b w:val="0"/>
          <w:i w:val="0"/>
          <w:color w:val="000000"/>
          <w:sz w:val="20"/>
        </w:rPr>
        <w:t xml:space="preserve"> was measured at zero across all 30 turns.</w:t>
      </w:r>
    </w:p>
    <w:p>
      <w:pPr>
        <w:spacing w:after="80" w:before="0" w:line="254" w:lineRule="auto"/>
        <w:jc w:val="both"/>
      </w:pPr>
      <w:r>
        <w:rPr>
          <w:rFonts w:ascii="Times New Roman" w:hAnsi="Times New Roman"/>
          <w:b/>
          <w:i w:val="0"/>
          <w:color w:val="000000"/>
          <w:sz w:val="20"/>
        </w:rPr>
        <w:t>The second multi-turn cohort was written after seeing the first run's trajectories.</w:t>
      </w:r>
      <w:r>
        <w:rPr>
          <w:rFonts w:ascii="Times New Roman" w:hAnsi="Times New Roman"/>
          <w:b w:val="0"/>
          <w:i w:val="0"/>
          <w:color w:val="000000"/>
          <w:sz w:val="20"/>
        </w:rPr>
        <w:t xml:space="preserve"> No target trajectory changed and the criteria were identical, but a reader cannot verify from outside that the content edits followed the pre-declared targets rather than the direction of the miss. Both runs are reported.</w:t>
      </w:r>
    </w:p>
    <w:p>
      <w:pPr>
        <w:spacing w:after="80" w:before="0" w:line="254" w:lineRule="auto"/>
        <w:jc w:val="both"/>
      </w:pPr>
      <w:r>
        <w:rPr>
          <w:rFonts w:ascii="Times New Roman" w:hAnsi="Times New Roman"/>
          <w:b/>
          <w:i w:val="0"/>
          <w:color w:val="000000"/>
          <w:sz w:val="20"/>
        </w:rPr>
        <w:t>The campaign detection headline is measured on attacks we wrote.</w:t>
      </w:r>
      <w:r>
        <w:rPr>
          <w:rFonts w:ascii="Times New Roman" w:hAnsi="Times New Roman"/>
          <w:b w:val="0"/>
          <w:i w:val="0"/>
          <w:color w:val="000000"/>
          <w:sz w:val="20"/>
        </w:rPr>
        <w:t xml:space="preserve"> It is regenerable — </w:t>
      </w:r>
      <w:r>
        <w:rPr>
          <w:rFonts w:ascii="Consolas" w:hAnsi="Consolas"/>
          <w:b w:val="0"/>
          <w:i w:val="0"/>
          <w:color w:val="000000"/>
          <w:sz w:val="19"/>
        </w:rPr>
        <w:t>results/campaign/</w:t>
      </w:r>
      <w:r>
        <w:rPr>
          <w:rFonts w:ascii="Times New Roman" w:hAnsi="Times New Roman"/>
          <w:b w:val="0"/>
          <w:i w:val="0"/>
          <w:color w:val="000000"/>
          <w:sz w:val="20"/>
        </w:rPr>
        <w:t xml:space="preserve"> carries the per-case outcomes for all 188 episodes and a run manifest — but that manifest records a </w:t>
      </w:r>
      <w:r>
        <w:rPr>
          <w:rFonts w:ascii="Times New Roman" w:hAnsi="Times New Roman"/>
          <w:b w:val="0"/>
          <w:i/>
          <w:color w:val="000000"/>
          <w:sz w:val="20"/>
        </w:rPr>
        <w:t>replay</w:t>
      </w:r>
      <w:r>
        <w:rPr>
          <w:rFonts w:ascii="Times New Roman" w:hAnsi="Times New Roman"/>
          <w:b w:val="0"/>
          <w:i w:val="0"/>
          <w:color w:val="000000"/>
          <w:sz w:val="20"/>
        </w:rPr>
        <w:t xml:space="preserve"> over checkpoint files which are not themselves tracked, and the original run left no manifest of its own. A reader can recompute every rate from the committed artifact; a reader cannot rebuild the artifact's inputs without re-running the campaign.</w:t>
      </w:r>
    </w:p>
    <w:p>
      <w:pPr>
        <w:spacing w:after="80" w:before="0" w:line="254" w:lineRule="auto"/>
        <w:jc w:val="both"/>
      </w:pPr>
      <w:r>
        <w:rPr>
          <w:rFonts w:ascii="Times New Roman" w:hAnsi="Times New Roman"/>
          <w:b/>
          <w:i w:val="0"/>
          <w:color w:val="000000"/>
          <w:sz w:val="20"/>
        </w:rPr>
        <w:t>System limits.</w:t>
      </w:r>
      <w:r>
        <w:rPr>
          <w:rFonts w:ascii="Times New Roman" w:hAnsi="Times New Roman"/>
          <w:b w:val="0"/>
          <w:i w:val="0"/>
          <w:color w:val="000000"/>
          <w:sz w:val="20"/>
        </w:rPr>
        <w:t xml:space="preserve"> The detector cannot separate an authorised recipient from an attacker-controlled one — at the level the causal analyzer observes, a benign document naming a real address and an injection are the same object. The probe fabricates actions on directionless benign content, which is the largest single lever on FPR and remains open. Schemeless hosts are invisible by default (§VIII-C). The drift rule requires a wholly high-impact conversation, since session history accumulates only on boundaries routed to causal evaluation. Two components are evaluated by approximation, because the pipeline consumes tool responses rather than server manifests.</w:t>
      </w:r>
    </w:p>
    <w:p>
      <w:pPr>
        <w:spacing w:after="80" w:before="0" w:line="254" w:lineRule="auto"/>
        <w:jc w:val="both"/>
      </w:pPr>
      <w:r>
        <w:rPr>
          <w:rFonts w:ascii="Times New Roman" w:hAnsi="Times New Roman"/>
          <w:b/>
          <w:i w:val="0"/>
          <w:color w:val="000000"/>
          <w:sz w:val="20"/>
        </w:rPr>
        <w:t>What would change the conclusions.</w:t>
      </w:r>
      <w:r>
        <w:rPr>
          <w:rFonts w:ascii="Times New Roman" w:hAnsi="Times New Roman"/>
          <w:b w:val="0"/>
          <w:i w:val="0"/>
          <w:color w:val="000000"/>
          <w:sz w:val="20"/>
        </w:rPr>
        <w:t xml:space="preserve"> First, a scorer with graded severities on address-free content: the central finding is downstream of a two-valued scorer, and a preliminary forced-choice log-probability probe over the multi-turn cohort found that quantisation does destroy signal — all five integer-flat turns showed a continuous contrast above 0.5 nats — but that the dominant contrast tracks task relevance rather than attack, with the sanitisation contrast the only measure separating the classes and doing so on saturated pedestals. Second, a larger multi-turn corpus with genuinely differential regimes. Third, a model whose masked-regime compliance is high while its unmasked compliance is low, a gap we observed in 2 of 30 turns.</w:t>
      </w:r>
    </w:p>
    <w:p>
      <w:pPr>
        <w:spacing w:after="100" w:before="240" w:line="254" w:lineRule="auto"/>
        <w:jc w:val="left"/>
      </w:pPr>
      <w:r>
        <w:rPr>
          <w:rFonts w:ascii="Times New Roman" w:hAnsi="Times New Roman"/>
          <w:b/>
          <w:i w:val="0"/>
          <w:color w:val="000000"/>
          <w:sz w:val="22"/>
        </w:rPr>
        <w:t>XIII. CONCLUSION</w:t>
      </w:r>
    </w:p>
    <w:p>
      <w:pPr>
        <w:spacing w:after="80" w:before="0" w:line="254" w:lineRule="auto"/>
        <w:jc w:val="both"/>
      </w:pPr>
      <w:r>
        <w:rPr>
          <w:rFonts w:ascii="Times New Roman" w:hAnsi="Times New Roman"/>
          <w:b w:val="0"/>
          <w:i w:val="0"/>
          <w:color w:val="000000"/>
          <w:sz w:val="20"/>
        </w:rPr>
        <w:t>We built a causal defense against indirect prompt injection and measured where it stops working. It detects attacks that a static allowlist and a published prompt-level defense both miss, and four of its six components change no measured outcome. Its detection falls from 96.7% on attacks we wrote to roughly 18% on attacks someone else wrote, and the collapse has a named mechanism rather than a mysterious distribution shift: the causal contrast carries discriminative signal when the injected content contains a target an action can lift, and close to none otherwise. The obvious repair generalizes about half. The adaptive layer proposes nothing, correctly, because the quantity its parameters act on is zero in 80–97% of realistic turns.</w:t>
      </w:r>
    </w:p>
    <w:p>
      <w:pPr>
        <w:spacing w:after="80" w:before="0" w:line="254" w:lineRule="auto"/>
        <w:jc w:val="both"/>
      </w:pPr>
      <w:r>
        <w:rPr>
          <w:rFonts w:ascii="Times New Roman" w:hAnsi="Times New Roman"/>
          <w:b w:val="0"/>
          <w:i w:val="0"/>
          <w:color w:val="000000"/>
          <w:sz w:val="20"/>
        </w:rPr>
        <w:t>The approach is not refuted, but its operating envelope is far narrower than its framing suggests, and the boundary is set by the scorer rather than by the causal idea. For the next system in this family, that is a more useful thing to know than another in-corpus accuracy figure — and it is visible only if detection is reported stratified by the property that governs it, which no evaluation we surveyed currently does.</w:t>
      </w:r>
    </w:p>
    <w:p>
      <w:pPr>
        <w:spacing w:after="100" w:before="240" w:line="254" w:lineRule="auto"/>
        <w:jc w:val="left"/>
      </w:pPr>
      <w:r>
        <w:rPr>
          <w:rFonts w:ascii="Times New Roman" w:hAnsi="Times New Roman"/>
          <w:b/>
          <w:i w:val="0"/>
          <w:color w:val="000000"/>
          <w:sz w:val="22"/>
        </w:rPr>
        <w:t>DATA AND CODE AVAILABILITY</w:t>
      </w:r>
    </w:p>
    <w:p>
      <w:pPr>
        <w:spacing w:after="80" w:before="0" w:line="254" w:lineRule="auto"/>
        <w:jc w:val="both"/>
      </w:pPr>
      <w:r>
        <w:rPr>
          <w:rFonts w:ascii="Times New Roman" w:hAnsi="Times New Roman"/>
          <w:b w:val="0"/>
          <w:i w:val="0"/>
          <w:color w:val="000000"/>
          <w:sz w:val="20"/>
        </w:rPr>
        <w:t xml:space="preserve">All results are regenerable by committed commands over the released artifact. Each phase directory under </w:t>
      </w:r>
      <w:r>
        <w:rPr>
          <w:rFonts w:ascii="Consolas" w:hAnsi="Consolas"/>
          <w:b w:val="0"/>
          <w:i w:val="0"/>
          <w:color w:val="000000"/>
          <w:sz w:val="19"/>
        </w:rPr>
        <w:t>results/</w:t>
      </w:r>
      <w:r>
        <w:rPr>
          <w:rFonts w:ascii="Times New Roman" w:hAnsi="Times New Roman"/>
          <w:b w:val="0"/>
          <w:i w:val="0"/>
          <w:color w:val="000000"/>
          <w:sz w:val="20"/>
        </w:rPr>
        <w:t xml:space="preserve"> contains the benchmark payload and a run manifest recording commit SHA, working-tree cleanliness, model tags, corpus version, inference-server GPU state and a seeding statement. A deterministic test suite of 494 tests runs in approximately 12 seconds with no model, no network and no GPU; it pins the failure modes of each measurement instrument rather than only the behaviour of the system. External corpora are vendored with source, licence and version recorded.</w:t>
      </w:r>
    </w:p>
    <w:p>
      <w:pPr>
        <w:spacing w:after="100" w:before="240" w:line="254" w:lineRule="auto"/>
        <w:jc w:val="left"/>
      </w:pPr>
      <w:r>
        <w:rPr>
          <w:rFonts w:ascii="Times New Roman" w:hAnsi="Times New Roman"/>
          <w:b/>
          <w:i w:val="0"/>
          <w:color w:val="000000"/>
          <w:sz w:val="22"/>
        </w:rPr>
        <w:t>REFERENCES</w:t>
      </w:r>
    </w:p>
    <w:p>
      <w:pPr>
        <w:spacing w:after="80" w:before="0" w:line="254" w:lineRule="auto"/>
        <w:jc w:val="both"/>
      </w:pPr>
      <w:r>
        <w:rPr>
          <w:rFonts w:ascii="Times New Roman" w:hAnsi="Times New Roman"/>
          <w:b w:val="0"/>
          <w:i w:val="0"/>
          <w:color w:val="000000"/>
          <w:sz w:val="20"/>
        </w:rPr>
        <w:t xml:space="preserve">[1] Q. Zhan, Z. Liang, Z. Ying, and D. Kang, "InjecAgent: Benchmarking indirect prompt injections in tool-integrated large language model agents," in </w:t>
      </w:r>
      <w:r>
        <w:rPr>
          <w:rFonts w:ascii="Times New Roman" w:hAnsi="Times New Roman"/>
          <w:b w:val="0"/>
          <w:i/>
          <w:color w:val="000000"/>
          <w:sz w:val="20"/>
        </w:rPr>
        <w:t>Findings of the Association for Computational Linguistics: ACL 2024</w:t>
      </w:r>
      <w:r>
        <w:rPr>
          <w:rFonts w:ascii="Times New Roman" w:hAnsi="Times New Roman"/>
          <w:b w:val="0"/>
          <w:i w:val="0"/>
          <w:color w:val="000000"/>
          <w:sz w:val="20"/>
        </w:rPr>
        <w:t>, 2024.</w:t>
      </w:r>
    </w:p>
    <w:p>
      <w:pPr>
        <w:spacing w:after="80" w:before="0" w:line="254" w:lineRule="auto"/>
        <w:jc w:val="both"/>
      </w:pPr>
      <w:r>
        <w:rPr>
          <w:rFonts w:ascii="Times New Roman" w:hAnsi="Times New Roman"/>
          <w:b w:val="0"/>
          <w:i w:val="0"/>
          <w:color w:val="000000"/>
          <w:sz w:val="20"/>
        </w:rPr>
        <w:t xml:space="preserve">[2] E. Debenedetti, J. Zhang, M. Balunović, L. Beurer-Kellner, M. Fischer, and F. Tramèr, "AgentDojo: A dynamic environment to evaluate prompt injection attacks and defenses for LLM agents," in </w:t>
      </w:r>
      <w:r>
        <w:rPr>
          <w:rFonts w:ascii="Times New Roman" w:hAnsi="Times New Roman"/>
          <w:b w:val="0"/>
          <w:i/>
          <w:color w:val="000000"/>
          <w:sz w:val="20"/>
        </w:rPr>
        <w:t>Advances in Neural Information Processing Systems, Datasets and Benchmarks Track</w:t>
      </w:r>
      <w:r>
        <w:rPr>
          <w:rFonts w:ascii="Times New Roman" w:hAnsi="Times New Roman"/>
          <w:b w:val="0"/>
          <w:i w:val="0"/>
          <w:color w:val="000000"/>
          <w:sz w:val="20"/>
        </w:rPr>
        <w:t>, 2024. arXiv:2406.13352.</w:t>
      </w:r>
    </w:p>
    <w:p>
      <w:pPr>
        <w:spacing w:after="80" w:before="0" w:line="254" w:lineRule="auto"/>
        <w:jc w:val="both"/>
      </w:pPr>
      <w:r>
        <w:rPr>
          <w:rFonts w:ascii="Times New Roman" w:hAnsi="Times New Roman"/>
          <w:b w:val="0"/>
          <w:i w:val="0"/>
          <w:color w:val="000000"/>
          <w:sz w:val="20"/>
        </w:rPr>
        <w:t>[3] K. Hines, G. Lopez, M. Hall, F. Zarfati, Y. Zunger, and E. Kiciman, "Defending against indirect prompt injection attacks with spotlighting," arXiv:2403.14720, 2024.</w:t>
      </w:r>
    </w:p>
    <w:p>
      <w:pPr>
        <w:spacing w:after="80" w:before="0" w:line="254" w:lineRule="auto"/>
        <w:jc w:val="both"/>
      </w:pPr>
      <w:r>
        <w:rPr>
          <w:rFonts w:ascii="Times New Roman" w:hAnsi="Times New Roman"/>
          <w:b w:val="0"/>
          <w:i w:val="0"/>
          <w:color w:val="000000"/>
          <w:sz w:val="20"/>
        </w:rPr>
        <w:t>[4] W. Zou, Y. Liu, Y. Wang, Y. Chen, N. Gong, and J. Jia, "PIShield: Detecting prompt injection attacks via intrinsic LLM features," arXiv:2510.14005.</w:t>
      </w:r>
    </w:p>
    <w:p>
      <w:pPr>
        <w:spacing w:after="80" w:before="0" w:line="254" w:lineRule="auto"/>
        <w:jc w:val="both"/>
      </w:pPr>
      <w:r>
        <w:rPr>
          <w:rFonts w:ascii="Times New Roman" w:hAnsi="Times New Roman"/>
          <w:b w:val="0"/>
          <w:i w:val="0"/>
          <w:color w:val="000000"/>
          <w:sz w:val="20"/>
        </w:rPr>
        <w:t xml:space="preserve">[5] K. Greshake, S. Abdelnabi, S. Mishra, C. Endres, T. Holz, and M. Fritz, "Not what you've signed up for: Compromising real-world LLM-integrated applications with indirect prompt injection," in </w:t>
      </w:r>
      <w:r>
        <w:rPr>
          <w:rFonts w:ascii="Times New Roman" w:hAnsi="Times New Roman"/>
          <w:b w:val="0"/>
          <w:i/>
          <w:color w:val="000000"/>
          <w:sz w:val="20"/>
        </w:rPr>
        <w:t>Proc. 16th ACM Workshop on Artificial Intelligence and Security (AISec)</w:t>
      </w:r>
      <w:r>
        <w:rPr>
          <w:rFonts w:ascii="Times New Roman" w:hAnsi="Times New Roman"/>
          <w:b w:val="0"/>
          <w:i w:val="0"/>
          <w:color w:val="000000"/>
          <w:sz w:val="20"/>
        </w:rPr>
        <w:t>, 2023.</w:t>
      </w:r>
    </w:p>
    <w:p>
      <w:pPr>
        <w:spacing w:after="80" w:before="0" w:line="254" w:lineRule="auto"/>
        <w:jc w:val="both"/>
      </w:pPr>
      <w:r>
        <w:rPr>
          <w:rFonts w:ascii="Times New Roman" w:hAnsi="Times New Roman"/>
          <w:b w:val="0"/>
          <w:i w:val="0"/>
          <w:color w:val="000000"/>
          <w:sz w:val="20"/>
        </w:rPr>
        <w:t xml:space="preserve">[6] S. Yao, J. Zhao, D. Yu, N. Du, I. Shafran, K. Narasimhan, and Y. Cao, "ReAct: Synergizing reasoning and acting in language models," in </w:t>
      </w:r>
      <w:r>
        <w:rPr>
          <w:rFonts w:ascii="Times New Roman" w:hAnsi="Times New Roman"/>
          <w:b w:val="0"/>
          <w:i/>
          <w:color w:val="000000"/>
          <w:sz w:val="20"/>
        </w:rPr>
        <w:t>Proc. International Conference on Learning Representations (ICLR)</w:t>
      </w:r>
      <w:r>
        <w:rPr>
          <w:rFonts w:ascii="Times New Roman" w:hAnsi="Times New Roman"/>
          <w:b w:val="0"/>
          <w:i w:val="0"/>
          <w:color w:val="000000"/>
          <w:sz w:val="20"/>
        </w:rPr>
        <w:t>, 2023.</w:t>
      </w:r>
    </w:p>
    <w:p>
      <w:pPr>
        <w:spacing w:after="80" w:before="0" w:line="254" w:lineRule="auto"/>
        <w:jc w:val="both"/>
      </w:pPr>
      <w:r>
        <w:rPr>
          <w:rFonts w:ascii="Times New Roman" w:hAnsi="Times New Roman"/>
          <w:b w:val="0"/>
          <w:i w:val="0"/>
          <w:color w:val="000000"/>
          <w:sz w:val="20"/>
        </w:rPr>
        <w:t xml:space="preserve">[7] E. B. Wilson, "Probable inference, the law of succession, and statistical inference," </w:t>
      </w:r>
      <w:r>
        <w:rPr>
          <w:rFonts w:ascii="Times New Roman" w:hAnsi="Times New Roman"/>
          <w:b w:val="0"/>
          <w:i/>
          <w:color w:val="000000"/>
          <w:sz w:val="20"/>
        </w:rPr>
        <w:t>Journal of the American Statistical Association</w:t>
      </w:r>
      <w:r>
        <w:rPr>
          <w:rFonts w:ascii="Times New Roman" w:hAnsi="Times New Roman"/>
          <w:b w:val="0"/>
          <w:i w:val="0"/>
          <w:color w:val="000000"/>
          <w:sz w:val="20"/>
        </w:rPr>
        <w:t>, vol. 22, no. 158, pp. 209–212, 1927.</w:t>
      </w:r>
    </w:p>
    <w:p>
      <w:pPr>
        <w:spacing w:after="80" w:before="0" w:line="254" w:lineRule="auto"/>
        <w:jc w:val="both"/>
      </w:pPr>
      <w:r>
        <w:rPr>
          <w:rFonts w:ascii="Times New Roman" w:hAnsi="Times New Roman"/>
          <w:b w:val="0"/>
          <w:i w:val="0"/>
          <w:color w:val="000000"/>
          <w:sz w:val="20"/>
        </w:rPr>
        <w:t xml:space="preserve">[8] Q. McNemar, "Note on the sampling error of the difference between correlated proportions or percentages," </w:t>
      </w:r>
      <w:r>
        <w:rPr>
          <w:rFonts w:ascii="Times New Roman" w:hAnsi="Times New Roman"/>
          <w:b w:val="0"/>
          <w:i/>
          <w:color w:val="000000"/>
          <w:sz w:val="20"/>
        </w:rPr>
        <w:t>Psychometrika</w:t>
      </w:r>
      <w:r>
        <w:rPr>
          <w:rFonts w:ascii="Times New Roman" w:hAnsi="Times New Roman"/>
          <w:b w:val="0"/>
          <w:i w:val="0"/>
          <w:color w:val="000000"/>
          <w:sz w:val="20"/>
        </w:rPr>
        <w:t>, vol. 12, no. 2, pp. 153–157, 1947.</w:t>
      </w:r>
    </w:p>
    <w:p>
      <w:pPr>
        <w:spacing w:after="80" w:before="0" w:line="254" w:lineRule="auto"/>
        <w:jc w:val="both"/>
      </w:pPr>
      <w:r>
        <w:rPr>
          <w:rFonts w:ascii="Times New Roman" w:hAnsi="Times New Roman"/>
          <w:b w:val="0"/>
          <w:i w:val="0"/>
          <w:color w:val="000000"/>
          <w:sz w:val="20"/>
        </w:rPr>
        <w:t xml:space="preserve">[9] </w:t>
      </w:r>
      <w:r>
        <w:rPr>
          <w:rFonts w:ascii="Times New Roman" w:hAnsi="Times New Roman"/>
          <w:b/>
          <w:i w:val="0"/>
          <w:color w:val="000000"/>
          <w:sz w:val="20"/>
        </w:rPr>
        <w:t>[TO COMPLETE]</w:t>
      </w:r>
      <w:r>
        <w:rPr>
          <w:rFonts w:ascii="Times New Roman" w:hAnsi="Times New Roman"/>
          <w:b w:val="0"/>
          <w:i w:val="0"/>
          <w:color w:val="000000"/>
          <w:sz w:val="20"/>
        </w:rPr>
        <w:t xml:space="preserve"> AgentSentry — methodological ancestor of the causal analyzer and context sanitizer. Full citation to be transcribed from the project literature notes.</w:t>
      </w:r>
    </w:p>
    <w:p>
      <w:pPr>
        <w:spacing w:after="80" w:before="0" w:line="254" w:lineRule="auto"/>
        <w:jc w:val="both"/>
      </w:pPr>
      <w:r>
        <w:rPr>
          <w:rFonts w:ascii="Times New Roman" w:hAnsi="Times New Roman"/>
          <w:b w:val="0"/>
          <w:i w:val="0"/>
          <w:color w:val="000000"/>
          <w:sz w:val="20"/>
        </w:rPr>
        <w:t xml:space="preserve">[10] </w:t>
      </w:r>
      <w:r>
        <w:rPr>
          <w:rFonts w:ascii="Times New Roman" w:hAnsi="Times New Roman"/>
          <w:b/>
          <w:i w:val="0"/>
          <w:color w:val="000000"/>
          <w:sz w:val="20"/>
        </w:rPr>
        <w:t>[TO COMPLETE]</w:t>
      </w:r>
      <w:r>
        <w:rPr>
          <w:rFonts w:ascii="Times New Roman" w:hAnsi="Times New Roman"/>
          <w:b w:val="0"/>
          <w:i w:val="0"/>
          <w:color w:val="000000"/>
          <w:sz w:val="20"/>
        </w:rPr>
        <w:t xml:space="preserve"> AutoMalTool — source of the detection oracle. Full citation to be transcribed.</w:t>
      </w:r>
    </w:p>
    <w:p>
      <w:pPr>
        <w:spacing w:after="80" w:before="0" w:line="254" w:lineRule="auto"/>
        <w:jc w:val="both"/>
      </w:pPr>
      <w:r>
        <w:rPr>
          <w:rFonts w:ascii="Times New Roman" w:hAnsi="Times New Roman"/>
          <w:b w:val="0"/>
          <w:i w:val="0"/>
          <w:color w:val="000000"/>
          <w:sz w:val="20"/>
        </w:rPr>
        <w:t xml:space="preserve">[11] </w:t>
      </w:r>
      <w:r>
        <w:rPr>
          <w:rFonts w:ascii="Times New Roman" w:hAnsi="Times New Roman"/>
          <w:b/>
          <w:i w:val="0"/>
          <w:color w:val="000000"/>
          <w:sz w:val="20"/>
        </w:rPr>
        <w:t>[TO COMPLETE]</w:t>
      </w:r>
      <w:r>
        <w:rPr>
          <w:rFonts w:ascii="Times New Roman" w:hAnsi="Times New Roman"/>
          <w:b w:val="0"/>
          <w:i w:val="0"/>
          <w:color w:val="000000"/>
          <w:sz w:val="20"/>
        </w:rPr>
        <w:t xml:space="preserve"> MCPSecBench — protocol-level attack success against evaluated platforms; motivates Layer 0. Full citation to be transcribed.</w:t>
      </w:r>
    </w:p>
    <w:p>
      <w:pPr>
        <w:spacing w:after="80" w:before="0" w:line="254" w:lineRule="auto"/>
        <w:jc w:val="both"/>
      </w:pPr>
      <w:r>
        <w:rPr>
          <w:rFonts w:ascii="Times New Roman" w:hAnsi="Times New Roman"/>
          <w:b w:val="0"/>
          <w:i w:val="0"/>
          <w:color w:val="000000"/>
          <w:sz w:val="20"/>
        </w:rPr>
        <w:t xml:space="preserve">[12] </w:t>
      </w:r>
      <w:r>
        <w:rPr>
          <w:rFonts w:ascii="Times New Roman" w:hAnsi="Times New Roman"/>
          <w:b/>
          <w:i w:val="0"/>
          <w:color w:val="000000"/>
          <w:sz w:val="20"/>
        </w:rPr>
        <w:t>[TO COMPLETE]</w:t>
      </w:r>
      <w:r>
        <w:rPr>
          <w:rFonts w:ascii="Times New Roman" w:hAnsi="Times New Roman"/>
          <w:b w:val="0"/>
          <w:i w:val="0"/>
          <w:color w:val="000000"/>
          <w:sz w:val="20"/>
        </w:rPr>
        <w:t xml:space="preserve"> ETDI — the trust framework Layer 0's server registry follows. Full citation to be transcribed.</w:t>
      </w:r>
    </w:p>
    <w:p>
      <w:pPr>
        <w:spacing w:after="80" w:before="0" w:line="254" w:lineRule="auto"/>
        <w:jc w:val="both"/>
      </w:pPr>
      <w:r>
        <w:rPr>
          <w:rFonts w:ascii="Times New Roman" w:hAnsi="Times New Roman"/>
          <w:b w:val="0"/>
          <w:i w:val="0"/>
          <w:color w:val="000000"/>
          <w:sz w:val="20"/>
        </w:rPr>
        <w:t xml:space="preserve">[13] </w:t>
      </w:r>
      <w:r>
        <w:rPr>
          <w:rFonts w:ascii="Times New Roman" w:hAnsi="Times New Roman"/>
          <w:b/>
          <w:i w:val="0"/>
          <w:color w:val="000000"/>
          <w:sz w:val="20"/>
        </w:rPr>
        <w:t>[TO COMPLETE]</w:t>
      </w:r>
      <w:r>
        <w:rPr>
          <w:rFonts w:ascii="Times New Roman" w:hAnsi="Times New Roman"/>
          <w:b w:val="0"/>
          <w:i w:val="0"/>
          <w:color w:val="000000"/>
          <w:sz w:val="20"/>
        </w:rPr>
        <w:t xml:space="preserve"> MCP-RiskCue and the Model Context Protocol security survey — threat landscape for Layers 0 and 1. Full citations to be transcribed.</w:t>
      </w:r>
    </w:p>
    <w:p>
      <w:pPr>
        <w:sectPr>
          <w:footerReference w:type="default" r:id="rId9"/>
          <w:pgSz w:w="12240" w:h="15840"/>
          <w:pgMar w:top="1440" w:right="1440" w:bottom="1440" w:left="1440" w:header="720" w:footer="720" w:gutter="0"/>
          <w:cols w:space="720"/>
          <w:docGrid w:linePitch="360"/>
        </w:sectPr>
      </w:pPr>
    </w:p>
    <w:p>
      <w:pPr>
        <w:spacing w:after="100" w:before="240" w:line="254" w:lineRule="auto"/>
        <w:jc w:val="left"/>
      </w:pPr>
      <w:r>
        <w:rPr>
          <w:rFonts w:ascii="Times New Roman" w:hAnsi="Times New Roman"/>
          <w:b/>
          <w:i w:val="0"/>
          <w:color w:val="000000"/>
          <w:sz w:val="22"/>
        </w:rPr>
        <w:t>APPENDIX A: IMPLEMENTATION DIAGRAM</w:t>
      </w:r>
    </w:p>
    <w:p>
      <w:pPr>
        <w:spacing w:after="80" w:before="0" w:line="254" w:lineRule="auto"/>
        <w:jc w:val="both"/>
      </w:pPr>
      <w:r>
        <w:rPr>
          <w:rFonts w:ascii="Times New Roman" w:hAnsi="Times New Roman"/>
          <w:b w:val="0"/>
          <w:i w:val="0"/>
          <w:color w:val="000000"/>
          <w:sz w:val="20"/>
        </w:rPr>
        <w:t>The figure below is the implementation-level architecture, reproduced for completeness. Unlike Fig. 1 it shows every module and every feedback path, including the red-team loop, the evaluation module and the off-machine training environment. Solid borders mark components built and validated; dashed borders mark specified but unimplemented components; dashed arrows mark the adaptive feedback path.</w:t>
      </w:r>
    </w:p>
    <w:p>
      <w:pPr>
        <w:spacing w:before="160" w:after="60"/>
        <w:jc w:val="center"/>
      </w:pPr>
      <w:r>
        <w:drawing>
          <wp:inline xmlns:a="http://schemas.openxmlformats.org/drawingml/2006/main" xmlns:pic="http://schemas.openxmlformats.org/drawingml/2006/picture">
            <wp:extent cx="8229600" cy="3797092"/>
            <wp:docPr id="6" name="Picture 6"/>
            <wp:cNvGraphicFramePr>
              <a:graphicFrameLocks noChangeAspect="1"/>
            </wp:cNvGraphicFramePr>
            <a:graphic>
              <a:graphicData uri="http://schemas.openxmlformats.org/drawingml/2006/picture">
                <pic:pic>
                  <pic:nvPicPr>
                    <pic:cNvPr id="0" name="AdaptiShield_Architecture_v3.drawio.png"/>
                    <pic:cNvPicPr/>
                  </pic:nvPicPr>
                  <pic:blipFill>
                    <a:blip r:embed="rId15"/>
                    <a:stretch>
                      <a:fillRect/>
                    </a:stretch>
                  </pic:blipFill>
                  <pic:spPr>
                    <a:xfrm>
                      <a:off x="0" y="0"/>
                      <a:ext cx="8229600" cy="3797092"/>
                    </a:xfrm>
                    <a:prstGeom prst="rect"/>
                  </pic:spPr>
                </pic:pic>
              </a:graphicData>
            </a:graphic>
          </wp:inline>
        </w:drawing>
      </w:r>
    </w:p>
    <w:p>
      <w:pPr>
        <w:spacing w:after="180" w:before="0" w:line="254" w:lineRule="auto"/>
        <w:ind w:left="0"/>
        <w:jc w:val="left"/>
      </w:pPr>
      <w:r>
        <w:rPr>
          <w:rFonts w:ascii="Times New Roman" w:hAnsi="Times New Roman"/>
          <w:b/>
          <w:i w:val="0"/>
          <w:color w:val="444A53"/>
          <w:sz w:val="17"/>
        </w:rPr>
        <w:t>Fig. 6.</w:t>
      </w:r>
      <w:r>
        <w:rPr>
          <w:rFonts w:ascii="Times New Roman" w:hAnsi="Times New Roman"/>
          <w:b w:val="0"/>
          <w:i w:val="0"/>
          <w:color w:val="444A53"/>
          <w:sz w:val="17"/>
        </w:rPr>
        <w:t xml:space="preserve"> The complete AdaptiShield implementation architecture, including the red-team loop, evaluation module and off-machine training environment.</w:t>
      </w:r>
    </w:p>
    <w:sectPr w:rsidR="00FC693F" w:rsidRPr="0006063C" w:rsidSect="00034616">
      <w:pgSz w:w="15840" w:h="12240" w:orient="landscape"/>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