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left"/>
      </w:pPr>
      <w:r>
        <w:rPr>
          <w:rFonts w:ascii="Noto Sans" w:hAnsi="Noto Sans"/>
          <w:b/>
          <w:color w:val="2E6F73"/>
          <w:sz w:val="36"/>
        </w:rPr>
        <w:t>VEYRO</w:t>
      </w:r>
    </w:p>
    <w:p>
      <w:pPr>
        <w:spacing w:after="160"/>
      </w:pPr>
      <w:r>
        <w:rPr>
          <w:rFonts w:ascii="Noto Sans" w:hAnsi="Noto Sans"/>
          <w:b/>
          <w:color w:val="17324D"/>
          <w:sz w:val="62"/>
        </w:rPr>
        <w:t>Technical System Design</w:t>
      </w:r>
    </w:p>
    <w:p>
      <w:r>
        <w:t>Version 1.4.1</w:t>
      </w:r>
    </w:p>
    <w:p>
      <w:pPr>
        <w:spacing w:after="560"/>
      </w:pPr>
      <w:r>
        <w:t>Architecture Specification &amp; Approved Implementation Baseline</w:t>
      </w:r>
    </w:p>
    <w:tbl>
      <w:tblPr>
        <w:tblW w:type="dxa" w:w="9684"/>
        <w:jc w:val="center"/>
        <w:tblLayout w:type="autofit"/>
        <w:tblLook w:firstColumn="1" w:firstRow="1" w:lastColumn="0" w:lastRow="0" w:noHBand="0" w:noVBand="1" w:val="04A0"/>
      </w:tblPr>
      <w:tblGrid>
        <w:gridCol w:w="9684"/>
      </w:tblGrid>
      <w:tr>
        <w:trPr>
          <w:tblHeader w:val="true"/>
        </w:trPr>
        <w:tc>
          <w:tcPr>
            <w:tcW w:type="dxa" w:w="9684"/>
            <w:shd w:fill="EEF4F8"/>
            <w:tcMar>
              <w:top w:w="70" w:type="dxa"/>
              <w:start w:w="160" w:type="dxa"/>
              <w:bottom w:w="70" w:type="dxa"/>
              <w:end w:w="160" w:type="dxa"/>
              <w:left w:w="80" w:type="dxa"/>
              <w:right w:w="80" w:type="dxa"/>
            </w:tcMar>
            <w:vAlign w:val="center"/>
          </w:tcPr>
          <w:p>
            <w:pPr>
              <w:spacing w:after="0" w:line="259" w:lineRule="auto"/>
            </w:pPr>
            <w:r>
              <w:rPr>
                <w:rFonts w:ascii="Noto Sans" w:hAnsi="Noto Sans"/>
                <w:b/>
                <w:color w:val="17324D"/>
                <w:sz w:val="21"/>
              </w:rPr>
              <w:t>Purpose</w:t>
              <w:br/>
            </w:r>
            <w:r>
              <w:rPr>
                <w:rFonts w:ascii="Noto Sans" w:hAnsi="Noto Sans"/>
                <w:b/>
                <w:color w:val="1F2933"/>
                <w:sz w:val="19"/>
              </w:rPr>
              <w:t>A complete technical architecture baseline for Veyro, derived from the approved Veyro Master Product Blueprint v1.0 and the approved Veyro V1 product/UX contract. This document is intended to be audited independently for correctness, security, scalability, operability, data integrity and requirement coverage.</w:t>
            </w:r>
          </w:p>
        </w:tc>
      </w:tr>
    </w:tbl>
    <w:p>
      <w:pPr>
        <w:spacing w:after="40"/>
      </w:pPr>
    </w:p>
    <w:p>
      <w:pPr>
        <w:spacing w:before="400"/>
      </w:pPr>
      <w:r>
        <w:rPr>
          <w:rFonts w:ascii="Noto Sans" w:hAnsi="Noto Sans"/>
          <w:b/>
          <w:color w:val="1F2933"/>
          <w:sz w:val="21"/>
        </w:rPr>
        <w:t>English Edition</w:t>
      </w:r>
    </w:p>
    <w:p>
      <w:r>
        <w:t>Approved implementation architecture baseline - KMP/Compose mobile baseline</w:t>
      </w:r>
    </w:p>
    <w:p>
      <w:r>
        <w:t>25 August 2026</w:t>
      </w:r>
    </w:p>
    <w:p>
      <w:r>
        <w:br w:type="page"/>
      </w:r>
    </w:p>
    <w:p>
      <w:pPr>
        <w:pStyle w:val="Heading1"/>
        <w:keepNext/>
      </w:pPr>
      <w:r>
        <w:t>Document Control</w:t>
      </w:r>
    </w:p>
    <w:tbl>
      <w:tblPr>
        <w:tblStyle w:val="TableGrid"/>
        <w:tblW w:type="dxa" w:w="9684"/>
        <w:jc w:val="center"/>
        <w:tblLayout w:type="autofit"/>
        <w:tblLook w:firstColumn="1" w:firstRow="1" w:lastColumn="0" w:lastRow="0" w:noHBand="0" w:noVBand="1" w:val="04A0"/>
      </w:tblPr>
      <w:tblGrid>
        <w:gridCol w:w="4842"/>
        <w:gridCol w:w="4842"/>
      </w:tblGrid>
      <w:tr>
        <w:trPr>
          <w:tblHeader w:val="true"/>
          <w:tblHeader w:val="true"/>
        </w:trPr>
        <w:tc>
          <w:tcPr>
            <w:tcW w:type="dxa" w:w="2340"/>
            <w:shd w:fill="2F5B86"/>
            <w:tcMar>
              <w:top w:w="70" w:type="dxa"/>
              <w:start w:w="90" w:type="dxa"/>
              <w:bottom w:w="70" w:type="dxa"/>
              <w:end w:w="90" w:type="dxa"/>
              <w:left w:w="80" w:type="dxa"/>
              <w:right w:w="80" w:type="dxa"/>
            </w:tcMar>
            <w:vAlign w:val="center"/>
          </w:tcPr>
          <w:p>
            <w:pPr>
              <w:jc w:val="center"/>
            </w:pPr>
            <w:r>
              <w:rPr>
                <w:rFonts w:ascii="Noto Sans" w:hAnsi="Noto Sans"/>
                <w:b/>
                <w:color w:val="FFFFFF"/>
                <w:sz w:val="18"/>
              </w:rPr>
              <w:t>Field</w:t>
            </w:r>
          </w:p>
        </w:tc>
        <w:tc>
          <w:tcPr>
            <w:tcW w:type="dxa" w:w="7517"/>
            <w:shd w:fill="2F5B86"/>
            <w:tcMar>
              <w:top w:w="70" w:type="dxa"/>
              <w:start w:w="90" w:type="dxa"/>
              <w:bottom w:w="70" w:type="dxa"/>
              <w:end w:w="90" w:type="dxa"/>
              <w:left w:w="80" w:type="dxa"/>
              <w:right w:w="80" w:type="dxa"/>
            </w:tcMar>
            <w:vAlign w:val="center"/>
          </w:tcPr>
          <w:p>
            <w:pPr>
              <w:jc w:val="center"/>
            </w:pPr>
            <w:r>
              <w:rPr>
                <w:rFonts w:ascii="Noto Sans" w:hAnsi="Noto Sans"/>
                <w:b/>
                <w:color w:val="FFFFFF"/>
                <w:sz w:val="18"/>
              </w:rPr>
              <w:t>Value</w:t>
            </w:r>
          </w:p>
        </w:tc>
      </w:tr>
      <w:tr>
        <w:tc>
          <w:tcPr>
            <w:tcW w:type="dxa" w:w="234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8"/>
              </w:rPr>
              <w:t>Document</w:t>
            </w:r>
          </w:p>
        </w:tc>
        <w:tc>
          <w:tcPr>
            <w:tcW w:type="dxa" w:w="751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8"/>
              </w:rPr>
              <w:t>Veyro Technical System Design</w:t>
            </w:r>
          </w:p>
        </w:tc>
      </w:tr>
      <w:tr>
        <w:tc>
          <w:tcPr>
            <w:tcW w:type="dxa" w:w="234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8"/>
              </w:rPr>
              <w:t>Version</w:t>
            </w:r>
          </w:p>
        </w:tc>
        <w:tc>
          <w:tcPr>
            <w:tcW w:type="dxa" w:w="7517"/>
            <w:tcMar>
              <w:top w:w="70" w:type="dxa"/>
              <w:start w:w="85" w:type="dxa"/>
              <w:bottom w:w="70" w:type="dxa"/>
              <w:end w:w="85" w:type="dxa"/>
              <w:left w:w="80" w:type="dxa"/>
              <w:right w:w="80" w:type="dxa"/>
            </w:tcMar>
            <w:vAlign w:val="center"/>
          </w:tcPr>
          <w:p>
            <w:pPr>
              <w:keepLines/>
            </w:pPr>
            <w:r>
              <w:t>1.4.1</w:t>
            </w:r>
          </w:p>
        </w:tc>
      </w:tr>
      <w:tr>
        <w:tc>
          <w:tcPr>
            <w:tcW w:type="dxa" w:w="234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8"/>
              </w:rPr>
              <w:t>Status</w:t>
            </w:r>
          </w:p>
        </w:tc>
        <w:tc>
          <w:tcPr>
            <w:tcW w:type="dxa" w:w="7517"/>
            <w:tcMar>
              <w:top w:w="70" w:type="dxa"/>
              <w:start w:w="85" w:type="dxa"/>
              <w:bottom w:w="70" w:type="dxa"/>
              <w:end w:w="85" w:type="dxa"/>
              <w:left w:w="80" w:type="dxa"/>
              <w:right w:w="80" w:type="dxa"/>
            </w:tcMar>
            <w:vAlign w:val="center"/>
          </w:tcPr>
          <w:p>
            <w:pPr>
              <w:keepLines/>
            </w:pPr>
            <w:r>
              <w:t>Final implementation architecture baseline - v1.4 targeted verification conditions closed: P0=0, P1=0; the single material P2 SLI/SLO mis-assignment is corrected in v1.4.1 and the domain-contract lint is hardened accordingly.</w:t>
            </w:r>
          </w:p>
        </w:tc>
      </w:tr>
      <w:tr>
        <w:tc>
          <w:tcPr>
            <w:tcW w:type="dxa" w:w="234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8"/>
              </w:rPr>
              <w:t>Language</w:t>
            </w:r>
          </w:p>
        </w:tc>
        <w:tc>
          <w:tcPr>
            <w:tcW w:type="dxa" w:w="751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8"/>
              </w:rPr>
              <w:t>English only</w:t>
            </w:r>
          </w:p>
        </w:tc>
      </w:tr>
      <w:tr>
        <w:tc>
          <w:tcPr>
            <w:tcW w:type="dxa" w:w="234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8"/>
              </w:rPr>
              <w:t>Source product baseline</w:t>
            </w:r>
          </w:p>
        </w:tc>
        <w:tc>
          <w:tcPr>
            <w:tcW w:type="dxa" w:w="7517"/>
            <w:tcMar>
              <w:top w:w="70" w:type="dxa"/>
              <w:start w:w="85" w:type="dxa"/>
              <w:bottom w:w="70" w:type="dxa"/>
              <w:end w:w="85" w:type="dxa"/>
              <w:left w:w="80" w:type="dxa"/>
              <w:right w:w="80" w:type="dxa"/>
            </w:tcMar>
            <w:vAlign w:val="center"/>
          </w:tcPr>
          <w:p>
            <w:r>
              <w:rPr>
                <w:sz w:val="18"/>
              </w:rPr>
              <w:t>Veyro Master Product Blueprint v1.0 (source artifact originally titled Gym OS Master Product Blueprint v1.0)</w:t>
            </w:r>
          </w:p>
        </w:tc>
      </w:tr>
      <w:tr>
        <w:tc>
          <w:tcPr>
            <w:tcW w:type="dxa" w:w="234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8"/>
              </w:rPr>
              <w:t>UX baseline</w:t>
            </w:r>
          </w:p>
        </w:tc>
        <w:tc>
          <w:tcPr>
            <w:tcW w:type="dxa" w:w="751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8"/>
              </w:rPr>
              <w:t>Approved Veyro V1 high-fidelity screen inventory and interactive prototype</w:t>
            </w:r>
          </w:p>
        </w:tc>
      </w:tr>
      <w:tr>
        <w:tc>
          <w:tcPr>
            <w:tcW w:type="dxa" w:w="234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8"/>
              </w:rPr>
              <w:t>Architecture scope</w:t>
            </w:r>
          </w:p>
        </w:tc>
        <w:tc>
          <w:tcPr>
            <w:tcW w:type="dxa" w:w="7517"/>
            <w:tcMar>
              <w:top w:w="70" w:type="dxa"/>
              <w:start w:w="85" w:type="dxa"/>
              <w:bottom w:w="70" w:type="dxa"/>
              <w:end w:w="85" w:type="dxa"/>
              <w:left w:w="80" w:type="dxa"/>
              <w:right w:w="80" w:type="dxa"/>
            </w:tcMar>
            <w:vAlign w:val="center"/>
          </w:tcPr>
          <w:p>
            <w:r>
              <w:rPr>
                <w:sz w:val="18"/>
              </w:rPr>
              <w:t>Implementable Foundation/Pilot/V1 architecture baseline with explicit enforcement, data contracts, failure/recovery semantics, and forward-compatible V1.5/V2/Enterprise boundaries</w:t>
            </w:r>
          </w:p>
        </w:tc>
      </w:tr>
      <w:tr>
        <w:tc>
          <w:tcPr>
            <w:tcW w:type="dxa" w:w="234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8"/>
              </w:rPr>
              <w:t>Primary reviewers</w:t>
            </w:r>
          </w:p>
        </w:tc>
        <w:tc>
          <w:tcPr>
            <w:tcW w:type="dxa" w:w="7517"/>
            <w:tcMar>
              <w:top w:w="70" w:type="dxa"/>
              <w:start w:w="85" w:type="dxa"/>
              <w:bottom w:w="70" w:type="dxa"/>
              <w:end w:w="85" w:type="dxa"/>
              <w:left w:w="80" w:type="dxa"/>
              <w:right w:w="80" w:type="dxa"/>
            </w:tcMar>
            <w:vAlign w:val="center"/>
          </w:tcPr>
          <w:p>
            <w:r>
              <w:rPr>
                <w:sz w:val="18"/>
              </w:rPr>
            </w:r>
            <w:r>
              <w:rPr>
                <w:b w:val="0"/>
                <w:sz w:val="17"/>
              </w:rPr>
              <w:t>Architecture, backend, Kotlin Multiplatform/mobile, web, security, data, AI, SRE/DevOps, finance/payments, access/hardware, QA</w:t>
            </w:r>
          </w:p>
        </w:tc>
      </w:tr>
      <w:tr>
        <w:tc>
          <w:tcPr>
            <w:tcW w:type="dxa" w:w="234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8"/>
              </w:rPr>
              <w:t>Change rule</w:t>
            </w:r>
          </w:p>
        </w:tc>
        <w:tc>
          <w:tcPr>
            <w:tcW w:type="dxa" w:w="751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8"/>
              </w:rPr>
              <w:t>Architecture changes require an ADR, impact analysis, migration plan and requirement-trace update.</w:t>
            </w:r>
          </w:p>
        </w:tc>
      </w:tr>
      <w:tr>
        <w:tc>
          <w:tcPr>
            <w:tcW w:type="dxa" w:w="4842"/>
            <w:vAlign w:val="center"/>
            <w:tcMar>
              <w:top w:w="70" w:type="dxa"/>
              <w:left w:w="80" w:type="dxa"/>
              <w:bottom w:w="70" w:type="dxa"/>
              <w:right w:w="80" w:type="dxa"/>
            </w:tcMar>
          </w:tcPr>
          <w:p>
            <w:r>
              <w:rPr>
                <w:sz w:val="18"/>
              </w:rPr>
            </w:r>
            <w:r>
              <w:rPr>
                <w:b/>
                <w:sz w:val="17"/>
              </w:rPr>
              <w:t>Mobile architecture revision</w:t>
            </w:r>
          </w:p>
        </w:tc>
        <w:tc>
          <w:tcPr>
            <w:tcW w:type="dxa" w:w="4842"/>
            <w:vAlign w:val="center"/>
            <w:tcMar>
              <w:top w:w="70" w:type="dxa"/>
              <w:left w:w="80" w:type="dxa"/>
              <w:bottom w:w="70" w:type="dxa"/>
              <w:right w:w="80" w:type="dxa"/>
            </w:tcMar>
          </w:tcPr>
          <w:p>
            <w:r>
              <w:rPr>
                <w:sz w:val="18"/>
              </w:rPr>
            </w:r>
            <w:r>
              <w:rPr>
                <w:b w:val="0"/>
                <w:sz w:val="17"/>
              </w:rPr>
              <w:t>Coach and Member apps standardized on Kotlin Multiplatform with Compose Multiplatform shared UI for Android and iOS; platform-specific capabilities remain behind native adapter boundaries.</w:t>
            </w:r>
          </w:p>
        </w:tc>
      </w:tr>
    </w:tbl>
    <w:p>
      <w:pPr>
        <w:spacing w:after="40"/>
      </w:pPr>
    </w:p>
    <w:tbl>
      <w:tblPr>
        <w:tblW w:type="dxa" w:w="9684"/>
        <w:jc w:val="center"/>
        <w:tblLayout w:type="autofit"/>
        <w:tblLook w:firstColumn="1" w:firstRow="1" w:lastColumn="0" w:lastRow="0" w:noHBand="0" w:noVBand="1" w:val="04A0"/>
      </w:tblPr>
      <w:tblGrid>
        <w:gridCol w:w="9684"/>
      </w:tblGrid>
      <w:tr>
        <w:trPr>
          <w:tblHeader w:val="true"/>
        </w:trPr>
        <w:tc>
          <w:tcPr>
            <w:tcW w:type="dxa" w:w="9684"/>
            <w:shd w:fill="FFF8E8"/>
            <w:tcMar>
              <w:top w:w="70" w:type="dxa"/>
              <w:start w:w="160" w:type="dxa"/>
              <w:bottom w:w="70" w:type="dxa"/>
              <w:end w:w="160" w:type="dxa"/>
              <w:left w:w="80" w:type="dxa"/>
              <w:right w:w="80" w:type="dxa"/>
            </w:tcMar>
            <w:vAlign w:val="center"/>
          </w:tcPr>
          <w:p>
            <w:pPr>
              <w:spacing w:after="0" w:line="259" w:lineRule="auto"/>
            </w:pPr>
            <w:r>
              <w:rPr>
                <w:rFonts w:ascii="Noto Sans" w:hAnsi="Noto Sans"/>
                <w:b/>
                <w:color w:val="A06A22"/>
                <w:sz w:val="21"/>
              </w:rPr>
              <w:t>Review rule</w:t>
              <w:br/>
            </w:r>
            <w:r>
              <w:rPr>
                <w:rFonts w:ascii="Noto Sans" w:hAnsi="Noto Sans"/>
                <w:b/>
                <w:color w:val="1F2933"/>
                <w:sz w:val="19"/>
              </w:rPr>
              <w:t>This document intentionally separates product requirements from architecture decisions. Product requirements remain authoritative by Blueprint requirement ID. Implementation choices may change through ADRs, but no mandatory capability may disappear silently.</w:t>
            </w:r>
          </w:p>
        </w:tc>
      </w:tr>
    </w:tbl>
    <w:p>
      <w:pPr>
        <w:spacing w:after="40"/>
      </w:pPr>
    </w:p>
    <w:p>
      <w:pPr>
        <w:pStyle w:val="Heading2"/>
        <w:keepNext/>
      </w:pPr>
      <w:r>
        <w:t>How Claude Should Audit This Document</w:t>
      </w:r>
    </w:p>
    <w:p>
      <w:pPr>
        <w:pStyle w:val="Bullet1"/>
        <w:spacing w:after="80" w:line="252" w:lineRule="auto"/>
      </w:pPr>
      <w:r>
        <w:rPr>
          <w:rFonts w:ascii="Noto Sans" w:hAnsi="Noto Sans"/>
        </w:rPr>
        <w:t>Audit independently; do not assume the architecture is correct because it is detailed.</w:t>
      </w:r>
    </w:p>
    <w:p>
      <w:pPr>
        <w:pStyle w:val="Bullet1"/>
        <w:spacing w:after="80" w:line="252" w:lineRule="auto"/>
      </w:pPr>
      <w:r>
        <w:rPr>
          <w:rFonts w:ascii="Noto Sans" w:hAnsi="Noto Sans"/>
        </w:rPr>
        <w:t>Verify every critical Blueprint requirement and all 57 domain boundaries against the proposed technical realization.</w:t>
      </w:r>
    </w:p>
    <w:p>
      <w:pPr>
        <w:pStyle w:val="Bullet1"/>
        <w:spacing w:after="80" w:line="252" w:lineRule="auto"/>
      </w:pPr>
      <w:r>
        <w:rPr>
          <w:rFonts w:ascii="Noto Sans" w:hAnsi="Noto Sans"/>
        </w:rPr>
        <w:t>Flag any cross-tenant leakage path, financial inconsistency, access-control bypass, privacy/security defect, unsafe AI action, data-loss path or impossible recovery target as P0.</w:t>
      </w:r>
    </w:p>
    <w:p>
      <w:pPr>
        <w:pStyle w:val="Bullet1"/>
        <w:spacing w:after="80" w:line="252" w:lineRule="auto"/>
      </w:pPr>
      <w:r>
        <w:rPr>
          <w:rFonts w:ascii="Noto Sans" w:hAnsi="Noto Sans"/>
        </w:rPr>
        <w:t>Flag missing idempotency, weak transaction boundaries, unbounded coupling, missing retry/reconciliation, unowned data, fragile offline behavior, missing observability, migration risk or scale bottlenecks as P1.</w:t>
      </w:r>
    </w:p>
    <w:p>
      <w:pPr>
        <w:pStyle w:val="Bullet1"/>
        <w:spacing w:after="80" w:line="252" w:lineRule="auto"/>
      </w:pPr>
      <w:r>
        <w:rPr>
          <w:rFonts w:ascii="Noto Sans" w:hAnsi="Noto Sans"/>
        </w:rPr>
        <w:t>Challenge technology choices where a simpler or safer implementation better satisfies the same requirements.</w:t>
      </w:r>
    </w:p>
    <w:p>
      <w:pPr>
        <w:pStyle w:val="Bullet1"/>
        <w:spacing w:after="80" w:line="252" w:lineRule="auto"/>
      </w:pPr>
      <w:r>
        <w:rPr>
          <w:rFonts w:ascii="Noto Sans" w:hAnsi="Noto Sans"/>
        </w:rPr>
        <w:t>For every issue, provide evidence, impacted requirements/domains, failure scenario, severity, recommended fix and whether the fix changes an ADR.</w:t>
      </w:r>
    </w:p>
    <w:p>
      <w:pPr>
        <w:pStyle w:val="Bullet1"/>
        <w:spacing w:after="80" w:line="252" w:lineRule="auto"/>
      </w:pPr>
      <w:r>
        <w:rPr>
          <w:rFonts w:ascii="Noto Sans" w:hAnsi="Noto Sans"/>
        </w:rPr>
        <w:t>End the audit with one verdict: APPROVED, APPROVED WITH REQUIRED FIXES, or NOT READY.</w:t>
      </w:r>
    </w:p>
    <w:p>
      <w:pPr>
        <w:pStyle w:val="Heading1"/>
      </w:pPr>
      <w:r>
        <w:t>Independent Audit Remediation &amp; Closure Register</w:t>
      </w:r>
    </w:p>
    <w:p>
      <w:pPr/>
      <w:r>
        <w:t>Version 1.4.1 incorporates the targeted final verification of v1.4 dated 25 August 2026. That verification confirmed P0=0 and P1=0 and found one material P2 documentation defect: the intended booking SLI/SLO was applied to COM-03 instead of OPS-02. This patch applies the exact two-line correction, updates the closure register, and strengthens the domain-contract lint so SLI/SLO and failure-mode text cannot be silently assigned to the wrong domain. No architecture decision, ADR, requirement trace, event contract, standing external validation gate, or previously approved P0/P1 remediation changes.</w:t>
      </w:r>
    </w:p>
    <w:tbl>
      <w:tblPr>
        <w:tblStyle w:val="TableGrid"/>
        <w:tblW w:type="dxa" w:w="9000"/>
        <w:jc w:val="center"/>
        <w:tblLayout w:type="fixed"/>
        <w:tblLook w:firstColumn="1" w:firstRow="1" w:lastColumn="0" w:lastRow="0" w:noHBand="0" w:noVBand="1" w:val="04A0"/>
        <w:tblCellMar>
          <w:top w:w="50" w:type="dxa"/>
          <w:left w:w="50" w:type="dxa"/>
          <w:bottom w:w="50" w:type="dxa"/>
          <w:right w:w="50" w:type="dxa"/>
        </w:tblCellMar>
      </w:tblPr>
      <w:tblGrid>
        <w:gridCol w:w="792"/>
        <w:gridCol w:w="1843"/>
        <w:gridCol w:w="2045"/>
        <w:gridCol w:w="4320"/>
      </w:tblGrid>
      <w:tr>
        <w:trPr>
          <w:tblHeader w:val="true"/>
          <w:tblHeader w:val="true"/>
          <w:tblHeader w:val="true"/>
        </w:trPr>
        <w:tc>
          <w:tcPr>
            <w:tcW w:type="dxa" w:w="792"/>
            <w:vAlign w:val="center"/>
            <w:tcMar>
              <w:top w:w="70" w:type="dxa"/>
              <w:left w:w="80" w:type="dxa"/>
              <w:bottom w:w="70" w:type="dxa"/>
              <w:right w:w="80" w:type="dxa"/>
            </w:tcMar>
          </w:tcPr>
          <w:p>
            <w:pPr>
              <w:spacing w:before="0" w:after="0" w:line="240" w:lineRule="auto"/>
            </w:pPr>
            <w:r>
              <w:rPr>
                <w:b/>
                <w:sz w:val="14"/>
              </w:rPr>
              <w:t>ID</w:t>
            </w:r>
          </w:p>
        </w:tc>
        <w:tc>
          <w:tcPr>
            <w:tcW w:type="dxa" w:w="1843"/>
            <w:vAlign w:val="center"/>
            <w:tcMar>
              <w:top w:w="70" w:type="dxa"/>
              <w:left w:w="80" w:type="dxa"/>
              <w:bottom w:w="70" w:type="dxa"/>
              <w:right w:w="80" w:type="dxa"/>
            </w:tcMar>
          </w:tcPr>
          <w:p>
            <w:pPr>
              <w:spacing w:before="0" w:after="0" w:line="240" w:lineRule="auto"/>
            </w:pPr>
            <w:r>
              <w:rPr>
                <w:b/>
                <w:sz w:val="14"/>
              </w:rPr>
              <w:t>Audit issue</w:t>
            </w:r>
          </w:p>
        </w:tc>
        <w:tc>
          <w:tcPr>
            <w:tcW w:type="dxa" w:w="2044"/>
            <w:vAlign w:val="center"/>
            <w:tcMar>
              <w:top w:w="70" w:type="dxa"/>
              <w:left w:w="80" w:type="dxa"/>
              <w:bottom w:w="70" w:type="dxa"/>
              <w:right w:w="80" w:type="dxa"/>
            </w:tcMar>
          </w:tcPr>
          <w:p>
            <w:pPr>
              <w:spacing w:before="0" w:after="0" w:line="240" w:lineRule="auto"/>
            </w:pPr>
            <w:r>
              <w:rPr>
                <w:b/>
                <w:sz w:val="14"/>
              </w:rPr>
              <w:t>Design evidence</w:t>
            </w:r>
          </w:p>
        </w:tc>
        <w:tc>
          <w:tcPr>
            <w:tcW w:type="dxa" w:w="4320"/>
            <w:vAlign w:val="center"/>
            <w:tcMar>
              <w:top w:w="70" w:type="dxa"/>
              <w:left w:w="80" w:type="dxa"/>
              <w:bottom w:w="70" w:type="dxa"/>
              <w:right w:w="80" w:type="dxa"/>
            </w:tcMar>
          </w:tcPr>
          <w:p>
            <w:r>
              <w:t>Remediation / closure</w:t>
            </w:r>
          </w:p>
        </w:tc>
      </w:tr>
      <w:tr>
        <w:tc>
          <w:tcPr>
            <w:tcW w:type="dxa" w:w="792"/>
            <w:tcMar>
              <w:top w:w="70" w:type="dxa"/>
              <w:left w:w="80" w:type="dxa"/>
              <w:bottom w:w="70" w:type="dxa"/>
              <w:right w:w="80" w:type="dxa"/>
            </w:tcMar>
            <w:vAlign w:val="center"/>
          </w:tcPr>
          <w:p>
            <w:pPr>
              <w:spacing w:before="0" w:after="0" w:line="240" w:lineRule="auto"/>
            </w:pPr>
            <w:r>
              <w:rPr>
                <w:sz w:val="14"/>
              </w:rPr>
              <w:t>P0-01</w:t>
            </w:r>
          </w:p>
        </w:tc>
        <w:tc>
          <w:tcPr>
            <w:tcW w:type="dxa" w:w="1843"/>
            <w:tcMar>
              <w:top w:w="70" w:type="dxa"/>
              <w:left w:w="80" w:type="dxa"/>
              <w:bottom w:w="70" w:type="dxa"/>
              <w:right w:w="80" w:type="dxa"/>
            </w:tcMar>
            <w:vAlign w:val="center"/>
          </w:tcPr>
          <w:p>
            <w:pPr>
              <w:spacing w:before="0" w:after="0" w:line="240" w:lineRule="auto"/>
            </w:pPr>
            <w:r>
              <w:rPr>
                <w:sz w:val="14"/>
              </w:rPr>
              <w:t>RLS enforcement</w:t>
            </w:r>
          </w:p>
        </w:tc>
        <w:tc>
          <w:tcPr>
            <w:tcW w:type="dxa" w:w="2044"/>
            <w:tcMar>
              <w:top w:w="70" w:type="dxa"/>
              <w:left w:w="80" w:type="dxa"/>
              <w:bottom w:w="70" w:type="dxa"/>
              <w:right w:w="80" w:type="dxa"/>
            </w:tcMar>
            <w:vAlign w:val="center"/>
          </w:tcPr>
          <w:p>
            <w:pPr>
              <w:spacing w:before="0" w:after="0" w:line="240" w:lineRule="auto"/>
            </w:pPr>
            <w:r>
              <w:rPr>
                <w:sz w:val="14"/>
              </w:rPr>
              <w:t>§7.3, §24.1, ADR-002</w:t>
            </w:r>
          </w:p>
        </w:tc>
        <w:tc>
          <w:tcPr>
            <w:tcW w:type="dxa" w:w="4320"/>
            <w:tcMar>
              <w:top w:w="70" w:type="dxa"/>
              <w:left w:w="80" w:type="dxa"/>
              <w:bottom w:w="70" w:type="dxa"/>
              <w:right w:w="80" w:type="dxa"/>
            </w:tcMar>
            <w:vAlign w:val="center"/>
          </w:tcPr>
          <w:p>
            <w:pPr>
              <w:spacing w:before="0" w:after="0" w:line="240" w:lineRule="auto"/>
            </w:pPr>
            <w:r>
              <w:rPr>
                <w:sz w:val="14"/>
              </w:rPr>
              <w:t>Runtime role separation, NOBYPASSRLS, FORCE RLS, SET LOCAL and CI migration lint added.</w:t>
            </w:r>
          </w:p>
        </w:tc>
      </w:tr>
      <w:tr>
        <w:tc>
          <w:tcPr>
            <w:tcW w:type="dxa" w:w="792"/>
            <w:tcMar>
              <w:top w:w="70" w:type="dxa"/>
              <w:left w:w="80" w:type="dxa"/>
              <w:bottom w:w="70" w:type="dxa"/>
              <w:right w:w="80" w:type="dxa"/>
            </w:tcMar>
            <w:vAlign w:val="center"/>
          </w:tcPr>
          <w:p>
            <w:pPr>
              <w:spacing w:before="0" w:after="0" w:line="240" w:lineRule="auto"/>
            </w:pPr>
            <w:r>
              <w:rPr>
                <w:sz w:val="14"/>
              </w:rPr>
              <w:t>P0-02</w:t>
            </w:r>
          </w:p>
        </w:tc>
        <w:tc>
          <w:tcPr>
            <w:tcW w:type="dxa" w:w="1843"/>
            <w:tcMar>
              <w:top w:w="70" w:type="dxa"/>
              <w:left w:w="80" w:type="dxa"/>
              <w:bottom w:w="70" w:type="dxa"/>
              <w:right w:w="80" w:type="dxa"/>
            </w:tcMar>
            <w:vAlign w:val="center"/>
          </w:tcPr>
          <w:p>
            <w:pPr>
              <w:spacing w:before="0" w:after="0" w:line="240" w:lineRule="auto"/>
            </w:pPr>
            <w:r>
              <w:rPr>
                <w:sz w:val="14"/>
              </w:rPr>
              <w:t>Entitlement ownership/concurrency</w:t>
            </w:r>
          </w:p>
        </w:tc>
        <w:tc>
          <w:tcPr>
            <w:tcW w:type="dxa" w:w="2044"/>
            <w:tcMar>
              <w:top w:w="70" w:type="dxa"/>
              <w:left w:w="80" w:type="dxa"/>
              <w:bottom w:w="70" w:type="dxa"/>
              <w:right w:w="80" w:type="dxa"/>
            </w:tcMar>
            <w:vAlign w:val="center"/>
          </w:tcPr>
          <w:p>
            <w:pPr>
              <w:spacing w:before="0" w:after="0" w:line="240" w:lineRule="auto"/>
            </w:pPr>
            <w:r>
              <w:rPr>
                <w:sz w:val="14"/>
              </w:rPr>
              <w:t>§15.2, §10.12, ADR-008/018</w:t>
            </w:r>
          </w:p>
        </w:tc>
        <w:tc>
          <w:tcPr>
            <w:tcW w:type="dxa" w:w="4320"/>
            <w:tcMar>
              <w:top w:w="70" w:type="dxa"/>
              <w:left w:w="80" w:type="dxa"/>
              <w:bottom w:w="70" w:type="dxa"/>
              <w:right w:w="80" w:type="dxa"/>
            </w:tcMar>
            <w:vAlign w:val="center"/>
          </w:tcPr>
          <w:p>
            <w:pPr>
              <w:spacing w:before="0" w:after="0" w:line="240" w:lineRule="auto"/>
            </w:pPr>
            <w:r>
              <w:rPr>
                <w:sz w:val="14"/>
              </w:rPr>
              <w:t>COM-01 owns MemberEntitlementGrant and atomic reserve/consume/release; SaaS PlanEntitlement renamed.</w:t>
            </w:r>
          </w:p>
        </w:tc>
      </w:tr>
      <w:tr>
        <w:tc>
          <w:tcPr>
            <w:tcW w:type="dxa" w:w="792"/>
            <w:tcMar>
              <w:top w:w="70" w:type="dxa"/>
              <w:left w:w="80" w:type="dxa"/>
              <w:bottom w:w="70" w:type="dxa"/>
              <w:right w:w="80" w:type="dxa"/>
            </w:tcMar>
            <w:vAlign w:val="center"/>
          </w:tcPr>
          <w:p>
            <w:pPr>
              <w:spacing w:before="0" w:after="0" w:line="240" w:lineRule="auto"/>
            </w:pPr>
            <w:r>
              <w:rPr>
                <w:sz w:val="14"/>
              </w:rPr>
              <w:t>P0-03</w:t>
            </w:r>
          </w:p>
        </w:tc>
        <w:tc>
          <w:tcPr>
            <w:tcW w:type="dxa" w:w="1843"/>
            <w:tcMar>
              <w:top w:w="70" w:type="dxa"/>
              <w:left w:w="80" w:type="dxa"/>
              <w:bottom w:w="70" w:type="dxa"/>
              <w:right w:w="80" w:type="dxa"/>
            </w:tcMar>
            <w:vAlign w:val="center"/>
          </w:tcPr>
          <w:p>
            <w:pPr>
              <w:spacing w:before="0" w:after="0" w:line="240" w:lineRule="auto"/>
            </w:pPr>
            <w:r>
              <w:rPr>
                <w:sz w:val="14"/>
              </w:rPr>
              <w:t>Deferred revenue/proration</w:t>
            </w:r>
          </w:p>
        </w:tc>
        <w:tc>
          <w:tcPr>
            <w:tcW w:type="dxa" w:w="2044"/>
            <w:tcMar>
              <w:top w:w="70" w:type="dxa"/>
              <w:left w:w="80" w:type="dxa"/>
              <w:bottom w:w="70" w:type="dxa"/>
              <w:right w:w="80" w:type="dxa"/>
            </w:tcMar>
            <w:vAlign w:val="center"/>
          </w:tcPr>
          <w:p>
            <w:pPr>
              <w:spacing w:before="0" w:after="0" w:line="240" w:lineRule="auto"/>
            </w:pPr>
            <w:r>
              <w:rPr>
                <w:sz w:val="14"/>
              </w:rPr>
              <w:t>§14.3/14.6, ADR-007</w:t>
            </w:r>
          </w:p>
        </w:tc>
        <w:tc>
          <w:tcPr>
            <w:tcW w:type="dxa" w:w="4320"/>
            <w:tcMar>
              <w:top w:w="70" w:type="dxa"/>
              <w:left w:w="80" w:type="dxa"/>
              <w:bottom w:w="70" w:type="dxa"/>
              <w:right w:w="80" w:type="dxa"/>
            </w:tcMar>
            <w:vAlign w:val="center"/>
          </w:tcPr>
          <w:p>
            <w:pPr>
              <w:spacing w:before="0" w:after="0" w:line="240" w:lineRule="auto"/>
            </w:pPr>
            <w:r>
              <w:rPr>
                <w:sz w:val="14"/>
              </w:rPr>
              <w:t>Unearned revenue, recognition schedule, freeze/cancel/upgrade recalculation and rounding model added.</w:t>
            </w:r>
          </w:p>
        </w:tc>
      </w:tr>
      <w:tr>
        <w:tc>
          <w:tcPr>
            <w:tcW w:type="dxa" w:w="792"/>
            <w:tcMar>
              <w:top w:w="70" w:type="dxa"/>
              <w:left w:w="80" w:type="dxa"/>
              <w:bottom w:w="70" w:type="dxa"/>
              <w:right w:w="80" w:type="dxa"/>
            </w:tcMar>
            <w:vAlign w:val="center"/>
          </w:tcPr>
          <w:p>
            <w:pPr>
              <w:spacing w:before="0" w:after="0" w:line="240" w:lineRule="auto"/>
            </w:pPr>
            <w:r>
              <w:rPr>
                <w:sz w:val="14"/>
              </w:rPr>
              <w:t>P0-04</w:t>
            </w:r>
          </w:p>
        </w:tc>
        <w:tc>
          <w:tcPr>
            <w:tcW w:type="dxa" w:w="1843"/>
            <w:tcMar>
              <w:top w:w="70" w:type="dxa"/>
              <w:left w:w="80" w:type="dxa"/>
              <w:bottom w:w="70" w:type="dxa"/>
              <w:right w:w="80" w:type="dxa"/>
            </w:tcMar>
            <w:vAlign w:val="center"/>
          </w:tcPr>
          <w:p>
            <w:pPr>
              <w:spacing w:before="0" w:after="0" w:line="240" w:lineRule="auto"/>
            </w:pPr>
            <w:r>
              <w:rPr>
                <w:sz w:val="14"/>
              </w:rPr>
              <w:t>Jordan offline fiscalization</w:t>
            </w:r>
          </w:p>
        </w:tc>
        <w:tc>
          <w:tcPr>
            <w:tcW w:type="dxa" w:w="2044"/>
            <w:tcMar>
              <w:top w:w="70" w:type="dxa"/>
              <w:left w:w="80" w:type="dxa"/>
              <w:bottom w:w="70" w:type="dxa"/>
              <w:right w:w="80" w:type="dxa"/>
            </w:tcMar>
            <w:vAlign w:val="center"/>
          </w:tcPr>
          <w:p>
            <w:pPr>
              <w:spacing w:before="0" w:after="0" w:line="240" w:lineRule="auto"/>
            </w:pPr>
            <w:r>
              <w:rPr>
                <w:sz w:val="14"/>
              </w:rPr>
              <w:t>§14.5, §26.1, ADR-019</w:t>
            </w:r>
          </w:p>
        </w:tc>
        <w:tc>
          <w:tcPr>
            <w:tcW w:type="dxa" w:w="4320"/>
            <w:tcMar>
              <w:top w:w="70" w:type="dxa"/>
              <w:left w:w="80" w:type="dxa"/>
              <w:bottom w:w="70" w:type="dxa"/>
              <w:right w:w="80" w:type="dxa"/>
            </w:tcMar>
            <w:vAlign w:val="center"/>
          </w:tcPr>
          <w:p>
            <w:pPr>
              <w:spacing w:before="0" w:after="0" w:line="240" w:lineRule="auto"/>
            </w:pPr>
            <w:r>
              <w:rPr>
                <w:sz w:val="14"/>
              </w:rPr>
              <w:t>Jordan fiscal finalization is fail-closed until JoFotara is reachable or an officially validated offline procedure exists; serial requirements and provider acknowledgement are explicit.</w:t>
            </w:r>
          </w:p>
        </w:tc>
      </w:tr>
      <w:tr>
        <w:tc>
          <w:tcPr>
            <w:tcW w:type="dxa" w:w="792"/>
            <w:tcMar>
              <w:top w:w="70" w:type="dxa"/>
              <w:left w:w="80" w:type="dxa"/>
              <w:bottom w:w="70" w:type="dxa"/>
              <w:right w:w="80" w:type="dxa"/>
            </w:tcMar>
            <w:vAlign w:val="center"/>
          </w:tcPr>
          <w:p>
            <w:pPr>
              <w:spacing w:before="0" w:after="0" w:line="240" w:lineRule="auto"/>
            </w:pPr>
            <w:r>
              <w:rPr>
                <w:sz w:val="14"/>
              </w:rPr>
              <w:t>P0-05</w:t>
            </w:r>
          </w:p>
        </w:tc>
        <w:tc>
          <w:tcPr>
            <w:tcW w:type="dxa" w:w="1843"/>
            <w:tcMar>
              <w:top w:w="70" w:type="dxa"/>
              <w:left w:w="80" w:type="dxa"/>
              <w:bottom w:w="70" w:type="dxa"/>
              <w:right w:w="80" w:type="dxa"/>
            </w:tcMar>
            <w:vAlign w:val="center"/>
          </w:tcPr>
          <w:p>
            <w:pPr>
              <w:spacing w:before="0" w:after="0" w:line="240" w:lineRule="auto"/>
            </w:pPr>
            <w:r>
              <w:rPr>
                <w:sz w:val="14"/>
              </w:rPr>
              <w:t>Access life safety</w:t>
            </w:r>
          </w:p>
        </w:tc>
        <w:tc>
          <w:tcPr>
            <w:tcW w:type="dxa" w:w="2044"/>
            <w:tcMar>
              <w:top w:w="70" w:type="dxa"/>
              <w:left w:w="80" w:type="dxa"/>
              <w:bottom w:w="70" w:type="dxa"/>
              <w:right w:w="80" w:type="dxa"/>
            </w:tcMar>
            <w:vAlign w:val="center"/>
          </w:tcPr>
          <w:p>
            <w:pPr>
              <w:spacing w:before="0" w:after="0" w:line="240" w:lineRule="auto"/>
            </w:pPr>
            <w:r>
              <w:rPr>
                <w:sz w:val="14"/>
              </w:rPr>
              <w:t>§16.4, ADR-011</w:t>
            </w:r>
          </w:p>
        </w:tc>
        <w:tc>
          <w:tcPr>
            <w:tcW w:type="dxa" w:w="4320"/>
            <w:tcMar>
              <w:top w:w="70" w:type="dxa"/>
              <w:left w:w="80" w:type="dxa"/>
              <w:bottom w:w="70" w:type="dxa"/>
              <w:right w:w="80" w:type="dxa"/>
            </w:tcMar>
            <w:vAlign w:val="center"/>
          </w:tcPr>
          <w:p>
            <w:pPr>
              <w:spacing w:before="0" w:after="0" w:line="240" w:lineRule="auto"/>
            </w:pPr>
            <w:r>
              <w:rPr>
                <w:sz w:val="14"/>
              </w:rPr>
              <w:t>Fail-safe/fail-secure wiring, emergency unlock, power/agent failure and egress rules added.</w:t>
            </w:r>
          </w:p>
        </w:tc>
      </w:tr>
      <w:tr>
        <w:tc>
          <w:tcPr>
            <w:tcW w:type="dxa" w:w="792"/>
            <w:tcMar>
              <w:top w:w="70" w:type="dxa"/>
              <w:left w:w="80" w:type="dxa"/>
              <w:bottom w:w="70" w:type="dxa"/>
              <w:right w:w="80" w:type="dxa"/>
            </w:tcMar>
            <w:vAlign w:val="center"/>
          </w:tcPr>
          <w:p>
            <w:pPr>
              <w:spacing w:before="0" w:after="0" w:line="240" w:lineRule="auto"/>
            </w:pPr>
            <w:r>
              <w:rPr>
                <w:sz w:val="14"/>
              </w:rPr>
              <w:t>P0-06</w:t>
            </w:r>
          </w:p>
        </w:tc>
        <w:tc>
          <w:tcPr>
            <w:tcW w:type="dxa" w:w="1843"/>
            <w:tcMar>
              <w:top w:w="70" w:type="dxa"/>
              <w:left w:w="80" w:type="dxa"/>
              <w:bottom w:w="70" w:type="dxa"/>
              <w:right w:w="80" w:type="dxa"/>
            </w:tcMar>
            <w:vAlign w:val="center"/>
          </w:tcPr>
          <w:p>
            <w:pPr>
              <w:spacing w:before="0" w:after="0" w:line="240" w:lineRule="auto"/>
            </w:pPr>
            <w:r>
              <w:rPr>
                <w:sz w:val="14"/>
              </w:rPr>
              <w:t>Mobile restricted-data protection</w:t>
            </w:r>
          </w:p>
        </w:tc>
        <w:tc>
          <w:tcPr>
            <w:tcW w:type="dxa" w:w="2044"/>
            <w:tcMar>
              <w:top w:w="70" w:type="dxa"/>
              <w:left w:w="80" w:type="dxa"/>
              <w:bottom w:w="70" w:type="dxa"/>
              <w:right w:w="80" w:type="dxa"/>
            </w:tcMar>
            <w:vAlign w:val="center"/>
          </w:tcPr>
          <w:p>
            <w:pPr>
              <w:spacing w:before="0" w:after="0" w:line="240" w:lineRule="auto"/>
            </w:pPr>
            <w:r>
              <w:rPr>
                <w:sz w:val="14"/>
              </w:rPr>
              <w:t>§5.4/5.5, §21.1, ADR-017</w:t>
            </w:r>
          </w:p>
        </w:tc>
        <w:tc>
          <w:tcPr>
            <w:tcW w:type="dxa" w:w="4320"/>
            <w:tcMar>
              <w:top w:w="70" w:type="dxa"/>
              <w:left w:w="80" w:type="dxa"/>
              <w:bottom w:w="70" w:type="dxa"/>
              <w:right w:w="80" w:type="dxa"/>
            </w:tcMar>
            <w:vAlign w:val="center"/>
          </w:tcPr>
          <w:p>
            <w:pPr>
              <w:spacing w:before="0" w:after="0" w:line="240" w:lineRule="auto"/>
            </w:pPr>
            <w:r>
              <w:rPr>
                <w:sz w:val="14"/>
              </w:rPr>
              <w:t>Encrypted local DB, secure key storage, purge/TTL, capture protection and device attestation gates added.</w:t>
            </w:r>
          </w:p>
        </w:tc>
      </w:tr>
      <w:tr>
        <w:tc>
          <w:tcPr>
            <w:tcW w:type="dxa" w:w="792"/>
            <w:tcMar>
              <w:top w:w="70" w:type="dxa"/>
              <w:left w:w="80" w:type="dxa"/>
              <w:bottom w:w="70" w:type="dxa"/>
              <w:right w:w="80" w:type="dxa"/>
            </w:tcMar>
            <w:vAlign w:val="center"/>
          </w:tcPr>
          <w:p>
            <w:pPr>
              <w:spacing w:before="0" w:after="0" w:line="240" w:lineRule="auto"/>
            </w:pPr>
            <w:r>
              <w:rPr>
                <w:sz w:val="14"/>
              </w:rPr>
              <w:t>P0-07</w:t>
            </w:r>
          </w:p>
        </w:tc>
        <w:tc>
          <w:tcPr>
            <w:tcW w:type="dxa" w:w="1843"/>
            <w:tcMar>
              <w:top w:w="70" w:type="dxa"/>
              <w:left w:w="80" w:type="dxa"/>
              <w:bottom w:w="70" w:type="dxa"/>
              <w:right w:w="80" w:type="dxa"/>
            </w:tcMar>
            <w:vAlign w:val="center"/>
          </w:tcPr>
          <w:p>
            <w:pPr>
              <w:spacing w:before="0" w:after="0" w:line="240" w:lineRule="auto"/>
            </w:pPr>
            <w:r>
              <w:rPr>
                <w:sz w:val="14"/>
              </w:rPr>
              <w:t>Deletion reachability</w:t>
            </w:r>
          </w:p>
        </w:tc>
        <w:tc>
          <w:tcPr>
            <w:tcW w:type="dxa" w:w="2044"/>
            <w:tcMar>
              <w:top w:w="70" w:type="dxa"/>
              <w:left w:w="80" w:type="dxa"/>
              <w:bottom w:w="70" w:type="dxa"/>
              <w:right w:w="80" w:type="dxa"/>
            </w:tcMar>
            <w:vAlign w:val="center"/>
          </w:tcPr>
          <w:p>
            <w:pPr>
              <w:spacing w:before="0" w:after="0" w:line="240" w:lineRule="auto"/>
            </w:pPr>
            <w:r>
              <w:rPr>
                <w:sz w:val="14"/>
              </w:rPr>
              <w:t>§21.6, ADR-020, Appendix I</w:t>
            </w:r>
          </w:p>
        </w:tc>
        <w:tc>
          <w:tcPr>
            <w:tcW w:type="dxa" w:w="4320"/>
            <w:tcMar>
              <w:top w:w="70" w:type="dxa"/>
              <w:left w:w="80" w:type="dxa"/>
              <w:bottom w:w="70" w:type="dxa"/>
              <w:right w:w="80" w:type="dxa"/>
            </w:tcMar>
            <w:vAlign w:val="center"/>
          </w:tcPr>
          <w:p>
            <w:pPr>
              <w:spacing w:before="0" w:after="0" w:line="240" w:lineRule="auto"/>
            </w:pPr>
            <w:r>
              <w:rPr>
                <w:sz w:val="14"/>
              </w:rPr>
              <w:t>Per-store deletion/retention matrix, PII-minimized events and crypto-shredding mechanism added.</w:t>
            </w:r>
          </w:p>
        </w:tc>
      </w:tr>
      <w:tr>
        <w:tc>
          <w:tcPr>
            <w:tcW w:type="dxa" w:w="792"/>
            <w:tcMar>
              <w:top w:w="70" w:type="dxa"/>
              <w:left w:w="80" w:type="dxa"/>
              <w:bottom w:w="70" w:type="dxa"/>
              <w:right w:w="80" w:type="dxa"/>
            </w:tcMar>
            <w:vAlign w:val="center"/>
          </w:tcPr>
          <w:p>
            <w:pPr>
              <w:spacing w:before="0" w:after="0" w:line="240" w:lineRule="auto"/>
            </w:pPr>
            <w:r>
              <w:rPr>
                <w:sz w:val="14"/>
              </w:rPr>
              <w:t>P0-08</w:t>
            </w:r>
          </w:p>
        </w:tc>
        <w:tc>
          <w:tcPr>
            <w:tcW w:type="dxa" w:w="1843"/>
            <w:tcMar>
              <w:top w:w="70" w:type="dxa"/>
              <w:left w:w="80" w:type="dxa"/>
              <w:bottom w:w="70" w:type="dxa"/>
              <w:right w:w="80" w:type="dxa"/>
            </w:tcMar>
            <w:vAlign w:val="center"/>
          </w:tcPr>
          <w:p>
            <w:pPr>
              <w:spacing w:before="0" w:after="0" w:line="240" w:lineRule="auto"/>
            </w:pPr>
            <w:r>
              <w:rPr>
                <w:sz w:val="14"/>
              </w:rPr>
              <w:t>Jordan privacy/region</w:t>
            </w:r>
          </w:p>
        </w:tc>
        <w:tc>
          <w:tcPr>
            <w:tcW w:type="dxa" w:w="2044"/>
            <w:tcMar>
              <w:top w:w="70" w:type="dxa"/>
              <w:left w:w="80" w:type="dxa"/>
              <w:bottom w:w="70" w:type="dxa"/>
              <w:right w:w="80" w:type="dxa"/>
            </w:tcMar>
            <w:vAlign w:val="center"/>
          </w:tcPr>
          <w:p>
            <w:pPr>
              <w:spacing w:before="0" w:after="0" w:line="240" w:lineRule="auto"/>
            </w:pPr>
            <w:r>
              <w:rPr>
                <w:sz w:val="14"/>
              </w:rPr>
              <w:t>§21.5, §23.4, §26.2, ADR-021</w:t>
            </w:r>
          </w:p>
        </w:tc>
        <w:tc>
          <w:tcPr>
            <w:tcW w:type="dxa" w:w="4320"/>
            <w:tcMar>
              <w:top w:w="70" w:type="dxa"/>
              <w:left w:w="80" w:type="dxa"/>
              <w:bottom w:w="70" w:type="dxa"/>
              <w:right w:w="80" w:type="dxa"/>
            </w:tcMar>
            <w:vAlign w:val="center"/>
          </w:tcPr>
          <w:p>
            <w:pPr>
              <w:spacing w:before="0" w:after="0" w:line="240" w:lineRule="auto"/>
            </w:pPr>
            <w:r>
              <w:rPr>
                <w:sz w:val="14"/>
              </w:rPr>
              <w:t>Jordan PDPL baseline, controller/processor model, Bahrain primary/UAE DR posture and cross-border validation gate added.</w:t>
            </w:r>
          </w:p>
        </w:tc>
      </w:tr>
      <w:tr>
        <w:tc>
          <w:tcPr>
            <w:tcW w:type="dxa" w:w="792"/>
            <w:tcMar>
              <w:top w:w="70" w:type="dxa"/>
              <w:left w:w="80" w:type="dxa"/>
              <w:bottom w:w="70" w:type="dxa"/>
              <w:right w:w="80" w:type="dxa"/>
            </w:tcMar>
            <w:vAlign w:val="center"/>
          </w:tcPr>
          <w:p>
            <w:pPr>
              <w:spacing w:before="0" w:after="0" w:line="240" w:lineRule="auto"/>
            </w:pPr>
            <w:r>
              <w:rPr>
                <w:sz w:val="14"/>
              </w:rPr>
              <w:t>P0-09</w:t>
            </w:r>
          </w:p>
        </w:tc>
        <w:tc>
          <w:tcPr>
            <w:tcW w:type="dxa" w:w="1843"/>
            <w:tcMar>
              <w:top w:w="70" w:type="dxa"/>
              <w:left w:w="80" w:type="dxa"/>
              <w:bottom w:w="70" w:type="dxa"/>
              <w:right w:w="80" w:type="dxa"/>
            </w:tcMar>
            <w:vAlign w:val="center"/>
          </w:tcPr>
          <w:p>
            <w:pPr>
              <w:spacing w:before="0" w:after="0" w:line="240" w:lineRule="auto"/>
            </w:pPr>
            <w:r>
              <w:rPr>
                <w:sz w:val="14"/>
              </w:rPr>
              <w:t>Traceability self-certification</w:t>
            </w:r>
          </w:p>
        </w:tc>
        <w:tc>
          <w:tcPr>
            <w:tcW w:type="dxa" w:w="2044"/>
            <w:tcMar>
              <w:top w:w="70" w:type="dxa"/>
              <w:left w:w="80" w:type="dxa"/>
              <w:bottom w:w="70" w:type="dxa"/>
              <w:right w:w="80" w:type="dxa"/>
            </w:tcMar>
            <w:vAlign w:val="center"/>
          </w:tcPr>
          <w:p>
            <w:pPr>
              <w:spacing w:before="0" w:after="0" w:line="240" w:lineRule="auto"/>
            </w:pPr>
            <w:r>
              <w:rPr>
                <w:sz w:val="14"/>
              </w:rPr>
              <w:t>Appendix B</w:t>
            </w:r>
          </w:p>
        </w:tc>
        <w:tc>
          <w:tcPr>
            <w:tcW w:type="dxa" w:w="4320"/>
            <w:tcMar>
              <w:top w:w="70" w:type="dxa"/>
              <w:left w:w="80" w:type="dxa"/>
              <w:bottom w:w="70" w:type="dxa"/>
              <w:right w:w="80" w:type="dxa"/>
            </w:tcMar>
            <w:vAlign w:val="center"/>
          </w:tcPr>
          <w:p>
            <w:pPr>
              <w:spacing w:before="0" w:after="0" w:line="240" w:lineRule="auto"/>
            </w:pPr>
            <w:r>
              <w:rPr>
                <w:sz w:val="14"/>
              </w:rPr>
              <w:t>Priority restored; evidence/test/runbook columns and DESIGNED/PARTIAL/DEFERRED statuses replace blanket COVERED.</w:t>
            </w:r>
          </w:p>
        </w:tc>
      </w:tr>
      <w:tr>
        <w:tc>
          <w:tcPr>
            <w:tcW w:type="dxa" w:w="792"/>
            <w:tcMar>
              <w:top w:w="70" w:type="dxa"/>
              <w:left w:w="80" w:type="dxa"/>
              <w:bottom w:w="70" w:type="dxa"/>
              <w:right w:w="80" w:type="dxa"/>
            </w:tcMar>
            <w:vAlign w:val="center"/>
          </w:tcPr>
          <w:p>
            <w:pPr>
              <w:spacing w:before="0" w:after="0" w:line="240" w:lineRule="auto"/>
            </w:pPr>
            <w:r>
              <w:rPr>
                <w:sz w:val="14"/>
              </w:rPr>
              <w:t>P0-10</w:t>
            </w:r>
          </w:p>
        </w:tc>
        <w:tc>
          <w:tcPr>
            <w:tcW w:type="dxa" w:w="1843"/>
            <w:tcMar>
              <w:top w:w="70" w:type="dxa"/>
              <w:left w:w="80" w:type="dxa"/>
              <w:bottom w:w="70" w:type="dxa"/>
              <w:right w:w="80" w:type="dxa"/>
            </w:tcMar>
            <w:vAlign w:val="center"/>
          </w:tcPr>
          <w:p>
            <w:pPr>
              <w:spacing w:before="0" w:after="0" w:line="240" w:lineRule="auto"/>
            </w:pPr>
            <w:r>
              <w:rPr>
                <w:sz w:val="14"/>
              </w:rPr>
              <w:t>DR target/topology mismatch</w:t>
            </w:r>
          </w:p>
        </w:tc>
        <w:tc>
          <w:tcPr>
            <w:tcW w:type="dxa" w:w="2044"/>
            <w:tcMar>
              <w:top w:w="70" w:type="dxa"/>
              <w:left w:w="80" w:type="dxa"/>
              <w:bottom w:w="70" w:type="dxa"/>
              <w:right w:w="80" w:type="dxa"/>
            </w:tcMar>
            <w:vAlign w:val="center"/>
          </w:tcPr>
          <w:p>
            <w:pPr>
              <w:spacing w:before="0" w:after="0" w:line="240" w:lineRule="auto"/>
            </w:pPr>
            <w:r>
              <w:rPr>
                <w:sz w:val="14"/>
              </w:rPr>
              <w:t>§22.6, §23.4, ADR-014/022</w:t>
            </w:r>
          </w:p>
        </w:tc>
        <w:tc>
          <w:tcPr>
            <w:tcW w:type="dxa" w:w="4320"/>
            <w:tcMar>
              <w:top w:w="70" w:type="dxa"/>
              <w:left w:w="80" w:type="dxa"/>
              <w:bottom w:w="70" w:type="dxa"/>
              <w:right w:w="80" w:type="dxa"/>
            </w:tcMar>
            <w:vAlign w:val="center"/>
          </w:tcPr>
          <w:p>
            <w:pPr>
              <w:spacing w:before="0" w:after="0" w:line="240" w:lineRule="auto"/>
            </w:pPr>
            <w:r>
              <w:rPr>
                <w:sz w:val="14"/>
              </w:rPr>
              <w:t>Cross-region DB replica + warm application recovery path and measurable RPO/RTO drills specified.</w:t>
            </w:r>
          </w:p>
        </w:tc>
      </w:tr>
      <w:tr>
        <w:tc>
          <w:tcPr>
            <w:tcW w:type="dxa" w:w="792"/>
            <w:tcMar>
              <w:top w:w="70" w:type="dxa"/>
              <w:left w:w="80" w:type="dxa"/>
              <w:bottom w:w="70" w:type="dxa"/>
              <w:right w:w="80" w:type="dxa"/>
            </w:tcMar>
            <w:vAlign w:val="center"/>
          </w:tcPr>
          <w:p>
            <w:pPr>
              <w:spacing w:before="0" w:after="0" w:line="240" w:lineRule="auto"/>
            </w:pPr>
            <w:r>
              <w:rPr>
                <w:sz w:val="14"/>
              </w:rPr>
              <w:t>P0-11</w:t>
            </w:r>
          </w:p>
        </w:tc>
        <w:tc>
          <w:tcPr>
            <w:tcW w:type="dxa" w:w="1843"/>
            <w:tcMar>
              <w:top w:w="70" w:type="dxa"/>
              <w:left w:w="80" w:type="dxa"/>
              <w:bottom w:w="70" w:type="dxa"/>
              <w:right w:w="80" w:type="dxa"/>
            </w:tcMar>
            <w:vAlign w:val="center"/>
          </w:tcPr>
          <w:p>
            <w:pPr>
              <w:spacing w:before="0" w:after="0" w:line="240" w:lineRule="auto"/>
            </w:pPr>
            <w:r>
              <w:rPr>
                <w:sz w:val="14"/>
              </w:rPr>
              <w:t>PITR divergence</w:t>
            </w:r>
          </w:p>
        </w:tc>
        <w:tc>
          <w:tcPr>
            <w:tcW w:type="dxa" w:w="2044"/>
            <w:tcMar>
              <w:top w:w="70" w:type="dxa"/>
              <w:left w:w="80" w:type="dxa"/>
              <w:bottom w:w="70" w:type="dxa"/>
              <w:right w:w="80" w:type="dxa"/>
            </w:tcMar>
            <w:vAlign w:val="center"/>
          </w:tcPr>
          <w:p>
            <w:pPr>
              <w:spacing w:before="0" w:after="0" w:line="240" w:lineRule="auto"/>
            </w:pPr>
            <w:r>
              <w:rPr>
                <w:sz w:val="14"/>
              </w:rPr>
              <w:t>§28.3, ADR-023</w:t>
            </w:r>
          </w:p>
        </w:tc>
        <w:tc>
          <w:tcPr>
            <w:tcW w:type="dxa" w:w="4320"/>
            <w:tcMar>
              <w:top w:w="70" w:type="dxa"/>
              <w:left w:w="80" w:type="dxa"/>
              <w:bottom w:w="70" w:type="dxa"/>
              <w:right w:w="80" w:type="dxa"/>
            </w:tcMar>
            <w:vAlign w:val="center"/>
          </w:tcPr>
          <w:p>
            <w:pPr>
              <w:spacing w:before="0" w:after="0" w:line="240" w:lineRule="auto"/>
            </w:pPr>
            <w:r>
              <w:rPr>
                <w:sz w:val="14"/>
              </w:rPr>
              <w:t>PITR is last resort: writes frozen, outbox quarantined, providers/fiscal records reconciled, forward replay preferred.</w:t>
            </w:r>
          </w:p>
        </w:tc>
      </w:tr>
      <w:tr>
        <w:tc>
          <w:tcPr>
            <w:tcW w:type="dxa" w:w="792"/>
            <w:tcMar>
              <w:top w:w="70" w:type="dxa"/>
              <w:left w:w="80" w:type="dxa"/>
              <w:bottom w:w="70" w:type="dxa"/>
              <w:right w:w="80" w:type="dxa"/>
            </w:tcMar>
            <w:vAlign w:val="center"/>
          </w:tcPr>
          <w:p>
            <w:pPr>
              <w:spacing w:before="0" w:after="0" w:line="240" w:lineRule="auto"/>
            </w:pPr>
            <w:r>
              <w:rPr>
                <w:sz w:val="14"/>
              </w:rPr>
              <w:t>P1-01</w:t>
            </w:r>
          </w:p>
        </w:tc>
        <w:tc>
          <w:tcPr>
            <w:tcW w:type="dxa" w:w="1843"/>
            <w:tcMar>
              <w:top w:w="70" w:type="dxa"/>
              <w:left w:w="80" w:type="dxa"/>
              <w:bottom w:w="70" w:type="dxa"/>
              <w:right w:w="80" w:type="dxa"/>
            </w:tcMar>
            <w:vAlign w:val="center"/>
          </w:tcPr>
          <w:p>
            <w:pPr>
              <w:spacing w:before="0" w:after="0" w:line="240" w:lineRule="auto"/>
            </w:pPr>
            <w:r>
              <w:rPr>
                <w:sz w:val="14"/>
              </w:rPr>
              <w:t>Templated domain architecture</w:t>
            </w:r>
          </w:p>
        </w:tc>
        <w:tc>
          <w:tcPr>
            <w:tcW w:type="dxa" w:w="2044"/>
            <w:tcMar>
              <w:top w:w="70" w:type="dxa"/>
              <w:left w:w="80" w:type="dxa"/>
              <w:bottom w:w="70" w:type="dxa"/>
              <w:right w:w="80" w:type="dxa"/>
            </w:tcMar>
            <w:vAlign w:val="center"/>
          </w:tcPr>
          <w:p>
            <w:pPr>
              <w:spacing w:before="0" w:after="0" w:line="240" w:lineRule="auto"/>
            </w:pPr>
            <w:r>
              <w:rPr>
                <w:sz w:val="14"/>
              </w:rPr>
              <w:t>§10.1-10.57</w:t>
            </w:r>
          </w:p>
        </w:tc>
        <w:tc>
          <w:tcPr>
            <w:tcW w:type="dxa" w:w="4320"/>
            <w:tcMar>
              <w:top w:w="70" w:type="dxa"/>
              <w:left w:w="80" w:type="dxa"/>
              <w:bottom w:w="70" w:type="dxa"/>
              <w:right w:w="80" w:type="dxa"/>
            </w:tcMar>
            <w:vAlign w:val="center"/>
          </w:tcPr>
          <w:p>
            <w:pPr>
              <w:spacing w:before="0" w:after="0" w:line="240" w:lineRule="auto"/>
            </w:pPr>
            <w:r>
              <w:rPr>
                <w:sz w:val="14"/>
              </w:rPr>
              <w:t>Every domain now has a domain-specific implementation contract with tables, commands, queries, events, failure modes, SLOs, tests and runbooks.</w:t>
            </w:r>
          </w:p>
        </w:tc>
      </w:tr>
      <w:tr>
        <w:tc>
          <w:tcPr>
            <w:tcW w:type="dxa" w:w="792"/>
            <w:tcMar>
              <w:top w:w="70" w:type="dxa"/>
              <w:left w:w="80" w:type="dxa"/>
              <w:bottom w:w="70" w:type="dxa"/>
              <w:right w:w="80" w:type="dxa"/>
            </w:tcMar>
            <w:vAlign w:val="center"/>
          </w:tcPr>
          <w:p>
            <w:pPr>
              <w:spacing w:before="0" w:after="0" w:line="240" w:lineRule="auto"/>
            </w:pPr>
            <w:r>
              <w:rPr>
                <w:sz w:val="14"/>
              </w:rPr>
              <w:t>P1-02</w:t>
            </w:r>
          </w:p>
        </w:tc>
        <w:tc>
          <w:tcPr>
            <w:tcW w:type="dxa" w:w="1843"/>
            <w:tcMar>
              <w:top w:w="70" w:type="dxa"/>
              <w:left w:w="80" w:type="dxa"/>
              <w:bottom w:w="70" w:type="dxa"/>
              <w:right w:w="80" w:type="dxa"/>
            </w:tcMar>
            <w:vAlign w:val="center"/>
          </w:tcPr>
          <w:p>
            <w:pPr>
              <w:spacing w:before="0" w:after="0" w:line="240" w:lineRule="auto"/>
            </w:pPr>
            <w:r>
              <w:rPr>
                <w:sz w:val="14"/>
              </w:rPr>
              <w:t>Canned critical flows</w:t>
            </w:r>
          </w:p>
        </w:tc>
        <w:tc>
          <w:tcPr>
            <w:tcW w:type="dxa" w:w="2044"/>
            <w:tcMar>
              <w:top w:w="70" w:type="dxa"/>
              <w:left w:w="80" w:type="dxa"/>
              <w:bottom w:w="70" w:type="dxa"/>
              <w:right w:w="80" w:type="dxa"/>
            </w:tcMar>
            <w:vAlign w:val="center"/>
          </w:tcPr>
          <w:p>
            <w:pPr>
              <w:spacing w:before="0" w:after="0" w:line="240" w:lineRule="auto"/>
            </w:pPr>
            <w:r>
              <w:rPr>
                <w:sz w:val="14"/>
              </w:rPr>
              <w:t>Appendix A</w:t>
            </w:r>
          </w:p>
        </w:tc>
        <w:tc>
          <w:tcPr>
            <w:tcW w:type="dxa" w:w="4320"/>
            <w:tcMar>
              <w:top w:w="70" w:type="dxa"/>
              <w:left w:w="80" w:type="dxa"/>
              <w:bottom w:w="70" w:type="dxa"/>
              <w:right w:w="80" w:type="dxa"/>
            </w:tcMar>
            <w:vAlign w:val="center"/>
          </w:tcPr>
          <w:p>
            <w:pPr>
              <w:spacing w:before="0" w:after="0" w:line="240" w:lineRule="auto"/>
            </w:pPr>
            <w:r>
              <w:rPr>
                <w:sz w:val="14"/>
              </w:rPr>
              <w:t>All 34 flows receive flow-specific transaction boundaries and recovery/compensation.</w:t>
            </w:r>
          </w:p>
        </w:tc>
      </w:tr>
      <w:tr>
        <w:tc>
          <w:tcPr>
            <w:tcW w:type="dxa" w:w="792"/>
            <w:tcMar>
              <w:top w:w="70" w:type="dxa"/>
              <w:left w:w="80" w:type="dxa"/>
              <w:bottom w:w="70" w:type="dxa"/>
              <w:right w:w="80" w:type="dxa"/>
            </w:tcMar>
            <w:vAlign w:val="center"/>
          </w:tcPr>
          <w:p>
            <w:pPr>
              <w:spacing w:before="0" w:after="0" w:line="240" w:lineRule="auto"/>
            </w:pPr>
            <w:r>
              <w:rPr>
                <w:sz w:val="14"/>
              </w:rPr>
              <w:t>P1-03</w:t>
            </w:r>
          </w:p>
        </w:tc>
        <w:tc>
          <w:tcPr>
            <w:tcW w:type="dxa" w:w="1843"/>
            <w:tcMar>
              <w:top w:w="70" w:type="dxa"/>
              <w:left w:w="80" w:type="dxa"/>
              <w:bottom w:w="70" w:type="dxa"/>
              <w:right w:w="80" w:type="dxa"/>
            </w:tcMar>
            <w:vAlign w:val="center"/>
          </w:tcPr>
          <w:p>
            <w:pPr>
              <w:spacing w:before="0" w:after="0" w:line="240" w:lineRule="auto"/>
            </w:pPr>
            <w:r>
              <w:rPr>
                <w:sz w:val="14"/>
              </w:rPr>
              <w:t>Undeclared events</w:t>
            </w:r>
          </w:p>
        </w:tc>
        <w:tc>
          <w:tcPr>
            <w:tcW w:type="dxa" w:w="2044"/>
            <w:tcMar>
              <w:top w:w="70" w:type="dxa"/>
              <w:left w:w="80" w:type="dxa"/>
              <w:bottom w:w="70" w:type="dxa"/>
              <w:right w:w="80" w:type="dxa"/>
            </w:tcMar>
            <w:vAlign w:val="center"/>
          </w:tcPr>
          <w:p>
            <w:pPr>
              <w:spacing w:before="0" w:after="0" w:line="240" w:lineRule="auto"/>
            </w:pPr>
            <w:r>
              <w:rPr>
                <w:sz w:val="14"/>
              </w:rPr>
              <w:t>Appendix C, §12.4</w:t>
            </w:r>
          </w:p>
        </w:tc>
        <w:tc>
          <w:tcPr>
            <w:tcW w:type="dxa" w:w="4320"/>
            <w:tcMar>
              <w:top w:w="70" w:type="dxa"/>
              <w:left w:w="80" w:type="dxa"/>
              <w:bottom w:w="70" w:type="dxa"/>
              <w:right w:w="80" w:type="dxa"/>
            </w:tcMar>
            <w:vAlign w:val="center"/>
          </w:tcPr>
          <w:p>
            <w:pPr>
              <w:spacing w:before="0" w:after="0" w:line="240" w:lineRule="auto"/>
            </w:pPr>
            <w:r>
              <w:rPr>
                <w:sz w:val="14"/>
              </w:rPr>
              <w:t>Missing events and entitlement lifecycle events declared; event-name CI lint added.</w:t>
            </w:r>
          </w:p>
        </w:tc>
      </w:tr>
      <w:tr>
        <w:tc>
          <w:tcPr>
            <w:tcW w:type="dxa" w:w="792"/>
            <w:tcMar>
              <w:top w:w="70" w:type="dxa"/>
              <w:left w:w="80" w:type="dxa"/>
              <w:bottom w:w="70" w:type="dxa"/>
              <w:right w:w="80" w:type="dxa"/>
            </w:tcMar>
            <w:vAlign w:val="center"/>
          </w:tcPr>
          <w:p>
            <w:pPr>
              <w:spacing w:before="0" w:after="0" w:line="240" w:lineRule="auto"/>
            </w:pPr>
            <w:r>
              <w:rPr>
                <w:sz w:val="14"/>
              </w:rPr>
              <w:t>P1-04</w:t>
            </w:r>
          </w:p>
        </w:tc>
        <w:tc>
          <w:tcPr>
            <w:tcW w:type="dxa" w:w="1843"/>
            <w:tcMar>
              <w:top w:w="70" w:type="dxa"/>
              <w:left w:w="80" w:type="dxa"/>
              <w:bottom w:w="70" w:type="dxa"/>
              <w:right w:w="80" w:type="dxa"/>
            </w:tcMar>
            <w:vAlign w:val="center"/>
          </w:tcPr>
          <w:p>
            <w:pPr>
              <w:spacing w:before="0" w:after="0" w:line="240" w:lineRule="auto"/>
            </w:pPr>
            <w:r>
              <w:rPr>
                <w:sz w:val="14"/>
              </w:rPr>
              <w:t>Idempotency semantics</w:t>
            </w:r>
          </w:p>
        </w:tc>
        <w:tc>
          <w:tcPr>
            <w:tcW w:type="dxa" w:w="2044"/>
            <w:tcMar>
              <w:top w:w="70" w:type="dxa"/>
              <w:left w:w="80" w:type="dxa"/>
              <w:bottom w:w="70" w:type="dxa"/>
              <w:right w:w="80" w:type="dxa"/>
            </w:tcMar>
            <w:vAlign w:val="center"/>
          </w:tcPr>
          <w:p>
            <w:pPr>
              <w:spacing w:before="0" w:after="0" w:line="240" w:lineRule="auto"/>
            </w:pPr>
            <w:r>
              <w:rPr>
                <w:sz w:val="14"/>
              </w:rPr>
              <w:t>§11.1/11.5</w:t>
            </w:r>
          </w:p>
        </w:tc>
        <w:tc>
          <w:tcPr>
            <w:tcW w:type="dxa" w:w="4320"/>
            <w:tcMar>
              <w:top w:w="70" w:type="dxa"/>
              <w:left w:w="80" w:type="dxa"/>
              <w:bottom w:w="70" w:type="dxa"/>
              <w:right w:w="80" w:type="dxa"/>
            </w:tcMar>
            <w:vAlign w:val="center"/>
          </w:tcPr>
          <w:p>
            <w:pPr>
              <w:spacing w:before="0" w:after="0" w:line="240" w:lineRule="auto"/>
            </w:pPr>
            <w:r>
              <w:rPr>
                <w:sz w:val="14"/>
              </w:rPr>
              <w:t>Scope, retention, response replay and payload mismatch behavior specified.</w:t>
            </w:r>
          </w:p>
        </w:tc>
      </w:tr>
      <w:tr>
        <w:tc>
          <w:tcPr>
            <w:tcW w:type="dxa" w:w="792"/>
            <w:tcMar>
              <w:top w:w="70" w:type="dxa"/>
              <w:left w:w="80" w:type="dxa"/>
              <w:bottom w:w="70" w:type="dxa"/>
              <w:right w:w="80" w:type="dxa"/>
            </w:tcMar>
            <w:vAlign w:val="center"/>
          </w:tcPr>
          <w:p>
            <w:pPr>
              <w:spacing w:before="0" w:after="0" w:line="240" w:lineRule="auto"/>
            </w:pPr>
            <w:r>
              <w:rPr>
                <w:sz w:val="14"/>
              </w:rPr>
              <w:t>P1-05</w:t>
            </w:r>
          </w:p>
        </w:tc>
        <w:tc>
          <w:tcPr>
            <w:tcW w:type="dxa" w:w="1843"/>
            <w:tcMar>
              <w:top w:w="70" w:type="dxa"/>
              <w:left w:w="80" w:type="dxa"/>
              <w:bottom w:w="70" w:type="dxa"/>
              <w:right w:w="80" w:type="dxa"/>
            </w:tcMar>
            <w:vAlign w:val="center"/>
          </w:tcPr>
          <w:p>
            <w:pPr>
              <w:spacing w:before="0" w:after="0" w:line="240" w:lineRule="auto"/>
            </w:pPr>
            <w:r>
              <w:rPr>
                <w:sz w:val="14"/>
              </w:rPr>
              <w:t>FX model</w:t>
            </w:r>
          </w:p>
        </w:tc>
        <w:tc>
          <w:tcPr>
            <w:tcW w:type="dxa" w:w="2044"/>
            <w:tcMar>
              <w:top w:w="70" w:type="dxa"/>
              <w:left w:w="80" w:type="dxa"/>
              <w:bottom w:w="70" w:type="dxa"/>
              <w:right w:w="80" w:type="dxa"/>
            </w:tcMar>
            <w:vAlign w:val="center"/>
          </w:tcPr>
          <w:p>
            <w:pPr>
              <w:spacing w:before="0" w:after="0" w:line="240" w:lineRule="auto"/>
            </w:pPr>
            <w:r>
              <w:rPr>
                <w:sz w:val="14"/>
              </w:rPr>
              <w:t>§14.7</w:t>
            </w:r>
          </w:p>
        </w:tc>
        <w:tc>
          <w:tcPr>
            <w:tcW w:type="dxa" w:w="4320"/>
            <w:tcMar>
              <w:top w:w="70" w:type="dxa"/>
              <w:left w:w="80" w:type="dxa"/>
              <w:bottom w:w="70" w:type="dxa"/>
              <w:right w:w="80" w:type="dxa"/>
            </w:tcMar>
            <w:vAlign w:val="center"/>
          </w:tcPr>
          <w:p>
            <w:pPr>
              <w:spacing w:before="0" w:after="0" w:line="240" w:lineRule="auto"/>
            </w:pPr>
            <w:r>
              <w:rPr>
                <w:sz w:val="14"/>
              </w:rPr>
              <w:t>Functional currency, rate snapshot, realized/unrealized FX and V1 JOD policy added.</w:t>
            </w:r>
          </w:p>
        </w:tc>
      </w:tr>
      <w:tr>
        <w:tc>
          <w:tcPr>
            <w:tcW w:type="dxa" w:w="792"/>
            <w:tcMar>
              <w:top w:w="70" w:type="dxa"/>
              <w:left w:w="80" w:type="dxa"/>
              <w:bottom w:w="70" w:type="dxa"/>
              <w:right w:w="80" w:type="dxa"/>
            </w:tcMar>
            <w:vAlign w:val="center"/>
          </w:tcPr>
          <w:p>
            <w:pPr>
              <w:spacing w:before="0" w:after="0" w:line="240" w:lineRule="auto"/>
            </w:pPr>
            <w:r>
              <w:rPr>
                <w:sz w:val="14"/>
              </w:rPr>
              <w:t>P1-06</w:t>
            </w:r>
          </w:p>
        </w:tc>
        <w:tc>
          <w:tcPr>
            <w:tcW w:type="dxa" w:w="1843"/>
            <w:tcMar>
              <w:top w:w="70" w:type="dxa"/>
              <w:left w:w="80" w:type="dxa"/>
              <w:bottom w:w="70" w:type="dxa"/>
              <w:right w:w="80" w:type="dxa"/>
            </w:tcMar>
            <w:vAlign w:val="center"/>
          </w:tcPr>
          <w:p>
            <w:pPr>
              <w:spacing w:before="0" w:after="0" w:line="240" w:lineRule="auto"/>
            </w:pPr>
            <w:r>
              <w:rPr>
                <w:sz w:val="14"/>
              </w:rPr>
              <w:t>Telemetry mixed with domain events</w:t>
            </w:r>
          </w:p>
        </w:tc>
        <w:tc>
          <w:tcPr>
            <w:tcW w:type="dxa" w:w="2044"/>
            <w:tcMar>
              <w:top w:w="70" w:type="dxa"/>
              <w:left w:w="80" w:type="dxa"/>
              <w:bottom w:w="70" w:type="dxa"/>
              <w:right w:w="80" w:type="dxa"/>
            </w:tcMar>
            <w:vAlign w:val="center"/>
          </w:tcPr>
          <w:p>
            <w:pPr>
              <w:spacing w:before="0" w:after="0" w:line="240" w:lineRule="auto"/>
            </w:pPr>
            <w:r>
              <w:rPr>
                <w:sz w:val="14"/>
              </w:rPr>
              <w:t>§12.4, Appendix C</w:t>
            </w:r>
          </w:p>
        </w:tc>
        <w:tc>
          <w:tcPr>
            <w:tcW w:type="dxa" w:w="4320"/>
            <w:tcMar>
              <w:top w:w="70" w:type="dxa"/>
              <w:left w:w="80" w:type="dxa"/>
              <w:bottom w:w="70" w:type="dxa"/>
              <w:right w:w="80" w:type="dxa"/>
            </w:tcMar>
            <w:vAlign w:val="center"/>
          </w:tcPr>
          <w:p>
            <w:pPr>
              <w:spacing w:before="0" w:after="0" w:line="240" w:lineRule="auto"/>
            </w:pPr>
            <w:r>
              <w:rPr>
                <w:sz w:val="14"/>
              </w:rPr>
              <w:t>Business events and telemetry signals separated and retention/replay rules differ.</w:t>
            </w:r>
          </w:p>
        </w:tc>
      </w:tr>
      <w:tr>
        <w:tc>
          <w:tcPr>
            <w:tcW w:type="dxa" w:w="792"/>
            <w:tcMar>
              <w:top w:w="70" w:type="dxa"/>
              <w:left w:w="80" w:type="dxa"/>
              <w:bottom w:w="70" w:type="dxa"/>
              <w:right w:w="80" w:type="dxa"/>
            </w:tcMar>
            <w:vAlign w:val="center"/>
          </w:tcPr>
          <w:p>
            <w:pPr>
              <w:spacing w:before="0" w:after="0" w:line="240" w:lineRule="auto"/>
            </w:pPr>
            <w:r>
              <w:rPr>
                <w:sz w:val="14"/>
              </w:rPr>
              <w:t>P1-07</w:t>
            </w:r>
          </w:p>
        </w:tc>
        <w:tc>
          <w:tcPr>
            <w:tcW w:type="dxa" w:w="1843"/>
            <w:tcMar>
              <w:top w:w="70" w:type="dxa"/>
              <w:left w:w="80" w:type="dxa"/>
              <w:bottom w:w="70" w:type="dxa"/>
              <w:right w:w="80" w:type="dxa"/>
            </w:tcMar>
            <w:vAlign w:val="center"/>
          </w:tcPr>
          <w:p>
            <w:pPr>
              <w:spacing w:before="0" w:after="0" w:line="240" w:lineRule="auto"/>
            </w:pPr>
            <w:r>
              <w:rPr>
                <w:sz w:val="14"/>
              </w:rPr>
              <w:t>Replay side effects</w:t>
            </w:r>
          </w:p>
        </w:tc>
        <w:tc>
          <w:tcPr>
            <w:tcW w:type="dxa" w:w="2044"/>
            <w:tcMar>
              <w:top w:w="70" w:type="dxa"/>
              <w:left w:w="80" w:type="dxa"/>
              <w:bottom w:w="70" w:type="dxa"/>
              <w:right w:w="80" w:type="dxa"/>
            </w:tcMar>
            <w:vAlign w:val="center"/>
          </w:tcPr>
          <w:p>
            <w:pPr>
              <w:spacing w:before="0" w:after="0" w:line="240" w:lineRule="auto"/>
            </w:pPr>
            <w:r>
              <w:rPr>
                <w:sz w:val="14"/>
              </w:rPr>
              <w:t>§12.2/12.5, ADR-024</w:t>
            </w:r>
          </w:p>
        </w:tc>
        <w:tc>
          <w:tcPr>
            <w:tcW w:type="dxa" w:w="4320"/>
            <w:tcMar>
              <w:top w:w="70" w:type="dxa"/>
              <w:left w:w="80" w:type="dxa"/>
              <w:bottom w:w="70" w:type="dxa"/>
              <w:right w:w="80" w:type="dxa"/>
            </w:tcMar>
            <w:vAlign w:val="center"/>
          </w:tcPr>
          <w:p>
            <w:pPr>
              <w:spacing w:before="0" w:after="0" w:line="240" w:lineRule="auto"/>
            </w:pPr>
            <w:r>
              <w:rPr>
                <w:sz w:val="14"/>
              </w:rPr>
              <w:t>Consumer replay-safety classes and permanent dispatch dedupe guard added.</w:t>
            </w:r>
          </w:p>
        </w:tc>
      </w:tr>
      <w:tr>
        <w:tc>
          <w:tcPr>
            <w:tcW w:type="dxa" w:w="792"/>
            <w:tcMar>
              <w:top w:w="70" w:type="dxa"/>
              <w:left w:w="80" w:type="dxa"/>
              <w:bottom w:w="70" w:type="dxa"/>
              <w:right w:w="80" w:type="dxa"/>
            </w:tcMar>
            <w:vAlign w:val="center"/>
          </w:tcPr>
          <w:p>
            <w:pPr>
              <w:spacing w:before="0" w:after="0" w:line="240" w:lineRule="auto"/>
            </w:pPr>
            <w:r>
              <w:rPr>
                <w:sz w:val="14"/>
              </w:rPr>
              <w:t>P1-08</w:t>
            </w:r>
          </w:p>
        </w:tc>
        <w:tc>
          <w:tcPr>
            <w:tcW w:type="dxa" w:w="1843"/>
            <w:tcMar>
              <w:top w:w="70" w:type="dxa"/>
              <w:left w:w="80" w:type="dxa"/>
              <w:bottom w:w="70" w:type="dxa"/>
              <w:right w:w="80" w:type="dxa"/>
            </w:tcMar>
            <w:vAlign w:val="center"/>
          </w:tcPr>
          <w:p>
            <w:pPr>
              <w:spacing w:before="0" w:after="0" w:line="240" w:lineRule="auto"/>
            </w:pPr>
            <w:r>
              <w:rPr>
                <w:sz w:val="14"/>
              </w:rPr>
              <w:t>Schema registry/lag/DLQ</w:t>
            </w:r>
          </w:p>
        </w:tc>
        <w:tc>
          <w:tcPr>
            <w:tcW w:type="dxa" w:w="2044"/>
            <w:tcMar>
              <w:top w:w="70" w:type="dxa"/>
              <w:left w:w="80" w:type="dxa"/>
              <w:bottom w:w="70" w:type="dxa"/>
              <w:right w:w="80" w:type="dxa"/>
            </w:tcMar>
            <w:vAlign w:val="center"/>
          </w:tcPr>
          <w:p>
            <w:pPr>
              <w:spacing w:before="0" w:after="0" w:line="240" w:lineRule="auto"/>
            </w:pPr>
            <w:r>
              <w:rPr>
                <w:sz w:val="14"/>
              </w:rPr>
              <w:t>§12.4/12.5</w:t>
            </w:r>
          </w:p>
        </w:tc>
        <w:tc>
          <w:tcPr>
            <w:tcW w:type="dxa" w:w="4320"/>
            <w:tcMar>
              <w:top w:w="70" w:type="dxa"/>
              <w:left w:w="80" w:type="dxa"/>
              <w:bottom w:w="70" w:type="dxa"/>
              <w:right w:w="80" w:type="dxa"/>
            </w:tcMar>
            <w:vAlign w:val="center"/>
          </w:tcPr>
          <w:p>
            <w:pPr>
              <w:spacing w:before="0" w:after="0" w:line="240" w:lineRule="auto"/>
            </w:pPr>
            <w:r>
              <w:rPr>
                <w:sz w:val="14"/>
              </w:rPr>
              <w:t>Versioned JSON Schema/AsyncAPI registry, compatibility CI and backlog/staleness SLOs added.</w:t>
            </w:r>
          </w:p>
        </w:tc>
      </w:tr>
      <w:tr>
        <w:tc>
          <w:tcPr>
            <w:tcW w:type="dxa" w:w="792"/>
            <w:tcMar>
              <w:top w:w="70" w:type="dxa"/>
              <w:left w:w="80" w:type="dxa"/>
              <w:bottom w:w="70" w:type="dxa"/>
              <w:right w:w="80" w:type="dxa"/>
            </w:tcMar>
            <w:vAlign w:val="center"/>
          </w:tcPr>
          <w:p>
            <w:pPr>
              <w:spacing w:before="0" w:after="0" w:line="240" w:lineRule="auto"/>
            </w:pPr>
            <w:r>
              <w:rPr>
                <w:sz w:val="14"/>
              </w:rPr>
              <w:t>P1-09</w:t>
            </w:r>
          </w:p>
        </w:tc>
        <w:tc>
          <w:tcPr>
            <w:tcW w:type="dxa" w:w="1843"/>
            <w:tcMar>
              <w:top w:w="70" w:type="dxa"/>
              <w:left w:w="80" w:type="dxa"/>
              <w:bottom w:w="70" w:type="dxa"/>
              <w:right w:w="80" w:type="dxa"/>
            </w:tcMar>
            <w:vAlign w:val="center"/>
          </w:tcPr>
          <w:p>
            <w:pPr>
              <w:spacing w:before="0" w:after="0" w:line="240" w:lineRule="auto"/>
            </w:pPr>
            <w:r>
              <w:rPr>
                <w:sz w:val="14"/>
              </w:rPr>
              <w:t>Offline access snapshot bounds</w:t>
            </w:r>
          </w:p>
        </w:tc>
        <w:tc>
          <w:tcPr>
            <w:tcW w:type="dxa" w:w="2044"/>
            <w:tcMar>
              <w:top w:w="70" w:type="dxa"/>
              <w:left w:w="80" w:type="dxa"/>
              <w:bottom w:w="70" w:type="dxa"/>
              <w:right w:w="80" w:type="dxa"/>
            </w:tcMar>
            <w:vAlign w:val="center"/>
          </w:tcPr>
          <w:p>
            <w:pPr>
              <w:spacing w:before="0" w:after="0" w:line="240" w:lineRule="auto"/>
            </w:pPr>
            <w:r>
              <w:rPr>
                <w:sz w:val="14"/>
              </w:rPr>
              <w:t>§16.2/16.5</w:t>
            </w:r>
          </w:p>
        </w:tc>
        <w:tc>
          <w:tcPr>
            <w:tcW w:type="dxa" w:w="4320"/>
            <w:tcMar>
              <w:top w:w="70" w:type="dxa"/>
              <w:left w:w="80" w:type="dxa"/>
              <w:bottom w:w="70" w:type="dxa"/>
              <w:right w:w="80" w:type="dxa"/>
            </w:tcMar>
            <w:vAlign w:val="center"/>
          </w:tcPr>
          <w:p>
            <w:pPr>
              <w:spacing w:before="0" w:after="0" w:line="240" w:lineRule="auto"/>
            </w:pPr>
            <w:r>
              <w:rPr>
                <w:sz w:val="14"/>
              </w:rPr>
              <w:t>TTL, size envelope, delta refresh, revocation epoch, key rotation and offline anti-passback degradation defined.</w:t>
            </w:r>
          </w:p>
        </w:tc>
      </w:tr>
      <w:tr>
        <w:tc>
          <w:tcPr>
            <w:tcW w:type="dxa" w:w="792"/>
            <w:tcMar>
              <w:top w:w="70" w:type="dxa"/>
              <w:left w:w="80" w:type="dxa"/>
              <w:bottom w:w="70" w:type="dxa"/>
              <w:right w:w="80" w:type="dxa"/>
            </w:tcMar>
            <w:vAlign w:val="center"/>
          </w:tcPr>
          <w:p>
            <w:pPr>
              <w:spacing w:before="0" w:after="0" w:line="240" w:lineRule="auto"/>
            </w:pPr>
            <w:r>
              <w:rPr>
                <w:sz w:val="14"/>
              </w:rPr>
              <w:t>P1-10</w:t>
            </w:r>
          </w:p>
        </w:tc>
        <w:tc>
          <w:tcPr>
            <w:tcW w:type="dxa" w:w="1843"/>
            <w:tcMar>
              <w:top w:w="70" w:type="dxa"/>
              <w:left w:w="80" w:type="dxa"/>
              <w:bottom w:w="70" w:type="dxa"/>
              <w:right w:w="80" w:type="dxa"/>
            </w:tcMar>
            <w:vAlign w:val="center"/>
          </w:tcPr>
          <w:p>
            <w:pPr>
              <w:spacing w:before="0" w:after="0" w:line="240" w:lineRule="auto"/>
            </w:pPr>
            <w:r>
              <w:rPr>
                <w:sz w:val="14"/>
              </w:rPr>
              <w:t>Access availability arithmetic</w:t>
            </w:r>
          </w:p>
        </w:tc>
        <w:tc>
          <w:tcPr>
            <w:tcW w:type="dxa" w:w="2044"/>
            <w:tcMar>
              <w:top w:w="70" w:type="dxa"/>
              <w:left w:w="80" w:type="dxa"/>
              <w:bottom w:w="70" w:type="dxa"/>
              <w:right w:w="80" w:type="dxa"/>
            </w:tcMar>
            <w:vAlign w:val="center"/>
          </w:tcPr>
          <w:p>
            <w:pPr>
              <w:spacing w:before="0" w:after="0" w:line="240" w:lineRule="auto"/>
            </w:pPr>
            <w:r>
              <w:rPr>
                <w:sz w:val="14"/>
              </w:rPr>
              <w:t>§22.2/22.6</w:t>
            </w:r>
          </w:p>
        </w:tc>
        <w:tc>
          <w:tcPr>
            <w:tcW w:type="dxa" w:w="4320"/>
            <w:tcMar>
              <w:top w:w="70" w:type="dxa"/>
              <w:left w:w="80" w:type="dxa"/>
              <w:bottom w:w="70" w:type="dxa"/>
              <w:right w:w="80" w:type="dxa"/>
            </w:tcMar>
            <w:vAlign w:val="center"/>
          </w:tcPr>
          <w:p>
            <w:pPr>
              <w:spacing w:before="0" w:after="0" w:line="240" w:lineRule="auto"/>
            </w:pPr>
            <w:r>
              <w:rPr>
                <w:sz w:val="14"/>
              </w:rPr>
              <w:t>99.99% target explicitly applies to edge-local decision path; cloud dependencies have separate SLOs.</w:t>
            </w:r>
          </w:p>
        </w:tc>
      </w:tr>
      <w:tr>
        <w:tc>
          <w:tcPr>
            <w:tcW w:type="dxa" w:w="792"/>
            <w:tcMar>
              <w:top w:w="70" w:type="dxa"/>
              <w:left w:w="80" w:type="dxa"/>
              <w:bottom w:w="70" w:type="dxa"/>
              <w:right w:w="80" w:type="dxa"/>
            </w:tcMar>
            <w:vAlign w:val="center"/>
          </w:tcPr>
          <w:p>
            <w:pPr>
              <w:spacing w:before="0" w:after="0" w:line="240" w:lineRule="auto"/>
            </w:pPr>
            <w:r>
              <w:rPr>
                <w:sz w:val="14"/>
              </w:rPr>
              <w:t>P1-11</w:t>
            </w:r>
          </w:p>
        </w:tc>
        <w:tc>
          <w:tcPr>
            <w:tcW w:type="dxa" w:w="1843"/>
            <w:tcMar>
              <w:top w:w="70" w:type="dxa"/>
              <w:left w:w="80" w:type="dxa"/>
              <w:bottom w:w="70" w:type="dxa"/>
              <w:right w:w="80" w:type="dxa"/>
            </w:tcMar>
            <w:vAlign w:val="center"/>
          </w:tcPr>
          <w:p>
            <w:pPr>
              <w:spacing w:before="0" w:after="0" w:line="240" w:lineRule="auto"/>
            </w:pPr>
            <w:r>
              <w:rPr>
                <w:sz w:val="14"/>
              </w:rPr>
              <w:t>Continuity-tier inversions</w:t>
            </w:r>
          </w:p>
        </w:tc>
        <w:tc>
          <w:tcPr>
            <w:tcW w:type="dxa" w:w="2044"/>
            <w:tcMar>
              <w:top w:w="70" w:type="dxa"/>
              <w:left w:w="80" w:type="dxa"/>
              <w:bottom w:w="70" w:type="dxa"/>
              <w:right w:w="80" w:type="dxa"/>
            </w:tcMar>
            <w:vAlign w:val="center"/>
          </w:tcPr>
          <w:p>
            <w:pPr>
              <w:spacing w:before="0" w:after="0" w:line="240" w:lineRule="auto"/>
            </w:pPr>
            <w:r>
              <w:rPr>
                <w:sz w:val="14"/>
              </w:rPr>
              <w:t>§22.5</w:t>
            </w:r>
          </w:p>
        </w:tc>
        <w:tc>
          <w:tcPr>
            <w:tcW w:type="dxa" w:w="4320"/>
            <w:tcMar>
              <w:top w:w="70" w:type="dxa"/>
              <w:left w:w="80" w:type="dxa"/>
              <w:bottom w:w="70" w:type="dxa"/>
              <w:right w:w="80" w:type="dxa"/>
            </w:tcMar>
            <w:vAlign w:val="center"/>
          </w:tcPr>
          <w:p>
            <w:pPr>
              <w:spacing w:before="0" w:after="0" w:line="240" w:lineRule="auto"/>
            </w:pPr>
            <w:r>
              <w:rPr>
                <w:sz w:val="14"/>
              </w:rPr>
              <w:t>Dependency/degraded-mode matrix added; required foundation dependencies raised or isolated.</w:t>
            </w:r>
          </w:p>
        </w:tc>
      </w:tr>
      <w:tr>
        <w:tc>
          <w:tcPr>
            <w:tcW w:type="dxa" w:w="792"/>
            <w:tcMar>
              <w:top w:w="70" w:type="dxa"/>
              <w:left w:w="80" w:type="dxa"/>
              <w:bottom w:w="70" w:type="dxa"/>
              <w:right w:w="80" w:type="dxa"/>
            </w:tcMar>
            <w:vAlign w:val="center"/>
          </w:tcPr>
          <w:p>
            <w:pPr>
              <w:spacing w:before="0" w:after="0" w:line="240" w:lineRule="auto"/>
            </w:pPr>
            <w:r>
              <w:rPr>
                <w:sz w:val="14"/>
              </w:rPr>
              <w:t>P1-12</w:t>
            </w:r>
          </w:p>
        </w:tc>
        <w:tc>
          <w:tcPr>
            <w:tcW w:type="dxa" w:w="1843"/>
            <w:tcMar>
              <w:top w:w="70" w:type="dxa"/>
              <w:left w:w="80" w:type="dxa"/>
              <w:bottom w:w="70" w:type="dxa"/>
              <w:right w:w="80" w:type="dxa"/>
            </w:tcMar>
            <w:vAlign w:val="center"/>
          </w:tcPr>
          <w:p>
            <w:pPr>
              <w:spacing w:before="0" w:after="0" w:line="240" w:lineRule="auto"/>
            </w:pPr>
            <w:r>
              <w:rPr>
                <w:sz w:val="14"/>
              </w:rPr>
              <w:t>Phase inversions</w:t>
            </w:r>
          </w:p>
        </w:tc>
        <w:tc>
          <w:tcPr>
            <w:tcW w:type="dxa" w:w="2044"/>
            <w:tcMar>
              <w:top w:w="70" w:type="dxa"/>
              <w:left w:w="80" w:type="dxa"/>
              <w:bottom w:w="70" w:type="dxa"/>
              <w:right w:w="80" w:type="dxa"/>
            </w:tcMar>
            <w:vAlign w:val="center"/>
          </w:tcPr>
          <w:p>
            <w:pPr>
              <w:spacing w:before="0" w:after="0" w:line="240" w:lineRule="auto"/>
            </w:pPr>
            <w:r>
              <w:rPr>
                <w:sz w:val="14"/>
              </w:rPr>
              <w:t>§29.2</w:t>
            </w:r>
          </w:p>
        </w:tc>
        <w:tc>
          <w:tcPr>
            <w:tcW w:type="dxa" w:w="4320"/>
            <w:tcMar>
              <w:top w:w="70" w:type="dxa"/>
              <w:left w:w="80" w:type="dxa"/>
              <w:bottom w:w="70" w:type="dxa"/>
              <w:right w:w="80" w:type="dxa"/>
            </w:tcMar>
            <w:vAlign w:val="center"/>
          </w:tcPr>
          <w:p>
            <w:pPr>
              <w:spacing w:before="0" w:after="0" w:line="240" w:lineRule="auto"/>
            </w:pPr>
            <w:r>
              <w:rPr>
                <w:sz w:val="14"/>
              </w:rPr>
              <w:t>Pilot slices and integration/edge core split from later marketplace/fleet scope.</w:t>
            </w:r>
          </w:p>
        </w:tc>
      </w:tr>
      <w:tr>
        <w:tc>
          <w:tcPr>
            <w:tcW w:type="dxa" w:w="792"/>
            <w:tcMar>
              <w:top w:w="70" w:type="dxa"/>
              <w:left w:w="80" w:type="dxa"/>
              <w:bottom w:w="70" w:type="dxa"/>
              <w:right w:w="80" w:type="dxa"/>
            </w:tcMar>
            <w:vAlign w:val="center"/>
          </w:tcPr>
          <w:p>
            <w:pPr>
              <w:spacing w:before="0" w:after="0" w:line="240" w:lineRule="auto"/>
            </w:pPr>
            <w:r>
              <w:rPr>
                <w:sz w:val="14"/>
              </w:rPr>
              <w:t>P1-13</w:t>
            </w:r>
          </w:p>
        </w:tc>
        <w:tc>
          <w:tcPr>
            <w:tcW w:type="dxa" w:w="1843"/>
            <w:tcMar>
              <w:top w:w="70" w:type="dxa"/>
              <w:left w:w="80" w:type="dxa"/>
              <w:bottom w:w="70" w:type="dxa"/>
              <w:right w:w="80" w:type="dxa"/>
            </w:tcMar>
            <w:vAlign w:val="center"/>
          </w:tcPr>
          <w:p>
            <w:pPr>
              <w:spacing w:before="0" w:after="0" w:line="240" w:lineRule="auto"/>
            </w:pPr>
            <w:r>
              <w:rPr>
                <w:sz w:val="14"/>
              </w:rPr>
              <w:t>Control-plane separation</w:t>
            </w:r>
          </w:p>
        </w:tc>
        <w:tc>
          <w:tcPr>
            <w:tcW w:type="dxa" w:w="2044"/>
            <w:tcMar>
              <w:top w:w="70" w:type="dxa"/>
              <w:left w:w="80" w:type="dxa"/>
              <w:bottom w:w="70" w:type="dxa"/>
              <w:right w:w="80" w:type="dxa"/>
            </w:tcMar>
            <w:vAlign w:val="center"/>
          </w:tcPr>
          <w:p>
            <w:pPr>
              <w:spacing w:before="0" w:after="0" w:line="240" w:lineRule="auto"/>
            </w:pPr>
            <w:r>
              <w:rPr>
                <w:sz w:val="14"/>
              </w:rPr>
              <w:t>§6.1, §7.4, ADR-003</w:t>
            </w:r>
          </w:p>
        </w:tc>
        <w:tc>
          <w:tcPr>
            <w:tcW w:type="dxa" w:w="4320"/>
            <w:tcMar>
              <w:top w:w="70" w:type="dxa"/>
              <w:left w:w="80" w:type="dxa"/>
              <w:bottom w:w="70" w:type="dxa"/>
              <w:right w:w="80" w:type="dxa"/>
            </w:tcMar>
            <w:vAlign w:val="center"/>
          </w:tcPr>
          <w:p>
            <w:pPr>
              <w:spacing w:before="0" w:after="0" w:line="240" w:lineRule="auto"/>
            </w:pPr>
            <w:r>
              <w:rPr>
                <w:sz w:val="14"/>
              </w:rPr>
              <w:t>Separate control API and control database boundary defined.</w:t>
            </w:r>
          </w:p>
        </w:tc>
      </w:tr>
      <w:tr>
        <w:tc>
          <w:tcPr>
            <w:tcW w:type="dxa" w:w="792"/>
            <w:tcMar>
              <w:top w:w="70" w:type="dxa"/>
              <w:left w:w="80" w:type="dxa"/>
              <w:bottom w:w="70" w:type="dxa"/>
              <w:right w:w="80" w:type="dxa"/>
            </w:tcMar>
            <w:vAlign w:val="center"/>
          </w:tcPr>
          <w:p>
            <w:pPr>
              <w:spacing w:before="0" w:after="0" w:line="240" w:lineRule="auto"/>
            </w:pPr>
            <w:r>
              <w:rPr>
                <w:sz w:val="14"/>
              </w:rPr>
              <w:t>P1-14</w:t>
            </w:r>
          </w:p>
        </w:tc>
        <w:tc>
          <w:tcPr>
            <w:tcW w:type="dxa" w:w="1843"/>
            <w:tcMar>
              <w:top w:w="70" w:type="dxa"/>
              <w:left w:w="80" w:type="dxa"/>
              <w:bottom w:w="70" w:type="dxa"/>
              <w:right w:w="80" w:type="dxa"/>
            </w:tcMar>
            <w:vAlign w:val="center"/>
          </w:tcPr>
          <w:p>
            <w:pPr>
              <w:spacing w:before="0" w:after="0" w:line="240" w:lineRule="auto"/>
            </w:pPr>
            <w:r>
              <w:rPr>
                <w:sz w:val="14"/>
              </w:rPr>
              <w:t>Tenant relocation</w:t>
            </w:r>
          </w:p>
        </w:tc>
        <w:tc>
          <w:tcPr>
            <w:tcW w:type="dxa" w:w="2044"/>
            <w:tcMar>
              <w:top w:w="70" w:type="dxa"/>
              <w:left w:w="80" w:type="dxa"/>
              <w:bottom w:w="70" w:type="dxa"/>
              <w:right w:w="80" w:type="dxa"/>
            </w:tcMar>
            <w:vAlign w:val="center"/>
          </w:tcPr>
          <w:p>
            <w:pPr>
              <w:spacing w:before="0" w:after="0" w:line="240" w:lineRule="auto"/>
            </w:pPr>
            <w:r>
              <w:rPr>
                <w:sz w:val="14"/>
              </w:rPr>
              <w:t>§7.5/25.4</w:t>
            </w:r>
          </w:p>
        </w:tc>
        <w:tc>
          <w:tcPr>
            <w:tcW w:type="dxa" w:w="4320"/>
            <w:tcMar>
              <w:top w:w="70" w:type="dxa"/>
              <w:left w:w="80" w:type="dxa"/>
              <w:bottom w:w="70" w:type="dxa"/>
              <w:right w:w="80" w:type="dxa"/>
            </w:tcMar>
            <w:vAlign w:val="center"/>
          </w:tcPr>
          <w:p>
            <w:pPr>
              <w:spacing w:before="0" w:after="0" w:line="240" w:lineRule="auto"/>
            </w:pPr>
            <w:r>
              <w:rPr>
                <w:sz w:val="14"/>
              </w:rPr>
              <w:t>Freeze-copy-verify-switch-reconcile workflow added.</w:t>
            </w:r>
          </w:p>
        </w:tc>
      </w:tr>
      <w:tr>
        <w:tc>
          <w:tcPr>
            <w:tcW w:type="dxa" w:w="792"/>
            <w:tcMar>
              <w:top w:w="70" w:type="dxa"/>
              <w:left w:w="80" w:type="dxa"/>
              <w:bottom w:w="70" w:type="dxa"/>
              <w:right w:w="80" w:type="dxa"/>
            </w:tcMar>
            <w:vAlign w:val="center"/>
          </w:tcPr>
          <w:p>
            <w:pPr>
              <w:spacing w:before="0" w:after="0" w:line="240" w:lineRule="auto"/>
            </w:pPr>
            <w:r>
              <w:rPr>
                <w:sz w:val="14"/>
              </w:rPr>
              <w:t>P1-15</w:t>
            </w:r>
          </w:p>
        </w:tc>
        <w:tc>
          <w:tcPr>
            <w:tcW w:type="dxa" w:w="1843"/>
            <w:tcMar>
              <w:top w:w="70" w:type="dxa"/>
              <w:left w:w="80" w:type="dxa"/>
              <w:bottom w:w="70" w:type="dxa"/>
              <w:right w:w="80" w:type="dxa"/>
            </w:tcMar>
            <w:vAlign w:val="center"/>
          </w:tcPr>
          <w:p>
            <w:pPr>
              <w:spacing w:before="0" w:after="0" w:line="240" w:lineRule="auto"/>
            </w:pPr>
            <w:r>
              <w:rPr>
                <w:sz w:val="14"/>
              </w:rPr>
              <w:t>Role/permission catalog</w:t>
            </w:r>
          </w:p>
        </w:tc>
        <w:tc>
          <w:tcPr>
            <w:tcW w:type="dxa" w:w="2044"/>
            <w:tcMar>
              <w:top w:w="70" w:type="dxa"/>
              <w:left w:w="80" w:type="dxa"/>
              <w:bottom w:w="70" w:type="dxa"/>
              <w:right w:w="80" w:type="dxa"/>
            </w:tcMar>
            <w:vAlign w:val="center"/>
          </w:tcPr>
          <w:p>
            <w:pPr>
              <w:spacing w:before="0" w:after="0" w:line="240" w:lineRule="auto"/>
            </w:pPr>
            <w:r>
              <w:rPr>
                <w:sz w:val="14"/>
              </w:rPr>
              <w:t>§8.4</w:t>
            </w:r>
          </w:p>
        </w:tc>
        <w:tc>
          <w:tcPr>
            <w:tcW w:type="dxa" w:w="4320"/>
            <w:tcMar>
              <w:top w:w="70" w:type="dxa"/>
              <w:left w:w="80" w:type="dxa"/>
              <w:bottom w:w="70" w:type="dxa"/>
              <w:right w:w="80" w:type="dxa"/>
            </w:tcMar>
            <w:vAlign w:val="center"/>
          </w:tcPr>
          <w:p>
            <w:pPr>
              <w:spacing w:before="0" w:after="0" w:line="240" w:lineRule="auto"/>
            </w:pPr>
            <w:r>
              <w:rPr>
                <w:sz w:val="14"/>
              </w:rPr>
              <w:t>Blueprint role catalog and baseline permission matrix imported and bound to action/resource/scope grammar.</w:t>
            </w:r>
          </w:p>
        </w:tc>
      </w:tr>
      <w:tr>
        <w:tc>
          <w:tcPr>
            <w:tcW w:type="dxa" w:w="792"/>
            <w:tcMar>
              <w:top w:w="70" w:type="dxa"/>
              <w:left w:w="80" w:type="dxa"/>
              <w:bottom w:w="70" w:type="dxa"/>
              <w:right w:w="80" w:type="dxa"/>
            </w:tcMar>
            <w:vAlign w:val="center"/>
          </w:tcPr>
          <w:p>
            <w:pPr>
              <w:spacing w:before="0" w:after="0" w:line="240" w:lineRule="auto"/>
            </w:pPr>
            <w:r>
              <w:rPr>
                <w:sz w:val="14"/>
              </w:rPr>
              <w:t>P1-16</w:t>
            </w:r>
          </w:p>
        </w:tc>
        <w:tc>
          <w:tcPr>
            <w:tcW w:type="dxa" w:w="1843"/>
            <w:tcMar>
              <w:top w:w="70" w:type="dxa"/>
              <w:left w:w="80" w:type="dxa"/>
              <w:bottom w:w="70" w:type="dxa"/>
              <w:right w:w="80" w:type="dxa"/>
            </w:tcMar>
            <w:vAlign w:val="center"/>
          </w:tcPr>
          <w:p>
            <w:pPr>
              <w:spacing w:before="0" w:after="0" w:line="240" w:lineRule="auto"/>
            </w:pPr>
            <w:r>
              <w:rPr>
                <w:sz w:val="14"/>
              </w:rPr>
              <w:t>Key lifecycle</w:t>
            </w:r>
          </w:p>
        </w:tc>
        <w:tc>
          <w:tcPr>
            <w:tcW w:type="dxa" w:w="2044"/>
            <w:tcMar>
              <w:top w:w="70" w:type="dxa"/>
              <w:left w:w="80" w:type="dxa"/>
              <w:bottom w:w="70" w:type="dxa"/>
              <w:right w:w="80" w:type="dxa"/>
            </w:tcMar>
            <w:vAlign w:val="center"/>
          </w:tcPr>
          <w:p>
            <w:pPr>
              <w:spacing w:before="0" w:after="0" w:line="240" w:lineRule="auto"/>
            </w:pPr>
            <w:r>
              <w:rPr>
                <w:sz w:val="14"/>
              </w:rPr>
              <w:t>§21.1</w:t>
            </w:r>
          </w:p>
        </w:tc>
        <w:tc>
          <w:tcPr>
            <w:tcW w:type="dxa" w:w="4320"/>
            <w:tcMar>
              <w:top w:w="70" w:type="dxa"/>
              <w:left w:w="80" w:type="dxa"/>
              <w:bottom w:w="70" w:type="dxa"/>
              <w:right w:w="80" w:type="dxa"/>
            </w:tcMar>
            <w:vAlign w:val="center"/>
          </w:tcPr>
          <w:p>
            <w:pPr>
              <w:spacing w:before="0" w:after="0" w:line="240" w:lineRule="auto"/>
            </w:pPr>
            <w:r>
              <w:rPr>
                <w:sz w:val="14"/>
              </w:rPr>
              <w:t>Key hierarchy, rotation and re-encryption/crypto-shred paths specified.</w:t>
            </w:r>
          </w:p>
        </w:tc>
      </w:tr>
      <w:tr>
        <w:tc>
          <w:tcPr>
            <w:tcW w:type="dxa" w:w="792"/>
            <w:tcMar>
              <w:top w:w="70" w:type="dxa"/>
              <w:left w:w="80" w:type="dxa"/>
              <w:bottom w:w="70" w:type="dxa"/>
              <w:right w:w="80" w:type="dxa"/>
            </w:tcMar>
            <w:vAlign w:val="center"/>
          </w:tcPr>
          <w:p>
            <w:pPr>
              <w:spacing w:before="0" w:after="0" w:line="240" w:lineRule="auto"/>
            </w:pPr>
            <w:r>
              <w:rPr>
                <w:sz w:val="14"/>
              </w:rPr>
              <w:t>P1-17</w:t>
            </w:r>
          </w:p>
        </w:tc>
        <w:tc>
          <w:tcPr>
            <w:tcW w:type="dxa" w:w="1843"/>
            <w:tcMar>
              <w:top w:w="70" w:type="dxa"/>
              <w:left w:w="80" w:type="dxa"/>
              <w:bottom w:w="70" w:type="dxa"/>
              <w:right w:w="80" w:type="dxa"/>
            </w:tcMar>
            <w:vAlign w:val="center"/>
          </w:tcPr>
          <w:p>
            <w:pPr>
              <w:spacing w:before="0" w:after="0" w:line="240" w:lineRule="auto"/>
            </w:pPr>
            <w:r>
              <w:rPr>
                <w:sz w:val="14"/>
              </w:rPr>
              <w:t>Masked API representation</w:t>
            </w:r>
          </w:p>
        </w:tc>
        <w:tc>
          <w:tcPr>
            <w:tcW w:type="dxa" w:w="2044"/>
            <w:tcMar>
              <w:top w:w="70" w:type="dxa"/>
              <w:left w:w="80" w:type="dxa"/>
              <w:bottom w:w="70" w:type="dxa"/>
              <w:right w:w="80" w:type="dxa"/>
            </w:tcMar>
            <w:vAlign w:val="center"/>
          </w:tcPr>
          <w:p>
            <w:pPr>
              <w:spacing w:before="0" w:after="0" w:line="240" w:lineRule="auto"/>
            </w:pPr>
            <w:r>
              <w:rPr>
                <w:sz w:val="14"/>
              </w:rPr>
              <w:t>§11.6</w:t>
            </w:r>
          </w:p>
        </w:tc>
        <w:tc>
          <w:tcPr>
            <w:tcW w:type="dxa" w:w="4320"/>
            <w:tcMar>
              <w:top w:w="70" w:type="dxa"/>
              <w:left w:w="80" w:type="dxa"/>
              <w:bottom w:w="70" w:type="dxa"/>
              <w:right w:w="80" w:type="dxa"/>
            </w:tcMar>
            <w:vAlign w:val="center"/>
          </w:tcPr>
          <w:p>
            <w:pPr>
              <w:spacing w:before="0" w:after="0" w:line="240" w:lineRule="auto"/>
            </w:pPr>
            <w:r>
              <w:rPr>
                <w:sz w:val="14"/>
              </w:rPr>
              <w:t>Masked field envelope and cache-vary rules defined.</w:t>
            </w:r>
          </w:p>
        </w:tc>
      </w:tr>
      <w:tr>
        <w:tc>
          <w:tcPr>
            <w:tcW w:type="dxa" w:w="792"/>
            <w:tcMar>
              <w:top w:w="70" w:type="dxa"/>
              <w:left w:w="80" w:type="dxa"/>
              <w:bottom w:w="70" w:type="dxa"/>
              <w:right w:w="80" w:type="dxa"/>
            </w:tcMar>
            <w:vAlign w:val="center"/>
          </w:tcPr>
          <w:p>
            <w:pPr>
              <w:spacing w:before="0" w:after="0" w:line="240" w:lineRule="auto"/>
            </w:pPr>
            <w:r>
              <w:rPr>
                <w:sz w:val="14"/>
              </w:rPr>
              <w:t>P1-18</w:t>
            </w:r>
          </w:p>
        </w:tc>
        <w:tc>
          <w:tcPr>
            <w:tcW w:type="dxa" w:w="1843"/>
            <w:tcMar>
              <w:top w:w="70" w:type="dxa"/>
              <w:left w:w="80" w:type="dxa"/>
              <w:bottom w:w="70" w:type="dxa"/>
              <w:right w:w="80" w:type="dxa"/>
            </w:tcMar>
            <w:vAlign w:val="center"/>
          </w:tcPr>
          <w:p>
            <w:pPr>
              <w:spacing w:before="0" w:after="0" w:line="240" w:lineRule="auto"/>
            </w:pPr>
            <w:r>
              <w:rPr>
                <w:sz w:val="14"/>
              </w:rPr>
              <w:t>Webhook mapping</w:t>
            </w:r>
          </w:p>
        </w:tc>
        <w:tc>
          <w:tcPr>
            <w:tcW w:type="dxa" w:w="2044"/>
            <w:tcMar>
              <w:top w:w="70" w:type="dxa"/>
              <w:left w:w="80" w:type="dxa"/>
              <w:bottom w:w="70" w:type="dxa"/>
              <w:right w:w="80" w:type="dxa"/>
            </w:tcMar>
            <w:vAlign w:val="center"/>
          </w:tcPr>
          <w:p>
            <w:pPr>
              <w:spacing w:before="0" w:after="0" w:line="240" w:lineRule="auto"/>
            </w:pPr>
            <w:r>
              <w:rPr>
                <w:sz w:val="14"/>
              </w:rPr>
              <w:t>§11.7</w:t>
            </w:r>
          </w:p>
        </w:tc>
        <w:tc>
          <w:tcPr>
            <w:tcW w:type="dxa" w:w="4320"/>
            <w:tcMar>
              <w:top w:w="70" w:type="dxa"/>
              <w:left w:w="80" w:type="dxa"/>
              <w:bottom w:w="70" w:type="dxa"/>
              <w:right w:w="80" w:type="dxa"/>
            </w:tcMar>
            <w:vAlign w:val="center"/>
          </w:tcPr>
          <w:p>
            <w:pPr>
              <w:spacing w:before="0" w:after="0" w:line="240" w:lineRule="auto"/>
            </w:pPr>
            <w:r>
              <w:rPr>
                <w:sz w:val="14"/>
              </w:rPr>
              <w:t>Separate public event contract and internal-to-public projection rules defined.</w:t>
            </w:r>
          </w:p>
        </w:tc>
      </w:tr>
      <w:tr>
        <w:tc>
          <w:tcPr>
            <w:tcW w:type="dxa" w:w="792"/>
            <w:tcMar>
              <w:top w:w="70" w:type="dxa"/>
              <w:left w:w="80" w:type="dxa"/>
              <w:bottom w:w="70" w:type="dxa"/>
              <w:right w:w="80" w:type="dxa"/>
            </w:tcMar>
            <w:vAlign w:val="center"/>
          </w:tcPr>
          <w:p>
            <w:pPr>
              <w:spacing w:before="0" w:after="0" w:line="240" w:lineRule="auto"/>
            </w:pPr>
            <w:r>
              <w:rPr>
                <w:sz w:val="14"/>
              </w:rPr>
              <w:t>P1-19</w:t>
            </w:r>
          </w:p>
        </w:tc>
        <w:tc>
          <w:tcPr>
            <w:tcW w:type="dxa" w:w="1843"/>
            <w:tcMar>
              <w:top w:w="70" w:type="dxa"/>
              <w:left w:w="80" w:type="dxa"/>
              <w:bottom w:w="70" w:type="dxa"/>
              <w:right w:w="80" w:type="dxa"/>
            </w:tcMar>
            <w:vAlign w:val="center"/>
          </w:tcPr>
          <w:p>
            <w:pPr>
              <w:spacing w:before="0" w:after="0" w:line="240" w:lineRule="auto"/>
            </w:pPr>
            <w:r>
              <w:rPr>
                <w:sz w:val="14"/>
              </w:rPr>
              <w:t>Workflow isolation/privacy</w:t>
            </w:r>
          </w:p>
        </w:tc>
        <w:tc>
          <w:tcPr>
            <w:tcW w:type="dxa" w:w="2044"/>
            <w:tcMar>
              <w:top w:w="70" w:type="dxa"/>
              <w:left w:w="80" w:type="dxa"/>
              <w:bottom w:w="70" w:type="dxa"/>
              <w:right w:w="80" w:type="dxa"/>
            </w:tcMar>
            <w:vAlign w:val="center"/>
          </w:tcPr>
          <w:p>
            <w:pPr>
              <w:spacing w:before="0" w:after="0" w:line="240" w:lineRule="auto"/>
            </w:pPr>
            <w:r>
              <w:rPr>
                <w:sz w:val="14"/>
              </w:rPr>
              <w:t>§13.3</w:t>
            </w:r>
          </w:p>
        </w:tc>
        <w:tc>
          <w:tcPr>
            <w:tcW w:type="dxa" w:w="4320"/>
            <w:tcMar>
              <w:top w:w="70" w:type="dxa"/>
              <w:left w:w="80" w:type="dxa"/>
              <w:bottom w:w="70" w:type="dxa"/>
              <w:right w:w="80" w:type="dxa"/>
            </w:tcMar>
            <w:vAlign w:val="center"/>
          </w:tcPr>
          <w:p>
            <w:pPr>
              <w:spacing w:before="0" w:after="0" w:line="240" w:lineRule="auto"/>
            </w:pPr>
            <w:r>
              <w:rPr>
                <w:sz w:val="14"/>
              </w:rPr>
              <w:t>Workflow state is tenant-bound, reference-only for Restricted data, with bounded history retention.</w:t>
            </w:r>
          </w:p>
        </w:tc>
      </w:tr>
      <w:tr>
        <w:tc>
          <w:tcPr>
            <w:tcW w:type="dxa" w:w="792"/>
            <w:tcMar>
              <w:top w:w="70" w:type="dxa"/>
              <w:left w:w="80" w:type="dxa"/>
              <w:bottom w:w="70" w:type="dxa"/>
              <w:right w:w="80" w:type="dxa"/>
            </w:tcMar>
            <w:vAlign w:val="center"/>
          </w:tcPr>
          <w:p>
            <w:pPr>
              <w:spacing w:before="0" w:after="0" w:line="240" w:lineRule="auto"/>
            </w:pPr>
            <w:r>
              <w:rPr>
                <w:sz w:val="14"/>
              </w:rPr>
              <w:t>P1-20</w:t>
            </w:r>
          </w:p>
        </w:tc>
        <w:tc>
          <w:tcPr>
            <w:tcW w:type="dxa" w:w="1843"/>
            <w:tcMar>
              <w:top w:w="70" w:type="dxa"/>
              <w:left w:w="80" w:type="dxa"/>
              <w:bottom w:w="70" w:type="dxa"/>
              <w:right w:w="80" w:type="dxa"/>
            </w:tcMar>
            <w:vAlign w:val="center"/>
          </w:tcPr>
          <w:p>
            <w:pPr>
              <w:spacing w:before="0" w:after="0" w:line="240" w:lineRule="auto"/>
            </w:pPr>
            <w:r>
              <w:rPr>
                <w:sz w:val="14"/>
              </w:rPr>
              <w:t>AI operations controls</w:t>
            </w:r>
          </w:p>
        </w:tc>
        <w:tc>
          <w:tcPr>
            <w:tcW w:type="dxa" w:w="2044"/>
            <w:tcMar>
              <w:top w:w="70" w:type="dxa"/>
              <w:left w:w="80" w:type="dxa"/>
              <w:bottom w:w="70" w:type="dxa"/>
              <w:right w:w="80" w:type="dxa"/>
            </w:tcMar>
            <w:vAlign w:val="center"/>
          </w:tcPr>
          <w:p>
            <w:pPr>
              <w:spacing w:before="0" w:after="0" w:line="240" w:lineRule="auto"/>
            </w:pPr>
            <w:r>
              <w:rPr>
                <w:sz w:val="14"/>
              </w:rPr>
              <w:t>§19.3/19.4</w:t>
            </w:r>
          </w:p>
        </w:tc>
        <w:tc>
          <w:tcPr>
            <w:tcW w:type="dxa" w:w="4320"/>
            <w:tcMar>
              <w:top w:w="70" w:type="dxa"/>
              <w:left w:w="80" w:type="dxa"/>
              <w:bottom w:w="70" w:type="dxa"/>
              <w:right w:w="80" w:type="dxa"/>
            </w:tcMar>
            <w:vAlign w:val="center"/>
          </w:tcPr>
          <w:p>
            <w:pPr>
              <w:spacing w:before="0" w:after="0" w:line="240" w:lineRule="auto"/>
            </w:pPr>
            <w:r>
              <w:rPr>
                <w:sz w:val="14"/>
              </w:rPr>
              <w:t>Prompt/model versions, drift, red-team, rollback, provider no-training/no-retention and tenant boundary added.</w:t>
            </w:r>
          </w:p>
        </w:tc>
      </w:tr>
      <w:tr>
        <w:tc>
          <w:tcPr>
            <w:tcW w:type="dxa" w:w="792"/>
            <w:tcMar>
              <w:top w:w="70" w:type="dxa"/>
              <w:left w:w="80" w:type="dxa"/>
              <w:bottom w:w="70" w:type="dxa"/>
              <w:right w:w="80" w:type="dxa"/>
            </w:tcMar>
            <w:vAlign w:val="center"/>
          </w:tcPr>
          <w:p>
            <w:pPr>
              <w:spacing w:before="0" w:after="0" w:line="240" w:lineRule="auto"/>
            </w:pPr>
            <w:r>
              <w:rPr>
                <w:sz w:val="14"/>
              </w:rPr>
              <w:t>P1-21</w:t>
            </w:r>
          </w:p>
        </w:tc>
        <w:tc>
          <w:tcPr>
            <w:tcW w:type="dxa" w:w="1843"/>
            <w:tcMar>
              <w:top w:w="70" w:type="dxa"/>
              <w:left w:w="80" w:type="dxa"/>
              <w:bottom w:w="70" w:type="dxa"/>
              <w:right w:w="80" w:type="dxa"/>
            </w:tcMar>
            <w:vAlign w:val="center"/>
          </w:tcPr>
          <w:p>
            <w:pPr>
              <w:spacing w:before="0" w:after="0" w:line="240" w:lineRule="auto"/>
            </w:pPr>
            <w:r>
              <w:rPr>
                <w:sz w:val="14"/>
              </w:rPr>
              <w:t>Nutrition safety</w:t>
            </w:r>
          </w:p>
        </w:tc>
        <w:tc>
          <w:tcPr>
            <w:tcW w:type="dxa" w:w="2044"/>
            <w:tcMar>
              <w:top w:w="70" w:type="dxa"/>
              <w:left w:w="80" w:type="dxa"/>
              <w:bottom w:w="70" w:type="dxa"/>
              <w:right w:w="80" w:type="dxa"/>
            </w:tcMar>
            <w:vAlign w:val="center"/>
          </w:tcPr>
          <w:p>
            <w:pPr>
              <w:spacing w:before="0" w:after="0" w:line="240" w:lineRule="auto"/>
            </w:pPr>
            <w:r>
              <w:rPr>
                <w:sz w:val="14"/>
              </w:rPr>
              <w:t>§17.3</w:t>
            </w:r>
          </w:p>
        </w:tc>
        <w:tc>
          <w:tcPr>
            <w:tcW w:type="dxa" w:w="4320"/>
            <w:tcMar>
              <w:top w:w="70" w:type="dxa"/>
              <w:left w:w="80" w:type="dxa"/>
              <w:bottom w:w="70" w:type="dxa"/>
              <w:right w:w="80" w:type="dxa"/>
            </w:tcMar>
            <w:vAlign w:val="center"/>
          </w:tcPr>
          <w:p>
            <w:pPr>
              <w:spacing w:before="0" w:after="0" w:line="240" w:lineRule="auto"/>
            </w:pPr>
            <w:r>
              <w:rPr>
                <w:sz w:val="14"/>
              </w:rPr>
              <w:t>Versioned allergen/constraint validation blocks publish/swap/AI suggestion; audited qualified override only.</w:t>
            </w:r>
          </w:p>
        </w:tc>
      </w:tr>
      <w:tr>
        <w:tc>
          <w:tcPr>
            <w:tcW w:type="dxa" w:w="792"/>
            <w:tcMar>
              <w:top w:w="70" w:type="dxa"/>
              <w:left w:w="80" w:type="dxa"/>
              <w:bottom w:w="70" w:type="dxa"/>
              <w:right w:w="80" w:type="dxa"/>
            </w:tcMar>
            <w:vAlign w:val="center"/>
          </w:tcPr>
          <w:p>
            <w:pPr>
              <w:spacing w:before="0" w:after="0" w:line="240" w:lineRule="auto"/>
            </w:pPr>
            <w:r>
              <w:rPr>
                <w:sz w:val="14"/>
              </w:rPr>
              <w:t>P1-22</w:t>
            </w:r>
          </w:p>
        </w:tc>
        <w:tc>
          <w:tcPr>
            <w:tcW w:type="dxa" w:w="1843"/>
            <w:tcMar>
              <w:top w:w="70" w:type="dxa"/>
              <w:left w:w="80" w:type="dxa"/>
              <w:bottom w:w="70" w:type="dxa"/>
              <w:right w:w="80" w:type="dxa"/>
            </w:tcMar>
            <w:vAlign w:val="center"/>
          </w:tcPr>
          <w:p>
            <w:pPr>
              <w:spacing w:before="0" w:after="0" w:line="240" w:lineRule="auto"/>
            </w:pPr>
            <w:r>
              <w:rPr>
                <w:sz w:val="14"/>
              </w:rPr>
              <w:t>QR anti-replay</w:t>
            </w:r>
          </w:p>
        </w:tc>
        <w:tc>
          <w:tcPr>
            <w:tcW w:type="dxa" w:w="2044"/>
            <w:tcMar>
              <w:top w:w="70" w:type="dxa"/>
              <w:left w:w="80" w:type="dxa"/>
              <w:bottom w:w="70" w:type="dxa"/>
              <w:right w:w="80" w:type="dxa"/>
            </w:tcMar>
            <w:vAlign w:val="center"/>
          </w:tcPr>
          <w:p>
            <w:pPr>
              <w:spacing w:before="0" w:after="0" w:line="240" w:lineRule="auto"/>
            </w:pPr>
            <w:r>
              <w:rPr>
                <w:sz w:val="14"/>
              </w:rPr>
              <w:t>§16.5</w:t>
            </w:r>
          </w:p>
        </w:tc>
        <w:tc>
          <w:tcPr>
            <w:tcW w:type="dxa" w:w="4320"/>
            <w:tcMar>
              <w:top w:w="70" w:type="dxa"/>
              <w:left w:w="80" w:type="dxa"/>
              <w:bottom w:w="70" w:type="dxa"/>
              <w:right w:w="80" w:type="dxa"/>
            </w:tcMar>
            <w:vAlign w:val="center"/>
          </w:tcPr>
          <w:p>
            <w:pPr>
              <w:spacing w:before="0" w:after="0" w:line="240" w:lineRule="auto"/>
            </w:pPr>
            <w:r>
              <w:rPr>
                <w:sz w:val="14"/>
              </w:rPr>
              <w:t>Short-lived signed rotating credential, clock tolerance, replay cache and device binding defined.</w:t>
            </w:r>
          </w:p>
        </w:tc>
      </w:tr>
      <w:tr>
        <w:tc>
          <w:tcPr>
            <w:tcW w:type="dxa" w:w="792"/>
            <w:tcMar>
              <w:top w:w="70" w:type="dxa"/>
              <w:left w:w="80" w:type="dxa"/>
              <w:bottom w:w="70" w:type="dxa"/>
              <w:right w:w="80" w:type="dxa"/>
            </w:tcMar>
            <w:vAlign w:val="center"/>
          </w:tcPr>
          <w:p>
            <w:pPr>
              <w:spacing w:before="0" w:after="0" w:line="240" w:lineRule="auto"/>
            </w:pPr>
            <w:r>
              <w:rPr>
                <w:sz w:val="14"/>
              </w:rPr>
              <w:t>P1-23</w:t>
            </w:r>
          </w:p>
        </w:tc>
        <w:tc>
          <w:tcPr>
            <w:tcW w:type="dxa" w:w="1843"/>
            <w:tcMar>
              <w:top w:w="70" w:type="dxa"/>
              <w:left w:w="80" w:type="dxa"/>
              <w:bottom w:w="70" w:type="dxa"/>
              <w:right w:w="80" w:type="dxa"/>
            </w:tcMar>
            <w:vAlign w:val="center"/>
          </w:tcPr>
          <w:p>
            <w:pPr>
              <w:spacing w:before="0" w:after="0" w:line="240" w:lineRule="auto"/>
            </w:pPr>
            <w:r>
              <w:rPr>
                <w:sz w:val="14"/>
              </w:rPr>
              <w:t>CMP iOS qualification timing</w:t>
            </w:r>
          </w:p>
        </w:tc>
        <w:tc>
          <w:tcPr>
            <w:tcW w:type="dxa" w:w="2044"/>
            <w:tcMar>
              <w:top w:w="70" w:type="dxa"/>
              <w:left w:w="80" w:type="dxa"/>
              <w:bottom w:w="70" w:type="dxa"/>
              <w:right w:w="80" w:type="dxa"/>
            </w:tcMar>
            <w:vAlign w:val="center"/>
          </w:tcPr>
          <w:p>
            <w:pPr>
              <w:spacing w:before="0" w:after="0" w:line="240" w:lineRule="auto"/>
            </w:pPr>
            <w:r>
              <w:rPr>
                <w:sz w:val="14"/>
              </w:rPr>
              <w:t>§5.8/30</w:t>
            </w:r>
          </w:p>
        </w:tc>
        <w:tc>
          <w:tcPr>
            <w:tcW w:type="dxa" w:w="4320"/>
            <w:tcMar>
              <w:top w:w="70" w:type="dxa"/>
              <w:left w:w="80" w:type="dxa"/>
              <w:bottom w:w="70" w:type="dxa"/>
              <w:right w:w="80" w:type="dxa"/>
            </w:tcMar>
            <w:vAlign w:val="center"/>
          </w:tcPr>
          <w:p>
            <w:pPr>
              <w:spacing w:before="0" w:after="0" w:line="240" w:lineRule="auto"/>
            </w:pPr>
            <w:r>
              <w:rPr>
                <w:sz w:val="14"/>
              </w:rPr>
              <w:t>Foundation spike with pass/fail bar and native escape-hatch fallback moved before feature commitment.</w:t>
            </w:r>
          </w:p>
        </w:tc>
      </w:tr>
      <w:tr>
        <w:tc>
          <w:tcPr>
            <w:tcW w:type="dxa" w:w="792"/>
            <w:tcMar>
              <w:top w:w="70" w:type="dxa"/>
              <w:left w:w="80" w:type="dxa"/>
              <w:bottom w:w="70" w:type="dxa"/>
              <w:right w:w="80" w:type="dxa"/>
            </w:tcMar>
            <w:vAlign w:val="center"/>
          </w:tcPr>
          <w:p>
            <w:pPr>
              <w:spacing w:before="0" w:after="0" w:line="240" w:lineRule="auto"/>
            </w:pPr>
            <w:r>
              <w:rPr>
                <w:sz w:val="14"/>
              </w:rPr>
              <w:t>P1-24</w:t>
            </w:r>
          </w:p>
        </w:tc>
        <w:tc>
          <w:tcPr>
            <w:tcW w:type="dxa" w:w="1843"/>
            <w:tcMar>
              <w:top w:w="70" w:type="dxa"/>
              <w:left w:w="80" w:type="dxa"/>
              <w:bottom w:w="70" w:type="dxa"/>
              <w:right w:w="80" w:type="dxa"/>
            </w:tcMar>
            <w:vAlign w:val="center"/>
          </w:tcPr>
          <w:p>
            <w:pPr>
              <w:spacing w:before="0" w:after="0" w:line="240" w:lineRule="auto"/>
            </w:pPr>
            <w:r>
              <w:rPr>
                <w:sz w:val="14"/>
              </w:rPr>
              <w:t>Capacity/cost model</w:t>
            </w:r>
          </w:p>
        </w:tc>
        <w:tc>
          <w:tcPr>
            <w:tcW w:type="dxa" w:w="2044"/>
            <w:tcMar>
              <w:top w:w="70" w:type="dxa"/>
              <w:left w:w="80" w:type="dxa"/>
              <w:bottom w:w="70" w:type="dxa"/>
              <w:right w:w="80" w:type="dxa"/>
            </w:tcMar>
            <w:vAlign w:val="center"/>
          </w:tcPr>
          <w:p>
            <w:pPr>
              <w:spacing w:before="0" w:after="0" w:line="240" w:lineRule="auto"/>
            </w:pPr>
            <w:r>
              <w:rPr>
                <w:sz w:val="14"/>
              </w:rPr>
              <w:t>§22.4/22.7, Appendix H</w:t>
            </w:r>
          </w:p>
        </w:tc>
        <w:tc>
          <w:tcPr>
            <w:tcW w:type="dxa" w:w="4320"/>
            <w:tcMar>
              <w:top w:w="70" w:type="dxa"/>
              <w:left w:w="80" w:type="dxa"/>
              <w:bottom w:w="70" w:type="dxa"/>
              <w:right w:w="80" w:type="dxa"/>
            </w:tcMar>
            <w:vAlign w:val="center"/>
          </w:tcPr>
          <w:p>
            <w:pPr>
              <w:spacing w:before="0" w:after="0" w:line="240" w:lineRule="auto"/>
            </w:pPr>
            <w:r>
              <w:rPr>
                <w:sz w:val="14"/>
              </w:rPr>
              <w:t>V1 sizing, partitioning/retention and planning cost envelope added.</w:t>
            </w:r>
          </w:p>
        </w:tc>
      </w:tr>
      <w:tr>
        <w:tc>
          <w:tcPr>
            <w:tcW w:type="dxa" w:w="792"/>
            <w:vAlign w:val="center"/>
          </w:tcPr>
          <w:p>
            <w:pPr>
              <w:spacing w:before="0" w:after="0" w:line="240" w:lineRule="auto"/>
            </w:pPr>
            <w:r>
              <w:rPr>
                <w:sz w:val="14"/>
              </w:rPr>
              <w:t>P1-A</w:t>
            </w:r>
          </w:p>
        </w:tc>
        <w:tc>
          <w:tcPr>
            <w:tcW w:type="dxa" w:w="1843"/>
            <w:vAlign w:val="center"/>
          </w:tcPr>
          <w:p>
            <w:pPr>
              <w:spacing w:before="0" w:after="0" w:line="240" w:lineRule="auto"/>
            </w:pPr>
            <w:r>
              <w:rPr>
                <w:sz w:val="14"/>
              </w:rPr>
              <w:t>Event ordering contract vs V1 transport</w:t>
            </w:r>
          </w:p>
        </w:tc>
        <w:tc>
          <w:tcPr>
            <w:tcW w:type="dxa" w:w="2044"/>
            <w:vAlign w:val="center"/>
          </w:tcPr>
          <w:p>
            <w:r>
              <w:t>ADR-005, §12.3/12.4, §27.1</w:t>
            </w:r>
          </w:p>
        </w:tc>
        <w:tc>
          <w:tcPr>
            <w:tcW w:type="dxa" w:w="4320"/>
            <w:vAlign w:val="center"/>
          </w:tcPr>
          <w:p>
            <w:pPr>
              <w:spacing w:before="0" w:after="0" w:line="240" w:lineRule="auto"/>
            </w:pPr>
            <w:r>
              <w:rPr>
                <w:sz w:val="14"/>
              </w:rPr>
              <w:t>Removed transport ordering guarantee. Consumers converge by aggregate_version under shuffled/duplicate/delayed delivery; standard EventBridge/SNS/SQS ordering is never assumed.</w:t>
            </w:r>
          </w:p>
        </w:tc>
      </w:tr>
      <w:tr>
        <w:tc>
          <w:tcPr>
            <w:tcW w:type="dxa" w:w="792"/>
            <w:vAlign w:val="center"/>
          </w:tcPr>
          <w:p>
            <w:pPr>
              <w:spacing w:before="0" w:after="0" w:line="240" w:lineRule="auto"/>
            </w:pPr>
            <w:r>
              <w:rPr>
                <w:sz w:val="14"/>
              </w:rPr>
              <w:t>P1-B</w:t>
            </w:r>
          </w:p>
        </w:tc>
        <w:tc>
          <w:tcPr>
            <w:tcW w:type="dxa" w:w="1843"/>
            <w:vAlign w:val="center"/>
          </w:tcPr>
          <w:p>
            <w:pPr>
              <w:spacing w:before="0" w:after="0" w:line="240" w:lineRule="auto"/>
            </w:pPr>
            <w:r>
              <w:rPr>
                <w:sz w:val="14"/>
              </w:rPr>
              <w:t>B2B-01/B2B-02 mis-assigned implementation contracts</w:t>
            </w:r>
          </w:p>
        </w:tc>
        <w:tc>
          <w:tcPr>
            <w:tcW w:type="dxa" w:w="2044"/>
            <w:vAlign w:val="center"/>
          </w:tcPr>
          <w:p>
            <w:pPr>
              <w:spacing w:before="0" w:after="0" w:line="240" w:lineRule="auto"/>
            </w:pPr>
            <w:r>
              <w:rPr>
                <w:sz w:val="14"/>
              </w:rPr>
              <w:t>§10.38/10.39, §24.1, §28.1.1</w:t>
            </w:r>
          </w:p>
        </w:tc>
        <w:tc>
          <w:tcPr>
            <w:tcW w:type="dxa" w:w="4320"/>
            <w:vAlign w:val="center"/>
          </w:tcPr>
          <w:p>
            <w:pPr>
              <w:spacing w:before="0" w:after="0" w:line="240" w:lineRule="auto"/>
            </w:pPr>
            <w:r>
              <w:rPr>
                <w:sz w:val="14"/>
              </w:rPr>
              <w:t>Rebuilt corporate/franchise contracts from their own aggregates and events; unique runbook IDs and duplicate-contract CI lint added.</w:t>
            </w:r>
          </w:p>
        </w:tc>
      </w:tr>
    </w:tbl>
    <w:p>
      <w:pPr>
        <w:pStyle w:val="Heading2"/>
      </w:pPr>
      <w:r>
        <w:t>v1.4.1 Final Verification Closure</w:t>
      </w:r>
    </w:p>
    <w:p>
      <w:pPr>
        <w:pStyle w:val="Bullet1"/>
      </w:pPr>
      <w:r>
        <w:t>P2-1 closed: §27.1 now contains an explicit CI-blocking event-ordering convergence test for shuffled, duplicate and delayed delivery across every stateful projection.</w:t>
      </w:r>
    </w:p>
    <w:p>
      <w:pPr>
        <w:pStyle w:val="Bullet1"/>
      </w:pPr>
      <w:r>
        <w:t>P2-2 closed: §22.5-§22.7 and §27.2-§27.3 headings are physically re-anchored to their own tables/body text so extracted and visual document structure match.</w:t>
      </w:r>
    </w:p>
    <w:p>
      <w:pPr>
        <w:pStyle w:val="Bullet1"/>
      </w:pPr>
      <w:r>
        <w:t>P2-3 closed after targeted verification: COM-03 restores its finance-specific payment/settlement/fiscal reconciliation SLI/SLO, and OPS-02 now carries the intended booking-specific capacity-oversubscription and duplicate-waitlist-promotion correctness signals.</w:t>
      </w:r>
    </w:p>
    <w:p>
      <w:pPr>
        <w:pStyle w:val="Bullet1"/>
      </w:pPr>
      <w:r>
        <w:t>P2-4 closed: §6.3 declares the direction of the four intentional bidirectional domain relationships; only one synchronous application-interface edge is allowed per pair and the reverse direction is event-driven. §24.1 CI lint enforces this graph.</w:t>
      </w:r>
    </w:p>
    <w:p>
      <w:pPr>
        <w:pStyle w:val="Heading2"/>
      </w:pPr>
      <w:r>
        <w:t>Final Independent Audit Result</w:t>
      </w:r>
    </w:p>
    <w:p>
      <w:pPr>
        <w:spacing w:before="40" w:after="120"/>
      </w:pPr>
      <w:r>
        <w:rPr>
          <w:b/>
          <w:sz w:val="18"/>
        </w:rPr>
        <w:t>FINAL VERIFICATION CONDITIONS CLOSED - the v1.4 targeted verification reported P0 = 0 and P1 = 0 and required one material P2 correction only. v1.4.1 applies that exact correction and the recommended CI-lint hardening; there are no architecture-decision or traceability changes.</w:t>
      </w:r>
    </w:p>
    <w:p>
      <w:pPr>
        <w:pStyle w:val="Heading1"/>
        <w:keepNext/>
      </w:pPr>
      <w:r>
        <w:t>Contents</w:t>
      </w:r>
    </w:p>
    <w:p>
      <w:pPr>
        <w:spacing w:after="40" w:line="259" w:lineRule="auto"/>
      </w:pPr>
      <w:r>
        <w:rPr>
          <w:rFonts w:ascii="Noto Sans" w:hAnsi="Noto Sans"/>
        </w:rPr>
        <w:t>1. Executive Architecture Summary</w:t>
      </w:r>
    </w:p>
    <w:p>
      <w:pPr>
        <w:spacing w:after="40" w:line="259" w:lineRule="auto"/>
      </w:pPr>
      <w:r>
        <w:rPr>
          <w:rFonts w:ascii="Noto Sans" w:hAnsi="Noto Sans"/>
        </w:rPr>
        <w:t>2. Architecture Goals, Constraints &amp; Invariants</w:t>
      </w:r>
    </w:p>
    <w:p>
      <w:pPr>
        <w:spacing w:after="40" w:line="259" w:lineRule="auto"/>
      </w:pPr>
      <w:r>
        <w:rPr>
          <w:rFonts w:ascii="Noto Sans" w:hAnsi="Noto Sans"/>
        </w:rPr>
        <w:t>3. Architecture Decisions (ADRs)</w:t>
      </w:r>
    </w:p>
    <w:p>
      <w:pPr>
        <w:spacing w:after="40" w:line="259" w:lineRule="auto"/>
      </w:pPr>
      <w:r>
        <w:rPr>
          <w:rFonts w:ascii="Noto Sans" w:hAnsi="Noto Sans"/>
        </w:rPr>
        <w:t>4. System Context &amp; Experience Surfaces</w:t>
      </w:r>
    </w:p>
    <w:p>
      <w:pPr>
        <w:spacing w:after="40" w:line="259" w:lineRule="auto"/>
      </w:pPr>
      <w:r>
        <w:rPr>
          <w:rFonts w:ascii="Noto Sans" w:hAnsi="Noto Sans"/>
        </w:rPr>
        <w:t>5. Reference Technology Baseline</w:t>
      </w:r>
    </w:p>
    <w:p>
      <w:pPr>
        <w:spacing w:after="40" w:line="259" w:lineRule="auto"/>
      </w:pPr>
      <w:r>
        <w:rPr>
          <w:rFonts w:ascii="Noto Sans" w:hAnsi="Noto Sans"/>
        </w:rPr>
        <w:t>6. Runtime Architecture &amp; Module Model</w:t>
      </w:r>
    </w:p>
    <w:p>
      <w:pPr/>
      <w:r>
        <w:t>6.3 Intentional Bidirectional Dependency Direction</w:t>
      </w:r>
    </w:p>
    <w:p>
      <w:pPr>
        <w:spacing w:after="40" w:line="259" w:lineRule="auto"/>
      </w:pPr>
      <w:r>
        <w:rPr>
          <w:rFonts w:ascii="Noto Sans" w:hAnsi="Noto Sans"/>
        </w:rPr>
        <w:t>7. Multi-Tenancy, Control Plane &amp; Tenant Isolation</w:t>
      </w:r>
    </w:p>
    <w:p>
      <w:pPr>
        <w:spacing w:after="40" w:line="259" w:lineRule="auto"/>
      </w:pPr>
      <w:r>
        <w:rPr>
          <w:rFonts w:ascii="Noto Sans" w:hAnsi="Noto Sans"/>
        </w:rPr>
        <w:t>8. Identity, Authorization, Sessions &amp; Audit</w:t>
      </w:r>
    </w:p>
    <w:p>
      <w:pPr/>
      <w:r>
        <w:t>8.4 Role Catalog, Permission Namespace and Scope Grammar</w:t>
      </w:r>
    </w:p>
    <w:p>
      <w:pPr>
        <w:spacing w:after="40" w:line="259" w:lineRule="auto"/>
      </w:pPr>
      <w:r>
        <w:rPr>
          <w:rFonts w:ascii="Noto Sans" w:hAnsi="Noto Sans"/>
        </w:rPr>
        <w:t>9. Canonical Data Model &amp; Data Ownership</w:t>
      </w:r>
    </w:p>
    <w:p>
      <w:pPr>
        <w:spacing w:after="40" w:line="259" w:lineRule="auto"/>
      </w:pPr>
      <w:r>
        <w:rPr>
          <w:rFonts w:ascii="Noto Sans" w:hAnsi="Noto Sans"/>
        </w:rPr>
        <w:t>10. Domain Architecture - 57 Governed Domains</w:t>
      </w:r>
    </w:p>
    <w:p>
      <w:pPr>
        <w:spacing w:after="40" w:line="259" w:lineRule="auto"/>
      </w:pPr>
      <w:r>
        <w:rPr>
          <w:rFonts w:ascii="Noto Sans" w:hAnsi="Noto Sans"/>
        </w:rPr>
        <w:t>11. API, BFF &amp; Realtime Contract</w:t>
      </w:r>
    </w:p>
    <w:p>
      <w:pPr>
        <w:spacing w:after="40" w:line="259" w:lineRule="auto"/>
      </w:pPr>
      <w:r>
        <w:rPr>
          <w:rFonts w:ascii="Noto Sans" w:hAnsi="Noto Sans"/>
        </w:rPr>
        <w:t>12. Event Architecture &amp; Asynchronous Processing</w:t>
      </w:r>
    </w:p>
    <w:p>
      <w:pPr>
        <w:spacing w:after="40" w:line="259" w:lineRule="auto"/>
      </w:pPr>
      <w:r>
        <w:rPr>
          <w:rFonts w:ascii="Noto Sans" w:hAnsi="Noto Sans"/>
        </w:rPr>
        <w:t>13. Durable Workflows, Tasks &amp; Approvals</w:t>
      </w:r>
    </w:p>
    <w:p>
      <w:pPr>
        <w:spacing w:after="40" w:line="259" w:lineRule="auto"/>
      </w:pPr>
      <w:r>
        <w:rPr>
          <w:rFonts w:ascii="Noto Sans" w:hAnsi="Noto Sans"/>
        </w:rPr>
        <w:t>14. Commerce, Billing, Payments, Ledger &amp; POS</w:t>
      </w:r>
    </w:p>
    <w:p>
      <w:pPr>
        <w:spacing w:after="40" w:line="259" w:lineRule="auto"/>
      </w:pPr>
      <w:r>
        <w:rPr>
          <w:rFonts w:ascii="Noto Sans" w:hAnsi="Noto Sans"/>
        </w:rPr>
        <w:t>15. Memberships, Entitlements, Scheduling &amp; Booking</w:t>
      </w:r>
    </w:p>
    <w:p>
      <w:pPr>
        <w:spacing w:after="40" w:line="259" w:lineRule="auto"/>
      </w:pPr>
      <w:r>
        <w:rPr>
          <w:rFonts w:ascii="Noto Sans" w:hAnsi="Noto Sans"/>
        </w:rPr>
        <w:t>16. Access Control, Biometrics, Edge &amp; Offline Operation</w:t>
      </w:r>
    </w:p>
    <w:p>
      <w:pPr>
        <w:spacing w:after="40" w:line="259" w:lineRule="auto"/>
      </w:pPr>
      <w:r>
        <w:rPr>
          <w:rFonts w:ascii="Noto Sans" w:hAnsi="Noto Sans"/>
        </w:rPr>
        <w:t>17. Coaching, Training, Nutrition, Health &amp; Safety</w:t>
      </w:r>
    </w:p>
    <w:p>
      <w:pPr>
        <w:spacing w:after="40" w:line="259" w:lineRule="auto"/>
      </w:pPr>
      <w:r>
        <w:rPr>
          <w:rFonts w:ascii="Noto Sans" w:hAnsi="Noto Sans"/>
        </w:rPr>
        <w:t>18. Communication, Notifications, Search &amp; Member Timeline</w:t>
      </w:r>
    </w:p>
    <w:p>
      <w:pPr>
        <w:spacing w:after="40" w:line="259" w:lineRule="auto"/>
      </w:pPr>
      <w:r>
        <w:rPr>
          <w:rFonts w:ascii="Noto Sans" w:hAnsi="Noto Sans"/>
        </w:rPr>
        <w:t>19. Analytics, Data Platform &amp; AI Architecture</w:t>
      </w:r>
    </w:p>
    <w:p>
      <w:pPr>
        <w:spacing w:after="40" w:line="259" w:lineRule="auto"/>
      </w:pPr>
      <w:r>
        <w:rPr>
          <w:rFonts w:ascii="Noto Sans" w:hAnsi="Noto Sans"/>
        </w:rPr>
        <w:t>20. Integrations, Developer Platform, Hardware &amp; White-label</w:t>
      </w:r>
    </w:p>
    <w:p>
      <w:pPr>
        <w:spacing w:after="40" w:line="259" w:lineRule="auto"/>
      </w:pPr>
      <w:r>
        <w:rPr>
          <w:rFonts w:ascii="Noto Sans" w:hAnsi="Noto Sans"/>
        </w:rPr>
        <w:t>21. Security, Privacy, Compliance &amp; Threat Model</w:t>
      </w:r>
    </w:p>
    <w:p>
      <w:pPr>
        <w:spacing w:after="40" w:line="259" w:lineRule="auto"/>
      </w:pPr>
      <w:r>
        <w:rPr>
          <w:rFonts w:ascii="Noto Sans" w:hAnsi="Noto Sans"/>
        </w:rPr>
        <w:t>22. Reliability, Observability, SLOs, Capacity &amp; FinOps</w:t>
      </w:r>
    </w:p>
    <w:p>
      <w:pPr>
        <w:spacing w:after="40" w:line="259" w:lineRule="auto"/>
      </w:pPr>
      <w:r>
        <w:rPr>
          <w:rFonts w:ascii="Noto Sans" w:hAnsi="Noto Sans"/>
        </w:rPr>
        <w:t>23. Deployment Topology, Environments &amp; Infrastructure</w:t>
      </w:r>
    </w:p>
    <w:p>
      <w:pPr>
        <w:spacing w:after="40" w:line="259" w:lineRule="auto"/>
      </w:pPr>
      <w:r>
        <w:rPr>
          <w:rFonts w:ascii="Noto Sans" w:hAnsi="Noto Sans"/>
        </w:rPr>
        <w:t>24. CI/CD, Schema Evolution, Release &amp; Rollback</w:t>
      </w:r>
    </w:p>
    <w:p>
      <w:pPr>
        <w:spacing w:after="40" w:line="259" w:lineRule="auto"/>
      </w:pPr>
      <w:r>
        <w:rPr>
          <w:rFonts w:ascii="Noto Sans" w:hAnsi="Noto Sans"/>
        </w:rPr>
        <w:t>25. Onboarding, Migration, Offboarding &amp; Data Portability</w:t>
      </w:r>
    </w:p>
    <w:p>
      <w:pPr>
        <w:spacing w:after="40" w:line="259" w:lineRule="auto"/>
      </w:pPr>
      <w:r>
        <w:rPr>
          <w:rFonts w:ascii="Noto Sans" w:hAnsi="Noto Sans"/>
        </w:rPr>
        <w:t>26. Jordan Regional Pack</w:t>
      </w:r>
    </w:p>
    <w:p>
      <w:pPr>
        <w:spacing w:after="40" w:line="259" w:lineRule="auto"/>
      </w:pPr>
      <w:r>
        <w:rPr>
          <w:rFonts w:ascii="Noto Sans" w:hAnsi="Noto Sans"/>
        </w:rPr>
        <w:t>27. Testing &amp; Quality Engineering Strategy</w:t>
      </w:r>
    </w:p>
    <w:p>
      <w:pPr>
        <w:spacing w:after="40" w:line="259" w:lineRule="auto"/>
      </w:pPr>
      <w:r>
        <w:rPr>
          <w:rFonts w:ascii="Noto Sans" w:hAnsi="Noto Sans"/>
        </w:rPr>
        <w:t>28. Operational Runbooks &amp; Incident Management</w:t>
      </w:r>
    </w:p>
    <w:p>
      <w:pPr>
        <w:spacing w:after="40" w:line="259" w:lineRule="auto"/>
      </w:pPr>
      <w:r>
        <w:rPr>
          <w:rFonts w:ascii="Noto Sans" w:hAnsi="Noto Sans"/>
        </w:rPr>
        <w:t>29. Implementation Sequence &amp; Release Gates</w:t>
      </w:r>
    </w:p>
    <w:p>
      <w:pPr/>
      <w:r>
        <w:t>29.2 Delivery Slices vs Blueprint Domain Phase</w:t>
      </w:r>
    </w:p>
    <w:p>
      <w:pPr>
        <w:spacing w:after="40" w:line="259" w:lineRule="auto"/>
      </w:pPr>
      <w:r>
        <w:rPr>
          <w:rFonts w:ascii="Noto Sans" w:hAnsi="Noto Sans"/>
        </w:rPr>
        <w:t>30. Open Decisions, Spikes &amp; External Validation Gates</w:t>
      </w:r>
    </w:p>
    <w:p>
      <w:pPr>
        <w:pStyle w:val="Heading2"/>
      </w:pPr>
      <w:r>
        <w:t>Foundation gates added by independent audit</w:t>
      </w:r>
    </w:p>
    <w:tbl>
      <w:tblPr>
        <w:tblStyle w:val="TableGrid"/>
        <w:tblW w:type="dxa" w:w="9684"/>
        <w:jc w:val="center"/>
        <w:tblLayout w:type="autofit"/>
        <w:tblLook w:firstColumn="1" w:firstRow="1" w:lastColumn="0" w:lastRow="0" w:noHBand="0" w:noVBand="1" w:val="04A0"/>
      </w:tblPr>
      <w:tblGrid>
        <w:gridCol w:w="3228"/>
        <w:gridCol w:w="3228"/>
        <w:gridCol w:w="3228"/>
      </w:tblGrid>
      <w:tr>
        <w:trPr>
          <w:tblHeader w:val="true"/>
        </w:trPr>
        <w:tc>
          <w:tcPr>
            <w:tcW w:type="dxa" w:w="3228"/>
            <w:vAlign w:val="center"/>
            <w:tcMar>
              <w:top w:w="70" w:type="dxa"/>
              <w:left w:w="80" w:type="dxa"/>
              <w:bottom w:w="70" w:type="dxa"/>
              <w:right w:w="80" w:type="dxa"/>
            </w:tcMar>
          </w:tcPr>
          <w:p>
            <w:r>
              <w:rPr>
                <w:b/>
              </w:rPr>
              <w:t>Gate</w:t>
            </w:r>
          </w:p>
        </w:tc>
        <w:tc>
          <w:tcPr>
            <w:tcW w:type="dxa" w:w="3228"/>
            <w:vAlign w:val="center"/>
            <w:tcMar>
              <w:top w:w="70" w:type="dxa"/>
              <w:left w:w="80" w:type="dxa"/>
              <w:bottom w:w="70" w:type="dxa"/>
              <w:right w:w="80" w:type="dxa"/>
            </w:tcMar>
          </w:tcPr>
          <w:p>
            <w:r>
              <w:rPr>
                <w:b/>
              </w:rPr>
              <w:t>Deadline</w:t>
            </w:r>
          </w:p>
        </w:tc>
        <w:tc>
          <w:tcPr>
            <w:tcW w:type="dxa" w:w="3228"/>
            <w:vAlign w:val="center"/>
            <w:tcMar>
              <w:top w:w="70" w:type="dxa"/>
              <w:left w:w="80" w:type="dxa"/>
              <w:bottom w:w="70" w:type="dxa"/>
              <w:right w:w="80" w:type="dxa"/>
            </w:tcMar>
          </w:tcPr>
          <w:p>
            <w:r>
              <w:rPr>
                <w:b/>
              </w:rPr>
              <w:t>Pass condition</w:t>
            </w:r>
          </w:p>
        </w:tc>
      </w:tr>
      <w:tr>
        <w:tc>
          <w:tcPr>
            <w:tcW w:type="dxa" w:w="3228"/>
            <w:tcMar>
              <w:top w:w="70" w:type="dxa"/>
              <w:left w:w="80" w:type="dxa"/>
              <w:bottom w:w="70" w:type="dxa"/>
              <w:right w:w="80" w:type="dxa"/>
            </w:tcMar>
          </w:tcPr>
          <w:p>
            <w:r>
              <w:t>CMP-iOS production qualification</w:t>
            </w:r>
          </w:p>
        </w:tc>
        <w:tc>
          <w:tcPr>
            <w:tcW w:type="dxa" w:w="3228"/>
            <w:tcMar>
              <w:top w:w="70" w:type="dxa"/>
              <w:left w:w="80" w:type="dxa"/>
              <w:bottom w:w="70" w:type="dxa"/>
              <w:right w:w="80" w:type="dxa"/>
            </w:tcMar>
          </w:tcPr>
          <w:p>
            <w:r>
              <w:t>Before feature-scale mobile implementation</w:t>
            </w:r>
          </w:p>
        </w:tc>
        <w:tc>
          <w:tcPr>
            <w:tcW w:type="dxa" w:w="3228"/>
            <w:tcMar>
              <w:top w:w="70" w:type="dxa"/>
              <w:left w:w="80" w:type="dxa"/>
              <w:bottom w:w="70" w:type="dxa"/>
              <w:right w:w="80" w:type="dxa"/>
            </w:tcMar>
          </w:tcPr>
          <w:p>
            <w:r>
              <w:t>Build the approved design-system shell + Coach Today + set logger + Member Home in Compose Multiplatform. Pass Arabic RTL/bidi, VoiceOver navigation, text/IME, long lists, sheets, deep links, secure storage, background sync, camera and lifecycle tests on representative iPhones. Blocking failure uses SwiftUI/native UI only for affected capabilities while KMP domain/data remains shared.</w:t>
            </w:r>
          </w:p>
        </w:tc>
      </w:tr>
      <w:tr>
        <w:tc>
          <w:tcPr>
            <w:tcW w:type="dxa" w:w="3228"/>
            <w:tcMar>
              <w:top w:w="70" w:type="dxa"/>
              <w:left w:w="80" w:type="dxa"/>
              <w:bottom w:w="70" w:type="dxa"/>
              <w:right w:w="80" w:type="dxa"/>
            </w:tcMar>
          </w:tcPr>
          <w:p>
            <w:r>
              <w:t>JoFotara fiscalization</w:t>
            </w:r>
          </w:p>
        </w:tc>
        <w:tc>
          <w:tcPr>
            <w:tcW w:type="dxa" w:w="3228"/>
            <w:tcMar>
              <w:top w:w="70" w:type="dxa"/>
              <w:left w:w="80" w:type="dxa"/>
              <w:bottom w:w="70" w:type="dxa"/>
              <w:right w:w="80" w:type="dxa"/>
            </w:tcMar>
          </w:tcPr>
          <w:p>
            <w:r>
              <w:t>Before Jordan Pilot POS/billing go-live</w:t>
            </w:r>
          </w:p>
        </w:tc>
        <w:tc>
          <w:tcPr>
            <w:tcW w:type="dxa" w:w="3228"/>
            <w:tcMar>
              <w:top w:w="70" w:type="dxa"/>
              <w:left w:w="80" w:type="dxa"/>
              <w:bottom w:w="70" w:type="dxa"/>
              <w:right w:w="80" w:type="dxa"/>
            </w:tcMar>
          </w:tcPr>
          <w:p>
            <w:r>
              <w:t>Validate current ISTD technical/organizational manuals, serial/document-type requirements, refund/credit behavior and any permitted outage/offline procedure. Default architecture stays fail-closed for fiscal completion until approved.</w:t>
            </w:r>
          </w:p>
        </w:tc>
      </w:tr>
      <w:tr>
        <w:tc>
          <w:tcPr>
            <w:tcW w:type="dxa" w:w="3228"/>
            <w:tcMar>
              <w:top w:w="70" w:type="dxa"/>
              <w:left w:w="80" w:type="dxa"/>
              <w:bottom w:w="70" w:type="dxa"/>
              <w:right w:w="80" w:type="dxa"/>
            </w:tcMar>
          </w:tcPr>
          <w:p>
            <w:r>
              <w:t>Jordan PDPL/cross-border</w:t>
            </w:r>
          </w:p>
        </w:tc>
        <w:tc>
          <w:tcPr>
            <w:tcW w:type="dxa" w:w="3228"/>
            <w:tcMar>
              <w:top w:w="70" w:type="dxa"/>
              <w:left w:w="80" w:type="dxa"/>
              <w:bottom w:w="70" w:type="dxa"/>
              <w:right w:w="80" w:type="dxa"/>
            </w:tcMar>
          </w:tcPr>
          <w:p>
            <w:r>
              <w:t>Before processing real member data</w:t>
            </w:r>
          </w:p>
        </w:tc>
        <w:tc>
          <w:tcPr>
            <w:tcW w:type="dxa" w:w="3228"/>
            <w:tcMar>
              <w:top w:w="70" w:type="dxa"/>
              <w:left w:w="80" w:type="dxa"/>
              <w:bottom w:w="70" w:type="dxa"/>
              <w:right w:w="80" w:type="dxa"/>
            </w:tcMar>
          </w:tcPr>
          <w:p>
            <w:r>
              <w:t>Privacy counsel/DPO validates controller/processor roles, Bahrain/UAE cross-border basis, DPA/subprocessor disclosure, DPIA triggers and DSAR/retention implementation.</w:t>
            </w:r>
          </w:p>
        </w:tc>
      </w:tr>
      <w:tr>
        <w:tc>
          <w:tcPr>
            <w:tcW w:type="dxa" w:w="3228"/>
            <w:tcMar>
              <w:top w:w="70" w:type="dxa"/>
              <w:left w:w="80" w:type="dxa"/>
              <w:bottom w:w="70" w:type="dxa"/>
              <w:right w:w="80" w:type="dxa"/>
            </w:tcMar>
          </w:tcPr>
          <w:p>
            <w:r>
              <w:t>Access life-safety certification</w:t>
            </w:r>
          </w:p>
        </w:tc>
        <w:tc>
          <w:tcPr>
            <w:tcW w:type="dxa" w:w="3228"/>
            <w:tcMar>
              <w:top w:w="70" w:type="dxa"/>
              <w:left w:w="80" w:type="dxa"/>
              <w:bottom w:w="70" w:type="dxa"/>
              <w:right w:w="80" w:type="dxa"/>
            </w:tcMar>
          </w:tcPr>
          <w:p>
            <w:r>
              <w:t>Before first physical gate/door commissioning</w:t>
            </w:r>
          </w:p>
        </w:tc>
        <w:tc>
          <w:tcPr>
            <w:tcW w:type="dxa" w:w="3228"/>
            <w:tcMar>
              <w:top w:w="70" w:type="dxa"/>
              <w:left w:w="80" w:type="dxa"/>
              <w:bottom w:w="70" w:type="dxa"/>
              <w:right w:w="80" w:type="dxa"/>
            </w:tcMar>
          </w:tcPr>
          <w:p>
            <w:r>
              <w:t>Vendor/electrician validates fail-safe/fail-secure profile, egress, fire-alarm/emergency release, power-loss and manual override.</w:t>
            </w:r>
          </w:p>
        </w:tc>
      </w:tr>
      <w:tr>
        <w:tc>
          <w:tcPr>
            <w:tcW w:type="dxa" w:w="3228"/>
            <w:tcMar>
              <w:top w:w="70" w:type="dxa"/>
              <w:left w:w="80" w:type="dxa"/>
              <w:bottom w:w="70" w:type="dxa"/>
              <w:right w:w="80" w:type="dxa"/>
            </w:tcMar>
          </w:tcPr>
          <w:p>
            <w:r>
              <w:t>Capacity/FinOps baseline</w:t>
            </w:r>
          </w:p>
        </w:tc>
        <w:tc>
          <w:tcPr>
            <w:tcW w:type="dxa" w:w="3228"/>
            <w:tcMar>
              <w:top w:w="70" w:type="dxa"/>
              <w:left w:w="80" w:type="dxa"/>
              <w:bottom w:w="70" w:type="dxa"/>
              <w:right w:w="80" w:type="dxa"/>
            </w:tcMar>
          </w:tcPr>
          <w:p>
            <w:r>
              <w:t>Before GA load commitment</w:t>
            </w:r>
          </w:p>
        </w:tc>
        <w:tc>
          <w:tcPr>
            <w:tcW w:type="dxa" w:w="3228"/>
            <w:tcMar>
              <w:top w:w="70" w:type="dxa"/>
              <w:left w:w="80" w:type="dxa"/>
              <w:bottom w:w="70" w:type="dxa"/>
              <w:right w:w="80" w:type="dxa"/>
            </w:tcMar>
          </w:tcPr>
          <w:p>
            <w:r>
              <w:t>Load-test V1 envelope and update partition/cost model with measured DB/queue/storage/app utilization.</w:t>
            </w:r>
          </w:p>
        </w:tc>
      </w:tr>
    </w:tbl>
    <w:p>
      <w:pPr>
        <w:spacing w:after="40" w:line="259" w:lineRule="auto"/>
      </w:pPr>
      <w:r>
        <w:rPr>
          <w:rFonts w:ascii="Noto Sans" w:hAnsi="Noto Sans"/>
        </w:rPr>
        <w:t>Appendix A. Critical Flow Architecture Matrix</w:t>
      </w:r>
    </w:p>
    <w:p>
      <w:pPr>
        <w:spacing w:after="40" w:line="259" w:lineRule="auto"/>
      </w:pPr>
      <w:r>
        <w:rPr>
          <w:rFonts w:ascii="Noto Sans" w:hAnsi="Noto Sans"/>
        </w:rPr>
        <w:t>Appendix B. Blueprint Requirement Traceability (432 requirements)</w:t>
      </w:r>
    </w:p>
    <w:p>
      <w:pPr>
        <w:spacing w:after="40" w:line="259" w:lineRule="auto"/>
      </w:pPr>
      <w:r>
        <w:rPr>
          <w:rFonts w:ascii="Noto Sans" w:hAnsi="Noto Sans"/>
        </w:rPr>
        <w:t>Appendix C. Domain Event Catalog</w:t>
      </w:r>
    </w:p>
    <w:p>
      <w:pPr/>
      <w:r>
        <w:t>Catalog rule: every event name used in a critical flow, workflow, automation, public-event projection or code contract must exist in the versioned event registry. CI computes this set; undeclared names block merge. The catalog distinguishes durable business events from telemetry signals.</w:t>
      </w:r>
    </w:p>
    <w:p>
      <w:pPr>
        <w:spacing w:after="40" w:line="259" w:lineRule="auto"/>
      </w:pPr>
      <w:r>
        <w:rPr>
          <w:rFonts w:ascii="Noto Sans" w:hAnsi="Noto Sans"/>
        </w:rPr>
        <w:t>Appendix D. Architecture QA Checklist &amp; Final Acceptance Criteria</w:t>
      </w:r>
    </w:p>
    <w:p>
      <w:pPr/>
      <w:r>
        <w:t>Appendix E. Core Persistence &amp; API Contract Baseline</w:t>
      </w:r>
    </w:p>
    <w:p>
      <w:pPr/>
      <w:r>
        <w:t>Appendix F. UX-to-API Contract Artifact</w:t>
      </w:r>
    </w:p>
    <w:p>
      <w:pPr/>
      <w:r>
        <w:t>Appendix G. Jordan External Validation References</w:t>
      </w:r>
    </w:p>
    <w:p>
      <w:pPr/>
      <w:r>
        <w:t>Appendix H. Capacity, Cost and Extraction Triggers</w:t>
      </w:r>
    </w:p>
    <w:p>
      <w:pPr/>
      <w:r>
        <w:t>Appendix I. Domain Invariant Registry</w:t>
      </w:r>
    </w:p>
    <w:p>
      <w:r>
        <w:br w:type="page"/>
      </w:r>
    </w:p>
    <w:p>
      <w:pPr>
        <w:pStyle w:val="Heading1"/>
        <w:keepNext/>
      </w:pPr>
      <w:r>
        <w:t>1. Executive Architecture Summary</w:t>
      </w:r>
    </w:p>
    <w:p>
      <w:pPr>
        <w:spacing w:after="100" w:line="259" w:lineRule="auto"/>
      </w:pPr>
      <w:r>
        <w:rPr>
          <w:rFonts w:ascii="Noto Sans" w:hAnsi="Noto Sans"/>
        </w:rPr>
        <w:t>Veyro is designed as an AI-native, multi-tenant SaaS operating system for gyms and fitness businesses. The architecture must support single clubs, multi-location operators, franchises, corporate programs and Veyro internal SaaS operations without tenant-specific forks. The system must preserve one canonical business truth across CRM, membership, finance, access, coaching, nutrition, communication and support while keeping each domain independently owned.</w:t>
      </w:r>
    </w:p>
    <w:tbl>
      <w:tblPr>
        <w:tblW w:type="dxa" w:w="9684"/>
        <w:jc w:val="center"/>
        <w:tblLayout w:type="autofit"/>
        <w:tblLook w:firstColumn="1" w:firstRow="1" w:lastColumn="0" w:lastRow="0" w:noHBand="0" w:noVBand="1" w:val="04A0"/>
      </w:tblPr>
      <w:tblGrid>
        <w:gridCol w:w="9684"/>
      </w:tblGrid>
      <w:tr>
        <w:trPr>
          <w:tblHeader w:val="true"/>
        </w:trPr>
        <w:tc>
          <w:tcPr>
            <w:tcW w:type="dxa" w:w="9684"/>
            <w:shd w:fill="EAF5EE"/>
            <w:tcMar>
              <w:top w:w="70" w:type="dxa"/>
              <w:start w:w="160" w:type="dxa"/>
              <w:bottom w:w="70" w:type="dxa"/>
              <w:end w:w="160" w:type="dxa"/>
              <w:left w:w="80" w:type="dxa"/>
              <w:right w:w="80" w:type="dxa"/>
            </w:tcMar>
            <w:vAlign w:val="center"/>
          </w:tcPr>
          <w:p>
            <w:pPr>
              <w:spacing w:after="0" w:line="259" w:lineRule="auto"/>
            </w:pPr>
            <w:r>
              <w:rPr>
                <w:rFonts w:ascii="Noto Sans" w:hAnsi="Noto Sans"/>
                <w:b/>
                <w:color w:val="2E6B4A"/>
                <w:sz w:val="21"/>
              </w:rPr>
              <w:t>Primary architecture choice</w:t>
              <w:br/>
            </w:r>
            <w:r>
              <w:rPr>
                <w:rFonts w:ascii="Noto Sans" w:hAnsi="Noto Sans"/>
                <w:b/>
                <w:color w:val="1F2933"/>
                <w:sz w:val="19"/>
              </w:rPr>
              <w:t>Start with a modular monolith for authoritative business domains, combined with event-driven integration, durable workflow orchestration and separately deployable workers. This minimizes distributed-system cost during V1 while preserving explicit boundaries that can be extracted into services when scale, ownership or isolation justifies it.</w:t>
            </w:r>
          </w:p>
        </w:tc>
      </w:tr>
    </w:tbl>
    <w:p>
      <w:pPr>
        <w:spacing w:after="40"/>
      </w:pPr>
    </w:p>
    <w:p>
      <w:pPr>
        <w:spacing w:after="40"/>
        <w:jc w:val="center"/>
      </w:pPr>
      <w:r>
        <w:drawing>
          <wp:inline xmlns:a="http://schemas.openxmlformats.org/drawingml/2006/main" xmlns:pic="http://schemas.openxmlformats.org/drawingml/2006/picture">
            <wp:extent cx="6172200" cy="2300136"/>
            <wp:docPr id="1" name="Picture 1" descr="Figure 1. Veyro logical architecture at a glance." title="Figure 1. Veyro logical architecture at a glance."/>
            <wp:cNvGraphicFramePr>
              <a:graphicFrameLocks noChangeAspect="1"/>
            </wp:cNvGraphicFramePr>
            <a:graphic>
              <a:graphicData uri="http://schemas.openxmlformats.org/drawingml/2006/picture">
                <pic:pic>
                  <pic:nvPicPr>
                    <pic:cNvPr id="0" name="context.png"/>
                    <pic:cNvPicPr/>
                  </pic:nvPicPr>
                  <pic:blipFill>
                    <a:blip r:embed="rId10"/>
                    <a:stretch>
                      <a:fillRect/>
                    </a:stretch>
                  </pic:blipFill>
                  <pic:spPr>
                    <a:xfrm>
                      <a:off x="0" y="0"/>
                      <a:ext cx="6172200" cy="2300136"/>
                    </a:xfrm>
                    <a:prstGeom prst="rect"/>
                  </pic:spPr>
                </pic:pic>
              </a:graphicData>
            </a:graphic>
          </wp:inline>
        </w:drawing>
      </w:r>
    </w:p>
    <w:p>
      <w:pPr>
        <w:spacing w:after="160"/>
        <w:jc w:val="center"/>
      </w:pPr>
      <w:r>
        <w:rPr>
          <w:rFonts w:ascii="Noto Sans" w:hAnsi="Noto Sans"/>
          <w:i/>
          <w:color w:val="5B6773"/>
          <w:sz w:val="17"/>
        </w:rPr>
        <w:t>Figure 1. Veyro logical architecture at a glance.</w:t>
      </w:r>
    </w:p>
    <w:p>
      <w:pPr>
        <w:pStyle w:val="Heading2"/>
        <w:keepNext/>
      </w:pPr>
      <w:r>
        <w:t>1.1 Architecture Shape</w:t>
      </w:r>
    </w:p>
    <w:p>
      <w:pPr>
        <w:pStyle w:val="Bullet1"/>
        <w:spacing w:after="80" w:line="252" w:lineRule="auto"/>
      </w:pPr>
      <w:r>
        <w:rPr>
          <w:rFonts w:ascii="Noto Sans" w:hAnsi="Noto Sans"/>
        </w:rPr>
        <w:t>Experience layer: Admin Web, Front Desk/POS, Coach App and Member App (Kotlin Multiplatform + Compose Multiplatform), Internal SaaS Console, Kiosk/Edge and later Corporate/Developer portals.</w:t>
      </w:r>
    </w:p>
    <w:p>
      <w:pPr>
        <w:pStyle w:val="Bullet1"/>
        <w:spacing w:after="80" w:line="252" w:lineRule="auto"/>
      </w:pPr>
      <w:r>
        <w:rPr>
          <w:rFonts w:ascii="Noto Sans" w:hAnsi="Noto Sans"/>
        </w:rPr>
        <w:t>Gateway/BFF layer: authentication, tenant resolution, rate limiting, API versioning, request policy and surface-specific read composition.</w:t>
      </w:r>
    </w:p>
    <w:p>
      <w:pPr>
        <w:pStyle w:val="Bullet1"/>
        <w:spacing w:after="80" w:line="252" w:lineRule="auto"/>
      </w:pPr>
      <w:r>
        <w:rPr>
          <w:rFonts w:ascii="Noto Sans" w:hAnsi="Noto Sans"/>
        </w:rPr>
        <w:t>Domain application layer: explicit modules that own aggregate invariants, commands, queries, persistence and domain events.</w:t>
      </w:r>
    </w:p>
    <w:p>
      <w:pPr>
        <w:pStyle w:val="Bullet1"/>
        <w:spacing w:after="80" w:line="252" w:lineRule="auto"/>
      </w:pPr>
      <w:r>
        <w:rPr>
          <w:rFonts w:ascii="Noto Sans" w:hAnsi="Noto Sans"/>
        </w:rPr>
        <w:t>Workflow/intelligence layer: durable workflows, tasks, approvals, automation, search, analytics and AI tool orchestration.</w:t>
      </w:r>
    </w:p>
    <w:p>
      <w:pPr>
        <w:pStyle w:val="Bullet1"/>
        <w:spacing w:after="80" w:line="252" w:lineRule="auto"/>
      </w:pPr>
      <w:r>
        <w:rPr>
          <w:rFonts w:ascii="Noto Sans" w:hAnsi="Noto Sans"/>
        </w:rPr>
        <w:t>Asynchronous layer: transactional outbox, event bus, idempotent consumers, retry/DLQ and replay.</w:t>
      </w:r>
    </w:p>
    <w:p>
      <w:pPr>
        <w:pStyle w:val="Bullet1"/>
        <w:spacing w:after="80" w:line="252" w:lineRule="auto"/>
      </w:pPr>
      <w:r>
        <w:rPr>
          <w:rFonts w:ascii="Noto Sans" w:hAnsi="Noto Sans"/>
        </w:rPr>
        <w:t>Data plane: relational OLTP, immutable financial/audit evidence, object/media storage, cache, search and analytics stores.</w:t>
      </w:r>
    </w:p>
    <w:p>
      <w:pPr>
        <w:pStyle w:val="Bullet1"/>
        <w:spacing w:after="80" w:line="252" w:lineRule="auto"/>
      </w:pPr>
      <w:r>
        <w:rPr>
          <w:rFonts w:ascii="Noto Sans" w:hAnsi="Noto Sans"/>
        </w:rPr>
        <w:t>Integration plane: regional/payment/tax/messaging/accounting/device provider adapters and public webhooks/APIs.</w:t>
      </w:r>
    </w:p>
    <w:p>
      <w:pPr>
        <w:pStyle w:val="Bullet1"/>
        <w:spacing w:after="80" w:line="252" w:lineRule="auto"/>
      </w:pPr>
      <w:r>
        <w:rPr>
          <w:rFonts w:ascii="Noto Sans" w:hAnsi="Noto Sans"/>
        </w:rPr>
        <w:t>Control plane: SaaS tenant lifecycle, configuration, subscription billing, metering, support, feature flags, release fleet, observability and incident control.</w:t>
      </w:r>
    </w:p>
    <w:p>
      <w:pPr>
        <w:pStyle w:val="Heading2"/>
        <w:keepNext/>
      </w:pPr>
      <w:r>
        <w:t>1.2 Core Guarantees</w:t>
      </w:r>
    </w:p>
    <w:p>
      <w:pPr>
        <w:pStyle w:val="Bullet1"/>
        <w:spacing w:after="80" w:line="252" w:lineRule="auto"/>
      </w:pPr>
      <w:r>
        <w:rPr>
          <w:rFonts w:ascii="Noto Sans" w:hAnsi="Noto Sans"/>
        </w:rPr>
        <w:t>Every tenant-owned request, query, event, cache key, file path, search document, job, trace and AI context carries validated tenant context.</w:t>
      </w:r>
    </w:p>
    <w:p>
      <w:pPr>
        <w:pStyle w:val="Bullet1"/>
        <w:spacing w:after="80" w:line="252" w:lineRule="auto"/>
      </w:pPr>
      <w:r>
        <w:rPr>
          <w:rFonts w:ascii="Noto Sans" w:hAnsi="Noto Sans"/>
        </w:rPr>
        <w:t>No domain reads or writes another domain's tables directly. Cross-domain collaboration uses application contracts, read models or events.</w:t>
      </w:r>
    </w:p>
    <w:p>
      <w:pPr>
        <w:pStyle w:val="Bullet1"/>
        <w:spacing w:after="80" w:line="252" w:lineRule="auto"/>
      </w:pPr>
      <w:r>
        <w:rPr>
          <w:rFonts w:ascii="Noto Sans" w:hAnsi="Noto Sans"/>
        </w:rPr>
        <w:t>Financial balances are derived from append-only postings; corrections create compensating entries rather than rewriting history.</w:t>
      </w:r>
    </w:p>
    <w:p>
      <w:pPr>
        <w:pStyle w:val="Bullet1"/>
        <w:spacing w:after="80" w:line="252" w:lineRule="auto"/>
      </w:pPr>
      <w:r>
        <w:rPr>
          <w:rFonts w:ascii="Noto Sans" w:hAnsi="Noto Sans"/>
        </w:rPr>
        <w:t>Membership state, billing state and access authorization remain distinct concepts coordinated by policy and events.</w:t>
      </w:r>
    </w:p>
    <w:p>
      <w:pPr>
        <w:pStyle w:val="Bullet1"/>
        <w:spacing w:after="80" w:line="252" w:lineRule="auto"/>
      </w:pPr>
      <w:r>
        <w:rPr>
          <w:rFonts w:ascii="Noto Sans" w:hAnsi="Noto Sans"/>
        </w:rPr>
        <w:t>Access decisions are explainable and auditable; a credential identifies a subject but never grants access by itself.</w:t>
      </w:r>
    </w:p>
    <w:p>
      <w:pPr>
        <w:pStyle w:val="Bullet1"/>
        <w:spacing w:after="80" w:line="252" w:lineRule="auto"/>
      </w:pPr>
      <w:r>
        <w:rPr>
          <w:rFonts w:ascii="Noto Sans" w:hAnsi="Noto Sans"/>
        </w:rPr>
        <w:t>External provider calls are never part of a database transaction; all provider interactions are idempotent, retryable and reconciled.</w:t>
      </w:r>
    </w:p>
    <w:p>
      <w:pPr>
        <w:pStyle w:val="Bullet1"/>
        <w:spacing w:after="80" w:line="252" w:lineRule="auto"/>
      </w:pPr>
      <w:r>
        <w:rPr>
          <w:rFonts w:ascii="Noto Sans" w:hAnsi="Noto Sans"/>
        </w:rPr>
        <w:t>AI has no direct database access and may execute only typed, permission-checked tools within use-case risk policy.</w:t>
      </w:r>
    </w:p>
    <w:p>
      <w:pPr>
        <w:pStyle w:val="Bullet1"/>
        <w:spacing w:after="80" w:line="252" w:lineRule="auto"/>
      </w:pPr>
      <w:r>
        <w:rPr>
          <w:rFonts w:ascii="Noto Sans" w:hAnsi="Noto Sans"/>
        </w:rPr>
        <w:t>Critical offline flows are bounded, explicit and reconciled after reconnect; offline success is never silently represented as cloud-confirmed success.</w:t>
      </w:r>
    </w:p>
    <w:p>
      <w:pPr>
        <w:pStyle w:val="Heading1"/>
        <w:keepNext/>
      </w:pPr>
      <w:r>
        <w:t>2. Architecture Goals, Constraints &amp; Invariants</w:t>
      </w:r>
    </w:p>
    <w:p>
      <w:pPr>
        <w:pStyle w:val="Heading2"/>
        <w:keepNext/>
      </w:pPr>
      <w:r>
        <w:t>2.1 Product and Platform Goals</w:t>
      </w:r>
    </w:p>
    <w:p>
      <w:pPr>
        <w:pStyle w:val="Bullet1"/>
        <w:spacing w:after="80" w:line="252" w:lineRule="auto"/>
      </w:pPr>
      <w:r>
        <w:rPr>
          <w:rFonts w:ascii="Noto Sans" w:hAnsi="Noto Sans"/>
        </w:rPr>
        <w:t>Deliver V1 commercial completeness without requiring a microservice fleet or platform team disproportionate to the product stage.</w:t>
      </w:r>
    </w:p>
    <w:p>
      <w:pPr>
        <w:pStyle w:val="Bullet1"/>
        <w:spacing w:after="80" w:line="252" w:lineRule="auto"/>
      </w:pPr>
      <w:r>
        <w:rPr>
          <w:rFonts w:ascii="Noto Sans" w:hAnsi="Noto Sans"/>
        </w:rPr>
        <w:t>Scale logically to thousands of tenants, tens of thousands of locations and tens of millions of people without changing domain ownership.</w:t>
      </w:r>
    </w:p>
    <w:p>
      <w:pPr>
        <w:pStyle w:val="Bullet1"/>
        <w:spacing w:after="80" w:line="252" w:lineRule="auto"/>
      </w:pPr>
      <w:r>
        <w:rPr>
          <w:rFonts w:ascii="Noto Sans" w:hAnsi="Noto Sans"/>
        </w:rPr>
        <w:t>Allow selective future extraction of high-scale/high-risk capabilities such as access, payments, notifications, AI, search and public APIs.</w:t>
      </w:r>
    </w:p>
    <w:p>
      <w:pPr>
        <w:pStyle w:val="Bullet1"/>
        <w:spacing w:after="80" w:line="252" w:lineRule="auto"/>
      </w:pPr>
      <w:r>
        <w:rPr>
          <w:rFonts w:ascii="Noto Sans" w:hAnsi="Noto Sans"/>
        </w:rPr>
        <w:t>Make Jordan/MENA requirements first-class through regional adapters rather than hard-coded country branches.</w:t>
      </w:r>
    </w:p>
    <w:p>
      <w:pPr>
        <w:pStyle w:val="Bullet1"/>
        <w:spacing w:after="80" w:line="252" w:lineRule="auto"/>
      </w:pPr>
      <w:r>
        <w:rPr>
          <w:rFonts w:ascii="Noto Sans" w:hAnsi="Noto Sans"/>
        </w:rPr>
        <w:t>Support enterprise isolation, SSO/SCIM, data residency and dedicated infrastructure as deployment policies rather than product forks.</w:t>
      </w:r>
    </w:p>
    <w:p>
      <w:pPr>
        <w:pStyle w:val="Bullet1"/>
      </w:pPr>
      <w:r>
        <w:t>Use one shared Kotlin Multiplatform mobile product codebase for Coach and Member on Android and iOS, including shared Compose Multiplatform UI, while preserving native platform adapters and per-platform release control.</w:t>
      </w:r>
    </w:p>
    <w:p>
      <w:pPr>
        <w:pStyle w:val="Bullet1"/>
        <w:spacing w:after="80" w:line="252" w:lineRule="auto"/>
      </w:pPr>
      <w:r>
        <w:rPr>
          <w:rFonts w:ascii="Noto Sans" w:hAnsi="Noto Sans"/>
        </w:rPr>
        <w:t>Keep the architecture auditable: each requirement has an owner, domain, contract, test, runbook and measurable success/failure signal.</w:t>
      </w:r>
    </w:p>
    <w:p>
      <w:pPr>
        <w:pStyle w:val="Heading2"/>
        <w:keepNext/>
      </w:pPr>
      <w:r>
        <w:t>2.2 Global Invariants</w:t>
      </w:r>
    </w:p>
    <w:tbl>
      <w:tblPr>
        <w:tblStyle w:val="TableGrid"/>
        <w:tblW w:type="dxa" w:w="9684"/>
        <w:jc w:val="center"/>
        <w:tblLayout w:type="autofit"/>
        <w:tblLook w:firstColumn="1" w:firstRow="1" w:lastColumn="0" w:lastRow="0" w:noHBand="0" w:noVBand="1" w:val="04A0"/>
      </w:tblPr>
      <w:tblGrid>
        <w:gridCol w:w="4842"/>
        <w:gridCol w:w="4842"/>
      </w:tblGrid>
      <w:tr>
        <w:trPr>
          <w:tblHeader w:val="true"/>
          <w:tblHeader w:val="true"/>
        </w:trPr>
        <w:tc>
          <w:tcPr>
            <w:tcW w:type="dxa" w:w="1489"/>
            <w:shd w:fill="2F5B86"/>
            <w:tcMar>
              <w:top w:w="70" w:type="dxa"/>
              <w:start w:w="90" w:type="dxa"/>
              <w:bottom w:w="70" w:type="dxa"/>
              <w:end w:w="90" w:type="dxa"/>
              <w:left w:w="80" w:type="dxa"/>
              <w:right w:w="80" w:type="dxa"/>
            </w:tcMar>
            <w:vAlign w:val="center"/>
          </w:tcPr>
          <w:p>
            <w:pPr>
              <w:jc w:val="center"/>
            </w:pPr>
            <w:r>
              <w:rPr>
                <w:rFonts w:ascii="Noto Sans" w:hAnsi="Noto Sans"/>
                <w:b/>
                <w:color w:val="FFFFFF"/>
                <w:sz w:val="17"/>
              </w:rPr>
              <w:t>ID</w:t>
            </w:r>
          </w:p>
        </w:tc>
        <w:tc>
          <w:tcPr>
            <w:tcW w:type="dxa" w:w="8368"/>
            <w:shd w:fill="2F5B86"/>
            <w:tcMar>
              <w:top w:w="70" w:type="dxa"/>
              <w:start w:w="90" w:type="dxa"/>
              <w:bottom w:w="70" w:type="dxa"/>
              <w:end w:w="90" w:type="dxa"/>
              <w:left w:w="80" w:type="dxa"/>
              <w:right w:w="80" w:type="dxa"/>
            </w:tcMar>
            <w:vAlign w:val="center"/>
          </w:tcPr>
          <w:p>
            <w:pPr>
              <w:jc w:val="center"/>
            </w:pPr>
            <w:r>
              <w:rPr>
                <w:rFonts w:ascii="Noto Sans" w:hAnsi="Noto Sans"/>
                <w:b/>
                <w:color w:val="FFFFFF"/>
                <w:sz w:val="17"/>
              </w:rPr>
              <w:t>Invariant</w:t>
            </w:r>
          </w:p>
        </w:tc>
      </w:tr>
      <w:tr>
        <w:tc>
          <w:tcPr>
            <w:tcW w:type="dxa" w:w="148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7"/>
              </w:rPr>
              <w:t>TEN-001</w:t>
            </w:r>
          </w:p>
        </w:tc>
        <w:tc>
          <w:tcPr>
            <w:tcW w:type="dxa" w:w="836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7"/>
              </w:rPr>
              <w:t>Every persisted tenant-owned object belongs to exactly one tenant_id. Platform-global records are explicitly marked platform_scope.</w:t>
            </w:r>
          </w:p>
        </w:tc>
      </w:tr>
      <w:tr>
        <w:tc>
          <w:tcPr>
            <w:tcW w:type="dxa" w:w="148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7"/>
              </w:rPr>
              <w:t>TEN-002</w:t>
            </w:r>
          </w:p>
        </w:tc>
        <w:tc>
          <w:tcPr>
            <w:tcW w:type="dxa" w:w="836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7"/>
              </w:rPr>
              <w:t>Tenant context is resolved server-side from authenticated authority; clients cannot arbitrarily select a tenant_id in a trusted write path.</w:t>
            </w:r>
          </w:p>
        </w:tc>
      </w:tr>
      <w:tr>
        <w:tc>
          <w:tcPr>
            <w:tcW w:type="dxa" w:w="148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7"/>
              </w:rPr>
              <w:t>DOM-001</w:t>
            </w:r>
          </w:p>
        </w:tc>
        <w:tc>
          <w:tcPr>
            <w:tcW w:type="dxa" w:w="836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7"/>
              </w:rPr>
              <w:t>No cross-domain direct table writes. Cross-domain operations call domain application services or publish/consume events.</w:t>
            </w:r>
          </w:p>
        </w:tc>
      </w:tr>
      <w:tr>
        <w:tc>
          <w:tcPr>
            <w:tcW w:type="dxa" w:w="148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7"/>
              </w:rPr>
              <w:t>DOM-002</w:t>
            </w:r>
          </w:p>
        </w:tc>
        <w:tc>
          <w:tcPr>
            <w:tcW w:type="dxa" w:w="836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7"/>
              </w:rPr>
              <w:t>Each mutable aggregate uses optimistic concurrency/versioning. Lost-update behavior must be explicit.</w:t>
            </w:r>
          </w:p>
        </w:tc>
      </w:tr>
      <w:tr>
        <w:tc>
          <w:tcPr>
            <w:tcW w:type="dxa" w:w="148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7"/>
              </w:rPr>
              <w:t>FIN-001</w:t>
            </w:r>
          </w:p>
        </w:tc>
        <w:tc>
          <w:tcPr>
            <w:tcW w:type="dxa" w:w="836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7"/>
              </w:rPr>
              <w:t>Money is never represented as floating point. Persist integer minor units plus ISO-4217 currency; JOD uses three-decimal minor units.</w:t>
            </w:r>
          </w:p>
        </w:tc>
      </w:tr>
      <w:tr>
        <w:tc>
          <w:tcPr>
            <w:tcW w:type="dxa" w:w="148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7"/>
              </w:rPr>
              <w:t>FIN-002</w:t>
            </w:r>
          </w:p>
        </w:tc>
        <w:tc>
          <w:tcPr>
            <w:tcW w:type="dxa" w:w="836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7"/>
              </w:rPr>
              <w:t>Ledger postings are append-only, balanced and idempotent. Historical commercial terms are immutable snapshots.</w:t>
            </w:r>
          </w:p>
        </w:tc>
      </w:tr>
      <w:tr>
        <w:tc>
          <w:tcPr>
            <w:tcW w:type="dxa" w:w="148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7"/>
              </w:rPr>
              <w:t>EVT-001</w:t>
            </w:r>
          </w:p>
        </w:tc>
        <w:tc>
          <w:tcPr>
            <w:tcW w:type="dxa" w:w="836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7"/>
              </w:rPr>
              <w:t>Every material state transition emits a durable versioned domain event through the transactional outbox.</w:t>
            </w:r>
          </w:p>
        </w:tc>
      </w:tr>
      <w:tr>
        <w:tc>
          <w:tcPr>
            <w:tcW w:type="dxa" w:w="148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7"/>
              </w:rPr>
              <w:t>EVT-002</w:t>
            </w:r>
          </w:p>
        </w:tc>
        <w:tc>
          <w:tcPr>
            <w:tcW w:type="dxa" w:w="836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7"/>
              </w:rPr>
              <w:t>Consumers assume at-least-once delivery and therefore deduplicate by event_id/idempotency key.</w:t>
            </w:r>
          </w:p>
        </w:tc>
      </w:tr>
      <w:tr>
        <w:tc>
          <w:tcPr>
            <w:tcW w:type="dxa" w:w="148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7"/>
              </w:rPr>
              <w:t>IAM-001</w:t>
            </w:r>
          </w:p>
        </w:tc>
        <w:tc>
          <w:tcPr>
            <w:tcW w:type="dxa" w:w="836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7"/>
              </w:rPr>
              <w:t>Authentication identity is separate from tenant business profile and role assignment.</w:t>
            </w:r>
          </w:p>
        </w:tc>
      </w:tr>
      <w:tr>
        <w:tc>
          <w:tcPr>
            <w:tcW w:type="dxa" w:w="148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7"/>
              </w:rPr>
              <w:t>IAM-002</w:t>
            </w:r>
          </w:p>
        </w:tc>
        <w:tc>
          <w:tcPr>
            <w:tcW w:type="dxa" w:w="836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7"/>
              </w:rPr>
              <w:t>Authorization is enforced in the domain application layer even when the UI hides an action.</w:t>
            </w:r>
          </w:p>
        </w:tc>
      </w:tr>
      <w:tr>
        <w:tc>
          <w:tcPr>
            <w:tcW w:type="dxa" w:w="148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7"/>
              </w:rPr>
              <w:t>AUD-001</w:t>
            </w:r>
          </w:p>
        </w:tc>
        <w:tc>
          <w:tcPr>
            <w:tcW w:type="dxa" w:w="836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7"/>
              </w:rPr>
              <w:t>Privileged, financial, access, consent, biometric, AI and support actions create immutable audit evidence.</w:t>
            </w:r>
          </w:p>
        </w:tc>
      </w:tr>
      <w:tr>
        <w:tc>
          <w:tcPr>
            <w:tcW w:type="dxa" w:w="148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7"/>
              </w:rPr>
              <w:t>OFF-001</w:t>
            </w:r>
          </w:p>
        </w:tc>
        <w:tc>
          <w:tcPr>
            <w:tcW w:type="dxa" w:w="836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7"/>
              </w:rPr>
              <w:t>Offline decisions are limited by signed snapshots, explicit TTLs and reconciliation rules.</w:t>
            </w:r>
          </w:p>
        </w:tc>
      </w:tr>
      <w:tr>
        <w:tc>
          <w:tcPr>
            <w:tcW w:type="dxa" w:w="148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7"/>
              </w:rPr>
              <w:t>AI-001</w:t>
            </w:r>
          </w:p>
        </w:tc>
        <w:tc>
          <w:tcPr>
            <w:tcW w:type="dxa" w:w="836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7"/>
              </w:rPr>
              <w:t>AI retrieval is permission-filtered before retrieval and revalidated before response/tool execution.</w:t>
            </w:r>
          </w:p>
        </w:tc>
      </w:tr>
      <w:tr>
        <w:tc>
          <w:tcPr>
            <w:tcW w:type="dxa" w:w="148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7"/>
              </w:rPr>
              <w:t>DEL-001</w:t>
            </w:r>
          </w:p>
        </w:tc>
        <w:tc>
          <w:tcPr>
            <w:tcW w:type="dxa" w:w="836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7"/>
              </w:rPr>
              <w:t>Deletion is a governed lifecycle with legal hold, export, credential revocation and retention checks; hard deletion is never a UI shortcut.</w:t>
            </w:r>
          </w:p>
        </w:tc>
      </w:tr>
    </w:tbl>
    <w:p>
      <w:pPr>
        <w:spacing w:after="40"/>
      </w:pPr>
    </w:p>
    <w:p>
      <w:pPr>
        <w:pStyle w:val="Heading1"/>
        <w:keepNext/>
      </w:pPr>
      <w:r>
        <w:t>3. Architecture Decisions (ADRs)</w:t>
      </w:r>
    </w:p>
    <w:tbl>
      <w:tblPr>
        <w:tblStyle w:val="TableGrid"/>
        <w:tblW w:type="dxa" w:w="9684"/>
        <w:jc w:val="center"/>
        <w:tblLayout w:type="autofit"/>
        <w:tblLook w:firstColumn="1" w:firstRow="1" w:lastColumn="0" w:lastRow="0" w:noHBand="0" w:noVBand="1" w:val="04A0"/>
      </w:tblPr>
      <w:tblGrid>
        <w:gridCol w:w="1936"/>
        <w:gridCol w:w="1937"/>
        <w:gridCol w:w="1937"/>
        <w:gridCol w:w="1937"/>
        <w:gridCol w:w="1937"/>
      </w:tblGrid>
      <w:tr>
        <w:trPr>
          <w:tblHeader w:val="true"/>
          <w:tblHeader w:val="true"/>
        </w:trPr>
        <w:tc>
          <w:tcPr>
            <w:tcW w:type="dxa" w:w="964"/>
            <w:shd w:fill="2F5B86"/>
            <w:tcMar>
              <w:top w:w="70" w:type="dxa"/>
              <w:start w:w="90" w:type="dxa"/>
              <w:bottom w:w="70" w:type="dxa"/>
              <w:end w:w="90" w:type="dxa"/>
              <w:left w:w="80" w:type="dxa"/>
              <w:right w:w="80" w:type="dxa"/>
            </w:tcMar>
            <w:vAlign w:val="center"/>
          </w:tcPr>
          <w:p>
            <w:pPr>
              <w:jc w:val="center"/>
            </w:pPr>
            <w:r>
              <w:rPr>
                <w:rFonts w:ascii="Noto Sans" w:hAnsi="Noto Sans"/>
                <w:b/>
                <w:color w:val="FFFFFF"/>
                <w:sz w:val="15"/>
              </w:rPr>
              <w:t>ADR</w:t>
            </w:r>
          </w:p>
        </w:tc>
        <w:tc>
          <w:tcPr>
            <w:tcW w:type="dxa" w:w="2270"/>
            <w:shd w:fill="2F5B86"/>
            <w:tcMar>
              <w:top w:w="70" w:type="dxa"/>
              <w:start w:w="90" w:type="dxa"/>
              <w:bottom w:w="70" w:type="dxa"/>
              <w:end w:w="90" w:type="dxa"/>
              <w:left w:w="80" w:type="dxa"/>
              <w:right w:w="80" w:type="dxa"/>
            </w:tcMar>
            <w:vAlign w:val="center"/>
          </w:tcPr>
          <w:p>
            <w:pPr>
              <w:jc w:val="center"/>
            </w:pPr>
            <w:r>
              <w:rPr>
                <w:rFonts w:ascii="Noto Sans" w:hAnsi="Noto Sans"/>
                <w:b/>
                <w:color w:val="FFFFFF"/>
                <w:sz w:val="15"/>
              </w:rPr>
              <w:t>Decision</w:t>
            </w:r>
          </w:p>
        </w:tc>
        <w:tc>
          <w:tcPr>
            <w:tcW w:type="dxa" w:w="1064"/>
            <w:shd w:fill="2F5B86"/>
            <w:tcMar>
              <w:top w:w="70" w:type="dxa"/>
              <w:start w:w="90" w:type="dxa"/>
              <w:bottom w:w="70" w:type="dxa"/>
              <w:end w:w="90" w:type="dxa"/>
              <w:left w:w="80" w:type="dxa"/>
              <w:right w:w="80" w:type="dxa"/>
            </w:tcMar>
            <w:vAlign w:val="center"/>
          </w:tcPr>
          <w:p>
            <w:pPr>
              <w:jc w:val="center"/>
            </w:pPr>
            <w:r>
              <w:rPr>
                <w:rFonts w:ascii="Noto Sans" w:hAnsi="Noto Sans"/>
                <w:b/>
                <w:color w:val="FFFFFF"/>
                <w:sz w:val="15"/>
              </w:rPr>
              <w:t>Status</w:t>
            </w:r>
          </w:p>
        </w:tc>
        <w:tc>
          <w:tcPr>
            <w:tcW w:type="dxa" w:w="3476"/>
            <w:shd w:fill="2F5B86"/>
            <w:tcMar>
              <w:top w:w="70" w:type="dxa"/>
              <w:start w:w="90" w:type="dxa"/>
              <w:bottom w:w="70" w:type="dxa"/>
              <w:end w:w="90" w:type="dxa"/>
              <w:left w:w="80" w:type="dxa"/>
              <w:right w:w="80" w:type="dxa"/>
            </w:tcMar>
            <w:vAlign w:val="center"/>
          </w:tcPr>
          <w:p>
            <w:pPr>
              <w:jc w:val="center"/>
            </w:pPr>
            <w:r>
              <w:rPr>
                <w:rFonts w:ascii="Noto Sans" w:hAnsi="Noto Sans"/>
                <w:b/>
                <w:color w:val="FFFFFF"/>
                <w:sz w:val="15"/>
              </w:rPr>
              <w:t>Rule</w:t>
            </w:r>
          </w:p>
        </w:tc>
        <w:tc>
          <w:tcPr>
            <w:tcW w:type="dxa" w:w="2341"/>
            <w:shd w:fill="2F5B86"/>
            <w:tcMar>
              <w:top w:w="70" w:type="dxa"/>
              <w:start w:w="90" w:type="dxa"/>
              <w:bottom w:w="70" w:type="dxa"/>
              <w:end w:w="90" w:type="dxa"/>
              <w:left w:w="80" w:type="dxa"/>
              <w:right w:w="80" w:type="dxa"/>
            </w:tcMar>
            <w:vAlign w:val="center"/>
          </w:tcPr>
          <w:p>
            <w:pPr>
              <w:jc w:val="center"/>
            </w:pPr>
            <w:r>
              <w:rPr>
                <w:rFonts w:ascii="Noto Sans" w:hAnsi="Noto Sans"/>
                <w:b/>
                <w:color w:val="FFFFFF"/>
                <w:sz w:val="15"/>
              </w:rPr>
              <w:t>Rationale</w:t>
            </w:r>
          </w:p>
        </w:tc>
      </w:tr>
      <w:tr>
        <w:tc>
          <w:tcPr>
            <w:tcW w:type="dxa" w:w="964"/>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ADR-001</w:t>
            </w:r>
          </w:p>
        </w:tc>
        <w:tc>
          <w:tcPr>
            <w:tcW w:type="dxa" w:w="227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Modular monolith first</w:t>
            </w:r>
          </w:p>
        </w:tc>
        <w:tc>
          <w:tcPr>
            <w:tcW w:type="dxa" w:w="1064"/>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Accepted</w:t>
            </w:r>
          </w:p>
        </w:tc>
        <w:tc>
          <w:tcPr>
            <w:tcW w:type="dxa" w:w="347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One deployable authoritative business application with explicit domain modules; extract services only when scale/ownership/isolation requires it.</w:t>
            </w:r>
          </w:p>
        </w:tc>
        <w:tc>
          <w:tcPr>
            <w:tcW w:type="dxa" w:w="234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Avoids premature distributed transactions and operational overhead while preserving boundaries.</w:t>
            </w:r>
          </w:p>
        </w:tc>
      </w:tr>
      <w:tr>
        <w:tc>
          <w:tcPr>
            <w:tcW w:type="dxa" w:w="964"/>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ADR-002</w:t>
            </w:r>
          </w:p>
        </w:tc>
        <w:tc>
          <w:tcPr>
            <w:tcW w:type="dxa" w:w="2270"/>
            <w:tcMar>
              <w:top w:w="70" w:type="dxa"/>
              <w:start w:w="85" w:type="dxa"/>
              <w:bottom w:w="70" w:type="dxa"/>
              <w:end w:w="85" w:type="dxa"/>
              <w:left w:w="80" w:type="dxa"/>
              <w:right w:w="80" w:type="dxa"/>
            </w:tcMar>
            <w:vAlign w:val="center"/>
          </w:tcPr>
          <w:p>
            <w:r>
              <w:t>Shared PostgreSQL + enforced tenant RLS for standard plans</w:t>
            </w:r>
          </w:p>
        </w:tc>
        <w:tc>
          <w:tcPr>
            <w:tcW w:type="dxa" w:w="1064"/>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Accepted</w:t>
            </w:r>
          </w:p>
        </w:tc>
        <w:tc>
          <w:tcPr>
            <w:tcW w:type="dxa" w:w="3476"/>
            <w:tcMar>
              <w:top w:w="70" w:type="dxa"/>
              <w:start w:w="85" w:type="dxa"/>
              <w:bottom w:w="70" w:type="dxa"/>
              <w:end w:w="85" w:type="dxa"/>
              <w:left w:w="80" w:type="dxa"/>
              <w:right w:w="80" w:type="dxa"/>
            </w:tcMar>
            <w:vAlign w:val="center"/>
          </w:tcPr>
          <w:p>
            <w:r>
              <w:t>Runtime DB roles are non-owner, NOBYPASSRLS and never superuser; every tenant table has tenant_id NOT NULL, ENABLE + FORCE ROW LEVEL SECURITY, and a policy keyed to transaction-local tenant context. CI blocks non-compliant migrations.</w:t>
            </w:r>
          </w:p>
        </w:tc>
        <w:tc>
          <w:tcPr>
            <w:tcW w:type="dxa" w:w="2341"/>
            <w:tcMar>
              <w:top w:w="70" w:type="dxa"/>
              <w:start w:w="85" w:type="dxa"/>
              <w:bottom w:w="70" w:type="dxa"/>
              <w:end w:w="85" w:type="dxa"/>
              <w:left w:w="80" w:type="dxa"/>
              <w:right w:w="80" w:type="dxa"/>
            </w:tcMar>
            <w:vAlign w:val="center"/>
          </w:tcPr>
          <w:p>
            <w:r>
              <w:t>Makes RLS an enforced database control rather than an application convention and preserves the enterprise relocation path.</w:t>
            </w:r>
          </w:p>
        </w:tc>
      </w:tr>
      <w:tr>
        <w:tc>
          <w:tcPr>
            <w:tcW w:type="dxa" w:w="964"/>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ADR-003</w:t>
            </w:r>
          </w:p>
        </w:tc>
        <w:tc>
          <w:tcPr>
            <w:tcW w:type="dxa" w:w="227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Control plane separated from product plane</w:t>
            </w:r>
          </w:p>
        </w:tc>
        <w:tc>
          <w:tcPr>
            <w:tcW w:type="dxa" w:w="1064"/>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Accepted</w:t>
            </w:r>
          </w:p>
        </w:tc>
        <w:tc>
          <w:tcPr>
            <w:tcW w:type="dxa" w:w="3476"/>
            <w:tcMar>
              <w:top w:w="70" w:type="dxa"/>
              <w:start w:w="85" w:type="dxa"/>
              <w:bottom w:w="70" w:type="dxa"/>
              <w:end w:w="85" w:type="dxa"/>
              <w:left w:w="80" w:type="dxa"/>
              <w:right w:w="80" w:type="dxa"/>
            </w:tcMar>
            <w:vAlign w:val="center"/>
          </w:tcPr>
          <w:p>
            <w:r>
              <w:t>Control plane runs as a separately deployed privileged API with a separate control-plane database and runtime role. Product-plane requests cannot query control-plane tables; signed configuration/entitlement projections cross the boundary.</w:t>
            </w:r>
          </w:p>
        </w:tc>
        <w:tc>
          <w:tcPr>
            <w:tcW w:type="dxa" w:w="2341"/>
            <w:tcMar>
              <w:top w:w="70" w:type="dxa"/>
              <w:start w:w="85" w:type="dxa"/>
              <w:bottom w:w="70" w:type="dxa"/>
              <w:end w:w="85" w:type="dxa"/>
              <w:left w:w="80" w:type="dxa"/>
              <w:right w:w="80" w:type="dxa"/>
            </w:tcMar>
            <w:vAlign w:val="center"/>
          </w:tcPr>
          <w:p>
            <w:r>
              <w:t>Creates a real security/blast-radius boundary while avoiding a microservice fleet for business domains.</w:t>
            </w:r>
          </w:p>
        </w:tc>
      </w:tr>
      <w:tr>
        <w:tc>
          <w:tcPr>
            <w:tcW w:type="dxa" w:w="964"/>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ADR-004</w:t>
            </w:r>
          </w:p>
        </w:tc>
        <w:tc>
          <w:tcPr>
            <w:tcW w:type="dxa" w:w="227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REST/JSON + OpenAPI with surface BFFs</w:t>
            </w:r>
          </w:p>
        </w:tc>
        <w:tc>
          <w:tcPr>
            <w:tcW w:type="dxa" w:w="1064"/>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Accepted</w:t>
            </w:r>
          </w:p>
        </w:tc>
        <w:tc>
          <w:tcPr>
            <w:tcW w:type="dxa" w:w="347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Versioned REST command/query APIs, cursor pagination, RFC 7807 errors and surface-specific composed read endpoints.</w:t>
            </w:r>
          </w:p>
        </w:tc>
        <w:tc>
          <w:tcPr>
            <w:tcW w:type="dxa" w:w="234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Strong tooling, generated clients and predictable mobile/web contracts.</w:t>
            </w:r>
          </w:p>
        </w:tc>
      </w:tr>
      <w:tr>
        <w:tc>
          <w:tcPr>
            <w:tcW w:type="dxa" w:w="964"/>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ADR-005</w:t>
            </w:r>
          </w:p>
        </w:tc>
        <w:tc>
          <w:tcPr>
            <w:tcW w:type="dxa" w:w="2270"/>
            <w:tcMar>
              <w:top w:w="70" w:type="dxa"/>
              <w:start w:w="85" w:type="dxa"/>
              <w:bottom w:w="70" w:type="dxa"/>
              <w:end w:w="85" w:type="dxa"/>
              <w:left w:w="80" w:type="dxa"/>
              <w:right w:w="80" w:type="dxa"/>
            </w:tcMar>
            <w:vAlign w:val="center"/>
          </w:tcPr>
          <w:p>
            <w:r>
              <w:t>Transactional outbox + managed queue/event transport</w:t>
            </w:r>
          </w:p>
        </w:tc>
        <w:tc>
          <w:tcPr>
            <w:tcW w:type="dxa" w:w="1064"/>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Accepted</w:t>
            </w:r>
          </w:p>
        </w:tc>
        <w:tc>
          <w:tcPr>
            <w:tcW w:type="dxa" w:w="3476"/>
            <w:tcMar>
              <w:top w:w="70" w:type="dxa"/>
              <w:start w:w="85" w:type="dxa"/>
              <w:bottom w:w="70" w:type="dxa"/>
              <w:end w:w="85" w:type="dxa"/>
              <w:left w:w="80" w:type="dxa"/>
              <w:right w:w="80" w:type="dxa"/>
            </w:tcMar>
            <w:vAlign w:val="center"/>
          </w:tcPr>
          <w:p>
            <w:r>
              <w:t>State and outbox commit atomically. V1 publishes through EventBridge/SNS with per-consumer SQS queues and an immutable object-store event archive; Kafka is an extraction trigger, not a Foundation dependency.</w:t>
            </w:r>
          </w:p>
        </w:tc>
        <w:tc>
          <w:tcPr>
            <w:tcW w:type="dxa" w:w="2341"/>
            <w:tcMar>
              <w:top w:w="70" w:type="dxa"/>
              <w:start w:w="85" w:type="dxa"/>
              <w:bottom w:w="70" w:type="dxa"/>
              <w:end w:w="85" w:type="dxa"/>
              <w:left w:w="80" w:type="dxa"/>
              <w:right w:w="80" w:type="dxa"/>
            </w:tcMar>
            <w:vAlign w:val="center"/>
          </w:tcPr>
          <w:p>
            <w:r>
              <w:t>Preserves event contracts, fan-out and retry without operating a replay-oriented streaming cluster before volume requires it.</w:t>
            </w:r>
          </w:p>
        </w:tc>
      </w:tr>
      <w:tr>
        <w:tc>
          <w:tcPr>
            <w:tcW w:type="dxa" w:w="964"/>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ADR-006</w:t>
            </w:r>
          </w:p>
        </w:tc>
        <w:tc>
          <w:tcPr>
            <w:tcW w:type="dxa" w:w="227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Temporal-style durable workflow orchestration</w:t>
            </w:r>
          </w:p>
        </w:tc>
        <w:tc>
          <w:tcPr>
            <w:tcW w:type="dxa" w:w="1064"/>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Accepted</w:t>
            </w:r>
          </w:p>
        </w:tc>
        <w:tc>
          <w:tcPr>
            <w:tcW w:type="dxa" w:w="3476"/>
            <w:tcMar>
              <w:top w:w="70" w:type="dxa"/>
              <w:start w:w="85" w:type="dxa"/>
              <w:bottom w:w="70" w:type="dxa"/>
              <w:end w:w="85" w:type="dxa"/>
              <w:left w:w="80" w:type="dxa"/>
              <w:right w:w="80" w:type="dxa"/>
            </w:tcMar>
            <w:vAlign w:val="center"/>
          </w:tcPr>
          <w:p>
            <w:r>
              <w:t>Temporal-style durable workflows are limited initially to provisioning, migration and dunning; other processes use explicit domain state machines plus scheduled workers.</w:t>
            </w:r>
          </w:p>
        </w:tc>
        <w:tc>
          <w:tcPr>
            <w:tcW w:type="dxa" w:w="2341"/>
            <w:tcMar>
              <w:top w:w="70" w:type="dxa"/>
              <w:start w:w="85" w:type="dxa"/>
              <w:bottom w:w="70" w:type="dxa"/>
              <w:end w:w="85" w:type="dxa"/>
              <w:left w:w="80" w:type="dxa"/>
              <w:right w:w="80" w:type="dxa"/>
            </w:tcMar>
            <w:vAlign w:val="center"/>
          </w:tcPr>
          <w:p>
            <w:r>
              <w:t>Keeps durable orchestration where timers/resume value is high without making every workflow a second state store.</w:t>
            </w:r>
          </w:p>
        </w:tc>
      </w:tr>
      <w:tr>
        <w:tc>
          <w:tcPr>
            <w:tcW w:type="dxa" w:w="964"/>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ADR-007</w:t>
            </w:r>
          </w:p>
        </w:tc>
        <w:tc>
          <w:tcPr>
            <w:tcW w:type="dxa" w:w="227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Append-only double-entry financial ledger</w:t>
            </w:r>
          </w:p>
        </w:tc>
        <w:tc>
          <w:tcPr>
            <w:tcW w:type="dxa" w:w="1064"/>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Accepted</w:t>
            </w:r>
          </w:p>
        </w:tc>
        <w:tc>
          <w:tcPr>
            <w:tcW w:type="dxa" w:w="3476"/>
            <w:tcMar>
              <w:top w:w="70" w:type="dxa"/>
              <w:start w:w="85" w:type="dxa"/>
              <w:bottom w:w="70" w:type="dxa"/>
              <w:end w:w="85" w:type="dxa"/>
              <w:left w:w="80" w:type="dxa"/>
              <w:right w:w="80" w:type="dxa"/>
            </w:tcMar>
            <w:vAlign w:val="center"/>
          </w:tcPr>
          <w:p>
            <w:r>
              <w:t>Balanced immutable postings include cash/receivable/provider clearing, tax, wallet/service-credit liabilities, unearned revenue, earned revenue, contra revenue, COGS and FX gain/loss. Recognition schedules and corrections append; they never rewrite posted history.</w:t>
            </w:r>
          </w:p>
        </w:tc>
        <w:tc>
          <w:tcPr>
            <w:tcW w:type="dxa" w:w="234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Financial correctness, reconciliation and auditability.</w:t>
            </w:r>
          </w:p>
        </w:tc>
      </w:tr>
      <w:tr>
        <w:tc>
          <w:tcPr>
            <w:tcW w:type="dxa" w:w="964"/>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ADR-008</w:t>
            </w:r>
          </w:p>
        </w:tc>
        <w:tc>
          <w:tcPr>
            <w:tcW w:type="dxa" w:w="227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Membership and entitlement are separate</w:t>
            </w:r>
          </w:p>
        </w:tc>
        <w:tc>
          <w:tcPr>
            <w:tcW w:type="dxa" w:w="1064"/>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Accepted</w:t>
            </w:r>
          </w:p>
        </w:tc>
        <w:tc>
          <w:tcPr>
            <w:tcW w:type="dxa" w:w="3476"/>
            <w:tcMar>
              <w:top w:w="70" w:type="dxa"/>
              <w:start w:w="85" w:type="dxa"/>
              <w:bottom w:w="70" w:type="dxa"/>
              <w:end w:w="85" w:type="dxa"/>
              <w:left w:w="80" w:type="dxa"/>
              <w:right w:w="80" w:type="dxa"/>
            </w:tcMar>
            <w:vAlign w:val="center"/>
          </w:tcPr>
          <w:p>
            <w:r>
              <w:t>COM-01 owns MemberEntitlementGrant and its reserve→consume→release lifecycle. PLT-03 uses the distinct term PlanEntitlement for SaaS packaging; COM-04 ServiceCredit is the financial liability view, not access authorization.</w:t>
            </w:r>
          </w:p>
        </w:tc>
        <w:tc>
          <w:tcPr>
            <w:tcW w:type="dxa" w:w="234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Keeps access/booking logic independent from product-plan internals.</w:t>
            </w:r>
          </w:p>
        </w:tc>
      </w:tr>
      <w:tr>
        <w:tc>
          <w:tcPr>
            <w:tcW w:type="dxa" w:w="964"/>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ADR-009</w:t>
            </w:r>
          </w:p>
        </w:tc>
        <w:tc>
          <w:tcPr>
            <w:tcW w:type="dxa" w:w="227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Managed authentication primitives, Veyro-owned authorization</w:t>
            </w:r>
          </w:p>
        </w:tc>
        <w:tc>
          <w:tcPr>
            <w:tcW w:type="dxa" w:w="1064"/>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Accepted</w:t>
            </w:r>
          </w:p>
        </w:tc>
        <w:tc>
          <w:tcPr>
            <w:tcW w:type="dxa" w:w="347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Use a mature OIDC/passkey/MFA provider boundary; Veyro owns tenant roles, scopes, assurance and business policy.</w:t>
            </w:r>
          </w:p>
        </w:tc>
        <w:tc>
          <w:tcPr>
            <w:tcW w:type="dxa" w:w="234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Avoids implementing credential cryptography while preserving product authorization control.</w:t>
            </w:r>
          </w:p>
        </w:tc>
      </w:tr>
      <w:tr>
        <w:tc>
          <w:tcPr>
            <w:tcW w:type="dxa" w:w="964"/>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ADR-010</w:t>
            </w:r>
          </w:p>
        </w:tc>
        <w:tc>
          <w:tcPr>
            <w:tcW w:type="dxa" w:w="227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Provider abstraction and regional packs</w:t>
            </w:r>
          </w:p>
        </w:tc>
        <w:tc>
          <w:tcPr>
            <w:tcW w:type="dxa" w:w="1064"/>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Accepted</w:t>
            </w:r>
          </w:p>
        </w:tc>
        <w:tc>
          <w:tcPr>
            <w:tcW w:type="dxa" w:w="347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Payments, tax/e-invoice, messaging, identity and hardware integrate through canonical capability interfaces.</w:t>
            </w:r>
          </w:p>
        </w:tc>
        <w:tc>
          <w:tcPr>
            <w:tcW w:type="dxa" w:w="234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Enables Jordan first without vendor/country lock-in.</w:t>
            </w:r>
          </w:p>
        </w:tc>
      </w:tr>
      <w:tr>
        <w:tc>
          <w:tcPr>
            <w:tcW w:type="dxa" w:w="964"/>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ADR-011</w:t>
            </w:r>
          </w:p>
        </w:tc>
        <w:tc>
          <w:tcPr>
            <w:tcW w:type="dxa" w:w="227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Edge agent for hardware and bounded offline operation</w:t>
            </w:r>
          </w:p>
        </w:tc>
        <w:tc>
          <w:tcPr>
            <w:tcW w:type="dxa" w:w="1064"/>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Accepted</w:t>
            </w:r>
          </w:p>
        </w:tc>
        <w:tc>
          <w:tcPr>
            <w:tcW w:type="dxa" w:w="3476"/>
            <w:tcMar>
              <w:top w:w="70" w:type="dxa"/>
              <w:start w:w="85" w:type="dxa"/>
              <w:bottom w:w="70" w:type="dxa"/>
              <w:end w:w="85" w:type="dxa"/>
              <w:left w:w="80" w:type="dxa"/>
              <w:right w:w="80" w:type="dxa"/>
            </w:tcMar>
            <w:vAlign w:val="center"/>
          </w:tcPr>
          <w:p>
            <w:r>
              <w:t>Pilot edge runtime is a Kotlin/JVM service on a managed gateway/mini-PC with mTLS, SQLite WAL and signed policy snapshots. Access-point configuration declares fail-safe/fail-secure hardware behavior; egress is never software-gated and emergency unlock has a hardware path.</w:t>
            </w:r>
          </w:p>
        </w:tc>
        <w:tc>
          <w:tcPr>
            <w:tcW w:type="dxa" w:w="234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Browsers alone are insufficient for reliable heterogeneous gym hardware/offline access.</w:t>
            </w:r>
          </w:p>
        </w:tc>
      </w:tr>
      <w:tr>
        <w:tc>
          <w:tcPr>
            <w:tcW w:type="dxa" w:w="964"/>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ADR-012</w:t>
            </w:r>
          </w:p>
        </w:tc>
        <w:tc>
          <w:tcPr>
            <w:tcW w:type="dxa" w:w="227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AI through model gateway and guarded tools</w:t>
            </w:r>
          </w:p>
        </w:tc>
        <w:tc>
          <w:tcPr>
            <w:tcW w:type="dxa" w:w="1064"/>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Accepted</w:t>
            </w:r>
          </w:p>
        </w:tc>
        <w:tc>
          <w:tcPr>
            <w:tcW w:type="dxa" w:w="347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AI can retrieve only authorized projections and mutate only through typed domain commands; high-risk tools require approval.</w:t>
            </w:r>
          </w:p>
        </w:tc>
        <w:tc>
          <w:tcPr>
            <w:tcW w:type="dxa" w:w="234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Prevents direct database access and unbounded autonomous actions.</w:t>
            </w:r>
          </w:p>
        </w:tc>
      </w:tr>
      <w:tr>
        <w:tc>
          <w:tcPr>
            <w:tcW w:type="dxa" w:w="964"/>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ADR-013</w:t>
            </w:r>
          </w:p>
        </w:tc>
        <w:tc>
          <w:tcPr>
            <w:tcW w:type="dxa" w:w="227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Operational OLTP separated from analytics</w:t>
            </w:r>
          </w:p>
        </w:tc>
        <w:tc>
          <w:tcPr>
            <w:tcW w:type="dxa" w:w="1064"/>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Accepted</w:t>
            </w:r>
          </w:p>
        </w:tc>
        <w:tc>
          <w:tcPr>
            <w:tcW w:type="dxa" w:w="347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V1 operational analytics may use read models; V1.5 adds event-fed analytics/lakehouse.</w:t>
            </w:r>
          </w:p>
        </w:tc>
        <w:tc>
          <w:tcPr>
            <w:tcW w:type="dxa" w:w="234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Protects transactional latency and creates governed metric ownership.</w:t>
            </w:r>
          </w:p>
        </w:tc>
      </w:tr>
      <w:tr>
        <w:tc>
          <w:tcPr>
            <w:tcW w:type="dxa" w:w="964"/>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ADR-014</w:t>
            </w:r>
          </w:p>
        </w:tc>
        <w:tc>
          <w:tcPr>
            <w:tcW w:type="dxa" w:w="227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AWS reference deployment, portable logical architecture</w:t>
            </w:r>
          </w:p>
        </w:tc>
        <w:tc>
          <w:tcPr>
            <w:tcW w:type="dxa" w:w="1064"/>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Accepted</w:t>
            </w:r>
          </w:p>
        </w:tc>
        <w:tc>
          <w:tcPr>
            <w:tcW w:type="dxa" w:w="3476"/>
            <w:tcMar>
              <w:top w:w="70" w:type="dxa"/>
              <w:start w:w="85" w:type="dxa"/>
              <w:bottom w:w="70" w:type="dxa"/>
              <w:end w:w="85" w:type="dxa"/>
              <w:left w:w="80" w:type="dxa"/>
              <w:right w:w="80" w:type="dxa"/>
            </w:tcMar>
            <w:vAlign w:val="center"/>
          </w:tcPr>
          <w:p>
            <w:r>
              <w:t>Jordan reference: AWS me-south-1 (Bahrain) primary across multiple AZs with me-central-1 (UAE) warm DR for Tier-1 data and application recovery. RDS cross-region replication, S3 CRR and pre-created infrastructure support measured failover; legal cross-border review is mandatory.</w:t>
            </w:r>
          </w:p>
        </w:tc>
        <w:tc>
          <w:tcPr>
            <w:tcW w:type="dxa" w:w="234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Pragmatic operations with an exit path.</w:t>
            </w:r>
          </w:p>
        </w:tc>
      </w:tr>
      <w:tr>
        <w:tc>
          <w:tcPr>
            <w:tcW w:type="dxa" w:w="964"/>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ADR-015</w:t>
            </w:r>
          </w:p>
        </w:tc>
        <w:tc>
          <w:tcPr>
            <w:tcW w:type="dxa" w:w="227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Backward-compatible expand/migrate/contract schema evolution</w:t>
            </w:r>
          </w:p>
        </w:tc>
        <w:tc>
          <w:tcPr>
            <w:tcW w:type="dxa" w:w="1064"/>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Accepted</w:t>
            </w:r>
          </w:p>
        </w:tc>
        <w:tc>
          <w:tcPr>
            <w:tcW w:type="dxa" w:w="347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No destructive schema change is deployed in the same release that stops reading the old shape.</w:t>
            </w:r>
          </w:p>
        </w:tc>
        <w:tc>
          <w:tcPr>
            <w:tcW w:type="dxa" w:w="234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Zero/low-downtime deployments and safe rollback.</w:t>
            </w:r>
          </w:p>
        </w:tc>
      </w:tr>
      <w:tr>
        <w:tc>
          <w:tcPr>
            <w:tcW w:type="dxa" w:w="964"/>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ADR-016</w:t>
            </w:r>
          </w:p>
        </w:tc>
        <w:tc>
          <w:tcPr>
            <w:tcW w:type="dxa" w:w="2270"/>
            <w:tcMar>
              <w:top w:w="70" w:type="dxa"/>
              <w:start w:w="85" w:type="dxa"/>
              <w:bottom w:w="70" w:type="dxa"/>
              <w:end w:w="85" w:type="dxa"/>
              <w:left w:w="80" w:type="dxa"/>
              <w:right w:w="80" w:type="dxa"/>
            </w:tcMar>
            <w:vAlign w:val="center"/>
          </w:tcPr>
          <w:p>
            <w:r/>
            <w:r>
              <w:rPr>
                <w:b w:val="0"/>
                <w:sz w:val="17"/>
              </w:rPr>
              <w:t>Kotlin Multiplatform + Compose Multiplatform mobile baseline</w:t>
            </w:r>
          </w:p>
        </w:tc>
        <w:tc>
          <w:tcPr>
            <w:tcW w:type="dxa" w:w="1064"/>
            <w:tcMar>
              <w:top w:w="70" w:type="dxa"/>
              <w:start w:w="85" w:type="dxa"/>
              <w:bottom w:w="70" w:type="dxa"/>
              <w:end w:w="85" w:type="dxa"/>
              <w:left w:w="80" w:type="dxa"/>
              <w:right w:w="80" w:type="dxa"/>
            </w:tcMar>
            <w:vAlign w:val="center"/>
          </w:tcPr>
          <w:p>
            <w:r>
              <w:t>Accepted with Foundation qualification gate</w:t>
            </w:r>
          </w:p>
        </w:tc>
        <w:tc>
          <w:tcPr>
            <w:tcW w:type="dxa" w:w="3476"/>
            <w:tcMar>
              <w:top w:w="70" w:type="dxa"/>
              <w:start w:w="85" w:type="dxa"/>
              <w:bottom w:w="70" w:type="dxa"/>
              <w:end w:w="85" w:type="dxa"/>
              <w:left w:w="80" w:type="dxa"/>
              <w:right w:w="80" w:type="dxa"/>
            </w:tcMar>
            <w:vAlign w:val="center"/>
          </w:tcPr>
          <w:p>
            <w:r>
              <w:t>Coach and Member target Kotlin Multiplatform + Compose Multiplatform on Android/iOS. A Foundation iOS qualification spike must pass RTL/bidi, VoiceOver, text input, long-list performance, background sync, deep links and secure adapters before broad feature implementation; failing capabilities use the native escape hatch without forking domain/data logic.</w:t>
            </w:r>
          </w:p>
        </w:tc>
        <w:tc>
          <w:tcPr>
            <w:tcW w:type="dxa" w:w="2341"/>
            <w:tcMar>
              <w:top w:w="70" w:type="dxa"/>
              <w:start w:w="85" w:type="dxa"/>
              <w:bottom w:w="70" w:type="dxa"/>
              <w:end w:w="85" w:type="dxa"/>
              <w:left w:w="80" w:type="dxa"/>
              <w:right w:w="80" w:type="dxa"/>
            </w:tcMar>
            <w:vAlign w:val="center"/>
          </w:tcPr>
          <w:p>
            <w:r/>
            <w:r>
              <w:rPr>
                <w:b w:val="0"/>
                <w:sz w:val="17"/>
              </w:rPr>
              <w:t>Maximizes product/UI parity and delivery leverage while retaining native access to Apple/Android capabilities and an explicit native interoperability escape hatch.</w:t>
            </w:r>
          </w:p>
        </w:tc>
      </w:tr>
      <w:tr>
        <w:tc>
          <w:tcPr>
            <w:tcW w:type="dxa" w:w="1937"/>
            <w:vAlign w:val="center"/>
            <w:tcMar>
              <w:top w:w="70" w:type="dxa"/>
              <w:left w:w="80" w:type="dxa"/>
              <w:bottom w:w="70" w:type="dxa"/>
              <w:right w:w="80" w:type="dxa"/>
            </w:tcMar>
          </w:tcPr>
          <w:p>
            <w:r/>
            <w:r>
              <w:rPr>
                <w:b w:val="0"/>
                <w:sz w:val="16"/>
              </w:rPr>
              <w:t>ADR-017</w:t>
            </w:r>
          </w:p>
        </w:tc>
        <w:tc>
          <w:tcPr>
            <w:tcW w:type="dxa" w:w="1937"/>
            <w:vAlign w:val="center"/>
            <w:tcMar>
              <w:top w:w="70" w:type="dxa"/>
              <w:left w:w="80" w:type="dxa"/>
              <w:bottom w:w="70" w:type="dxa"/>
              <w:right w:w="80" w:type="dxa"/>
            </w:tcMar>
          </w:tcPr>
          <w:p>
            <w:r/>
            <w:r>
              <w:rPr>
                <w:b w:val="0"/>
                <w:sz w:val="16"/>
              </w:rPr>
              <w:t>Native platform adapter boundary for mobile</w:t>
            </w:r>
          </w:p>
        </w:tc>
        <w:tc>
          <w:tcPr>
            <w:tcW w:type="dxa" w:w="1937"/>
            <w:vAlign w:val="center"/>
            <w:tcMar>
              <w:top w:w="70" w:type="dxa"/>
              <w:left w:w="80" w:type="dxa"/>
              <w:bottom w:w="70" w:type="dxa"/>
              <w:right w:w="80" w:type="dxa"/>
            </w:tcMar>
          </w:tcPr>
          <w:p>
            <w:r/>
            <w:r>
              <w:rPr>
                <w:b w:val="0"/>
                <w:sz w:val="16"/>
              </w:rPr>
              <w:t>Accepted</w:t>
            </w:r>
          </w:p>
        </w:tc>
        <w:tc>
          <w:tcPr>
            <w:tcW w:type="dxa" w:w="1937"/>
            <w:vAlign w:val="center"/>
            <w:tcMar>
              <w:top w:w="70" w:type="dxa"/>
              <w:left w:w="80" w:type="dxa"/>
              <w:bottom w:w="70" w:type="dxa"/>
              <w:right w:w="80" w:type="dxa"/>
            </w:tcMar>
          </w:tcPr>
          <w:p>
            <w:r>
              <w:t>commonMain cannot depend on Android/iOS SDK types. Restricted local data uses encrypted SQLite with platform-kept keys, TTL/purge rules and capture protection; secure storage, attestation, biometrics, push, background work, Wallet/Pay, Health, NFC and camera remain native adapters.</w:t>
            </w:r>
          </w:p>
        </w:tc>
        <w:tc>
          <w:tcPr>
            <w:tcW w:type="dxa" w:w="1937"/>
            <w:vAlign w:val="center"/>
            <w:tcMar>
              <w:top w:w="70" w:type="dxa"/>
              <w:left w:w="80" w:type="dxa"/>
              <w:bottom w:w="70" w:type="dxa"/>
              <w:right w:w="80" w:type="dxa"/>
            </w:tcMar>
          </w:tcPr>
          <w:p>
            <w:r/>
            <w:r>
              <w:rPr>
                <w:b w:val="0"/>
                <w:sz w:val="16"/>
              </w:rPr>
              <w:t>Prevents cross-platform code from becoming lowest-common-denominator while keeping platform-specific risk and lifecycle behavior explicit and testable.</w:t>
            </w:r>
          </w:p>
        </w:tc>
      </w:tr>
      <w:tr>
        <w:tc>
          <w:tcPr>
            <w:tcW w:type="dxa" w:w="1937"/>
            <w:tcMar>
              <w:top w:w="70" w:type="dxa"/>
              <w:left w:w="80" w:type="dxa"/>
              <w:bottom w:w="70" w:type="dxa"/>
              <w:right w:w="80" w:type="dxa"/>
            </w:tcMar>
          </w:tcPr>
          <w:p>
            <w:r>
              <w:t>ADR-018</w:t>
            </w:r>
          </w:p>
        </w:tc>
        <w:tc>
          <w:tcPr>
            <w:tcW w:type="dxa" w:w="1937"/>
            <w:tcMar>
              <w:top w:w="70" w:type="dxa"/>
              <w:left w:w="80" w:type="dxa"/>
              <w:bottom w:w="70" w:type="dxa"/>
              <w:right w:w="80" w:type="dxa"/>
            </w:tcMar>
          </w:tcPr>
          <w:p>
            <w:r>
              <w:t>Member entitlement ownership and concurrency</w:t>
            </w:r>
          </w:p>
        </w:tc>
        <w:tc>
          <w:tcPr>
            <w:tcW w:type="dxa" w:w="1937"/>
            <w:tcMar>
              <w:top w:w="70" w:type="dxa"/>
              <w:left w:w="80" w:type="dxa"/>
              <w:bottom w:w="70" w:type="dxa"/>
              <w:right w:w="80" w:type="dxa"/>
            </w:tcMar>
          </w:tcPr>
          <w:p>
            <w:r>
              <w:t>Accepted</w:t>
            </w:r>
          </w:p>
        </w:tc>
        <w:tc>
          <w:tcPr>
            <w:tcW w:type="dxa" w:w="1937"/>
            <w:tcMar>
              <w:top w:w="70" w:type="dxa"/>
              <w:left w:w="80" w:type="dxa"/>
              <w:bottom w:w="70" w:type="dxa"/>
              <w:right w:w="80" w:type="dxa"/>
            </w:tcMar>
          </w:tcPr>
          <w:p>
            <w:r>
              <w:t>COM-01 owns MemberEntitlementGrant with atomic reserve/consume/release/revoke/expire transitions, idempotency and optimistic version checks.</w:t>
            </w:r>
          </w:p>
        </w:tc>
        <w:tc>
          <w:tcPr>
            <w:tcW w:type="dxa" w:w="1937"/>
            <w:tcMar>
              <w:top w:w="70" w:type="dxa"/>
              <w:left w:w="80" w:type="dxa"/>
              <w:bottom w:w="70" w:type="dxa"/>
              <w:right w:w="80" w:type="dxa"/>
            </w:tcMar>
          </w:tcPr>
          <w:p>
            <w:r>
              <w:t>Prevents double-spend of credits and separates fulfilment rights from financial liability and SaaS plan entitlements.</w:t>
            </w:r>
          </w:p>
        </w:tc>
      </w:tr>
      <w:tr>
        <w:tc>
          <w:tcPr>
            <w:tcW w:type="dxa" w:w="1937"/>
            <w:tcMar>
              <w:top w:w="70" w:type="dxa"/>
              <w:left w:w="80" w:type="dxa"/>
              <w:bottom w:w="70" w:type="dxa"/>
              <w:right w:w="80" w:type="dxa"/>
            </w:tcMar>
          </w:tcPr>
          <w:p>
            <w:r>
              <w:t>ADR-019</w:t>
            </w:r>
          </w:p>
        </w:tc>
        <w:tc>
          <w:tcPr>
            <w:tcW w:type="dxa" w:w="1937"/>
            <w:tcMar>
              <w:top w:w="70" w:type="dxa"/>
              <w:left w:w="80" w:type="dxa"/>
              <w:bottom w:w="70" w:type="dxa"/>
              <w:right w:w="80" w:type="dxa"/>
            </w:tcMar>
          </w:tcPr>
          <w:p>
            <w:r>
              <w:t>Jordan fiscal document finalization</w:t>
            </w:r>
          </w:p>
        </w:tc>
        <w:tc>
          <w:tcPr>
            <w:tcW w:type="dxa" w:w="1937"/>
            <w:tcMar>
              <w:top w:w="70" w:type="dxa"/>
              <w:left w:w="80" w:type="dxa"/>
              <w:bottom w:w="70" w:type="dxa"/>
              <w:right w:w="80" w:type="dxa"/>
            </w:tcMar>
          </w:tcPr>
          <w:p>
            <w:r>
              <w:t>Accepted with external validation gate</w:t>
            </w:r>
          </w:p>
        </w:tc>
        <w:tc>
          <w:tcPr>
            <w:tcW w:type="dxa" w:w="1937"/>
            <w:tcMar>
              <w:top w:w="70" w:type="dxa"/>
              <w:left w:w="80" w:type="dxa"/>
              <w:bottom w:w="70" w:type="dxa"/>
              <w:right w:w="80" w:type="dxa"/>
            </w:tcMar>
          </w:tcPr>
          <w:p>
            <w:r>
              <w:t>Jordan tax invoices are server-authoritative and receive serial/fiscal provider acknowledgement before “fiscal-complete”. Offline terminals may create immutable pending-sale drafts but cannot represent them as tax invoices unless an ISTD-approved offline procedure is explicitly certified.</w:t>
            </w:r>
          </w:p>
        </w:tc>
        <w:tc>
          <w:tcPr>
            <w:tcW w:type="dxa" w:w="1937"/>
            <w:tcMar>
              <w:top w:w="70" w:type="dxa"/>
              <w:left w:w="80" w:type="dxa"/>
              <w:bottom w:w="70" w:type="dxa"/>
              <w:right w:w="80" w:type="dxa"/>
            </w:tcMar>
          </w:tcPr>
          <w:p>
            <w:r>
              <w:t>Prevents unlawful or duplicated invoice numbering while allowing bounded degraded operation.</w:t>
            </w:r>
          </w:p>
        </w:tc>
      </w:tr>
      <w:tr>
        <w:tc>
          <w:tcPr>
            <w:tcW w:type="dxa" w:w="1937"/>
            <w:tcMar>
              <w:top w:w="70" w:type="dxa"/>
              <w:left w:w="80" w:type="dxa"/>
              <w:bottom w:w="70" w:type="dxa"/>
              <w:right w:w="80" w:type="dxa"/>
            </w:tcMar>
          </w:tcPr>
          <w:p>
            <w:r>
              <w:t>ADR-020</w:t>
            </w:r>
          </w:p>
        </w:tc>
        <w:tc>
          <w:tcPr>
            <w:tcW w:type="dxa" w:w="1937"/>
            <w:tcMar>
              <w:top w:w="70" w:type="dxa"/>
              <w:left w:w="80" w:type="dxa"/>
              <w:bottom w:w="70" w:type="dxa"/>
              <w:right w:w="80" w:type="dxa"/>
            </w:tcMar>
          </w:tcPr>
          <w:p>
            <w:r>
              <w:t>Deletion reachability and crypto-shredding</w:t>
            </w:r>
          </w:p>
        </w:tc>
        <w:tc>
          <w:tcPr>
            <w:tcW w:type="dxa" w:w="1937"/>
            <w:tcMar>
              <w:top w:w="70" w:type="dxa"/>
              <w:left w:w="80" w:type="dxa"/>
              <w:bottom w:w="70" w:type="dxa"/>
              <w:right w:w="80" w:type="dxa"/>
            </w:tcMar>
          </w:tcPr>
          <w:p>
            <w:r>
              <w:t>Accepted</w:t>
            </w:r>
          </w:p>
        </w:tc>
        <w:tc>
          <w:tcPr>
            <w:tcW w:type="dxa" w:w="1937"/>
            <w:tcMar>
              <w:top w:w="70" w:type="dxa"/>
              <w:left w:w="80" w:type="dxa"/>
              <w:bottom w:w="70" w:type="dxa"/>
              <w:right w:w="80" w:type="dxa"/>
            </w:tcMar>
          </w:tcPr>
          <w:p>
            <w:r>
              <w:t>Every data store has a retention/deletion mechanism. Immutable/backup payloads contain minimized identifiers or encrypted subject envelopes whose wrapped data key can be destroyed after legal-hold checks.</w:t>
            </w:r>
          </w:p>
        </w:tc>
        <w:tc>
          <w:tcPr>
            <w:tcW w:type="dxa" w:w="1937"/>
            <w:tcMar>
              <w:top w:w="70" w:type="dxa"/>
              <w:left w:w="80" w:type="dxa"/>
              <w:bottom w:w="70" w:type="dxa"/>
              <w:right w:w="80" w:type="dxa"/>
            </w:tcMar>
          </w:tcPr>
          <w:p>
            <w:r>
              <w:t>Makes deletion evidence truthful across events, workflows, backups and analytics.</w:t>
            </w:r>
          </w:p>
        </w:tc>
      </w:tr>
      <w:tr>
        <w:tc>
          <w:tcPr>
            <w:tcW w:type="dxa" w:w="1937"/>
            <w:tcMar>
              <w:top w:w="70" w:type="dxa"/>
              <w:left w:w="80" w:type="dxa"/>
              <w:bottom w:w="70" w:type="dxa"/>
              <w:right w:w="80" w:type="dxa"/>
            </w:tcMar>
          </w:tcPr>
          <w:p>
            <w:r>
              <w:t>ADR-021</w:t>
            </w:r>
          </w:p>
        </w:tc>
        <w:tc>
          <w:tcPr>
            <w:tcW w:type="dxa" w:w="1937"/>
            <w:tcMar>
              <w:top w:w="70" w:type="dxa"/>
              <w:left w:w="80" w:type="dxa"/>
              <w:bottom w:w="70" w:type="dxa"/>
              <w:right w:w="80" w:type="dxa"/>
            </w:tcMar>
          </w:tcPr>
          <w:p>
            <w:r>
              <w:t>Jordan privacy and data-region posture</w:t>
            </w:r>
          </w:p>
        </w:tc>
        <w:tc>
          <w:tcPr>
            <w:tcW w:type="dxa" w:w="1937"/>
            <w:tcMar>
              <w:top w:w="70" w:type="dxa"/>
              <w:left w:w="80" w:type="dxa"/>
              <w:bottom w:w="70" w:type="dxa"/>
              <w:right w:w="80" w:type="dxa"/>
            </w:tcMar>
          </w:tcPr>
          <w:p>
            <w:r>
              <w:t>Accepted with legal validation gate</w:t>
            </w:r>
          </w:p>
        </w:tc>
        <w:tc>
          <w:tcPr>
            <w:tcW w:type="dxa" w:w="1937"/>
            <w:tcMar>
              <w:top w:w="70" w:type="dxa"/>
              <w:left w:w="80" w:type="dxa"/>
              <w:bottom w:w="70" w:type="dxa"/>
              <w:right w:w="80" w:type="dxa"/>
            </w:tcMar>
          </w:tcPr>
          <w:p>
            <w:r>
              <w:t>Jordan PDPL No. 24 of 2023 is the launch privacy baseline; Veyro is processor for tenant member data unless a use case makes it controller. Primary hosting is Bahrain with UAE DR, subject to transfer/DPA/subprocessor/DPIA validation.</w:t>
            </w:r>
          </w:p>
        </w:tc>
        <w:tc>
          <w:tcPr>
            <w:tcW w:type="dxa" w:w="1937"/>
            <w:tcMar>
              <w:top w:w="70" w:type="dxa"/>
              <w:left w:w="80" w:type="dxa"/>
              <w:bottom w:w="70" w:type="dxa"/>
              <w:right w:w="80" w:type="dxa"/>
            </w:tcMar>
          </w:tcPr>
          <w:p>
            <w:r>
              <w:t>Moves privacy from an enterprise afterthought to a Foundation control for financial, health and biometric data.</w:t>
            </w:r>
          </w:p>
        </w:tc>
      </w:tr>
      <w:tr>
        <w:tc>
          <w:tcPr>
            <w:tcW w:type="dxa" w:w="1937"/>
            <w:tcMar>
              <w:top w:w="70" w:type="dxa"/>
              <w:left w:w="80" w:type="dxa"/>
              <w:bottom w:w="70" w:type="dxa"/>
              <w:right w:w="80" w:type="dxa"/>
            </w:tcMar>
          </w:tcPr>
          <w:p>
            <w:r>
              <w:t>ADR-022</w:t>
            </w:r>
          </w:p>
        </w:tc>
        <w:tc>
          <w:tcPr>
            <w:tcW w:type="dxa" w:w="1937"/>
            <w:tcMar>
              <w:top w:w="70" w:type="dxa"/>
              <w:left w:w="80" w:type="dxa"/>
              <w:bottom w:w="70" w:type="dxa"/>
              <w:right w:w="80" w:type="dxa"/>
            </w:tcMar>
          </w:tcPr>
          <w:p>
            <w:r>
              <w:t>Measured regional disaster recovery</w:t>
            </w:r>
          </w:p>
        </w:tc>
        <w:tc>
          <w:tcPr>
            <w:tcW w:type="dxa" w:w="1937"/>
            <w:tcMar>
              <w:top w:w="70" w:type="dxa"/>
              <w:left w:w="80" w:type="dxa"/>
              <w:bottom w:w="70" w:type="dxa"/>
              <w:right w:w="80" w:type="dxa"/>
            </w:tcMar>
          </w:tcPr>
          <w:p>
            <w:r>
              <w:t>Accepted</w:t>
            </w:r>
          </w:p>
        </w:tc>
        <w:tc>
          <w:tcPr>
            <w:tcW w:type="dxa" w:w="1937"/>
            <w:tcMar>
              <w:top w:w="70" w:type="dxa"/>
              <w:left w:w="80" w:type="dxa"/>
              <w:bottom w:w="70" w:type="dxa"/>
              <w:right w:w="80" w:type="dxa"/>
            </w:tcMar>
          </w:tcPr>
          <w:p>
            <w:r>
              <w:t>Tier-1 PostgreSQL uses asynchronous cross-region replica and application warm-standby infrastructure. Region-failure target is RPO ≤5 minutes when replication health is green and RTO ≤60 minutes after a tested promotion runbook; if monitoring cannot prove the target, customer-facing SLO is automatically downgraded to the measured value.</w:t>
            </w:r>
          </w:p>
        </w:tc>
        <w:tc>
          <w:tcPr>
            <w:tcW w:type="dxa" w:w="1937"/>
            <w:tcMar>
              <w:top w:w="70" w:type="dxa"/>
              <w:left w:w="80" w:type="dxa"/>
              <w:bottom w:w="70" w:type="dxa"/>
              <w:right w:w="80" w:type="dxa"/>
            </w:tcMar>
          </w:tcPr>
          <w:p>
            <w:r>
              <w:t>Ties commercial recovery claims to an implemented and drilled mechanism.</w:t>
            </w:r>
          </w:p>
        </w:tc>
      </w:tr>
      <w:tr>
        <w:tc>
          <w:tcPr>
            <w:tcW w:type="dxa" w:w="1937"/>
            <w:tcMar>
              <w:top w:w="70" w:type="dxa"/>
              <w:left w:w="80" w:type="dxa"/>
              <w:bottom w:w="70" w:type="dxa"/>
              <w:right w:w="80" w:type="dxa"/>
            </w:tcMar>
          </w:tcPr>
          <w:p>
            <w:r>
              <w:t>ADR-023</w:t>
            </w:r>
          </w:p>
        </w:tc>
        <w:tc>
          <w:tcPr>
            <w:tcW w:type="dxa" w:w="1937"/>
            <w:tcMar>
              <w:top w:w="70" w:type="dxa"/>
              <w:left w:w="80" w:type="dxa"/>
              <w:bottom w:w="70" w:type="dxa"/>
              <w:right w:w="80" w:type="dxa"/>
            </w:tcMar>
          </w:tcPr>
          <w:p>
            <w:r>
              <w:t>PITR recovery ordering and external reconciliation</w:t>
            </w:r>
          </w:p>
        </w:tc>
        <w:tc>
          <w:tcPr>
            <w:tcW w:type="dxa" w:w="1937"/>
            <w:tcMar>
              <w:top w:w="70" w:type="dxa"/>
              <w:left w:w="80" w:type="dxa"/>
              <w:bottom w:w="70" w:type="dxa"/>
              <w:right w:w="80" w:type="dxa"/>
            </w:tcMar>
          </w:tcPr>
          <w:p>
            <w:r>
              <w:t>Accepted</w:t>
            </w:r>
          </w:p>
        </w:tc>
        <w:tc>
          <w:tcPr>
            <w:tcW w:type="dxa" w:w="1937"/>
            <w:tcMar>
              <w:top w:w="70" w:type="dxa"/>
              <w:left w:w="80" w:type="dxa"/>
              <w:bottom w:w="70" w:type="dxa"/>
              <w:right w:w="80" w:type="dxa"/>
            </w:tcMar>
          </w:tcPr>
          <w:p>
            <w:r>
              <w:t>PITR is last resort. Incident command freezes writes, quarantines outbox dispatch, restores state, reconciles provider/fiscal/event evidence for the lost window, then replays forward without re-executing already-completed external effects.</w:t>
            </w:r>
          </w:p>
        </w:tc>
        <w:tc>
          <w:tcPr>
            <w:tcW w:type="dxa" w:w="1937"/>
            <w:tcMar>
              <w:top w:w="70" w:type="dxa"/>
              <w:left w:w="80" w:type="dxa"/>
              <w:bottom w:w="70" w:type="dxa"/>
              <w:right w:w="80" w:type="dxa"/>
            </w:tcMar>
          </w:tcPr>
          <w:p>
            <w:r>
              <w:t>Avoids double charges, duplicate fiscal documents and silent divergence after restore.</w:t>
            </w:r>
          </w:p>
        </w:tc>
      </w:tr>
      <w:tr>
        <w:tc>
          <w:tcPr>
            <w:tcW w:type="dxa" w:w="1937"/>
            <w:tcMar>
              <w:top w:w="70" w:type="dxa"/>
              <w:left w:w="80" w:type="dxa"/>
              <w:bottom w:w="70" w:type="dxa"/>
              <w:right w:w="80" w:type="dxa"/>
            </w:tcMar>
          </w:tcPr>
          <w:p>
            <w:r>
              <w:t>ADR-024</w:t>
            </w:r>
          </w:p>
        </w:tc>
        <w:tc>
          <w:tcPr>
            <w:tcW w:type="dxa" w:w="1937"/>
            <w:tcMar>
              <w:top w:w="70" w:type="dxa"/>
              <w:left w:w="80" w:type="dxa"/>
              <w:bottom w:w="70" w:type="dxa"/>
              <w:right w:w="80" w:type="dxa"/>
            </w:tcMar>
          </w:tcPr>
          <w:p>
            <w:r>
              <w:t>Replay-safe external side effects</w:t>
            </w:r>
          </w:p>
        </w:tc>
        <w:tc>
          <w:tcPr>
            <w:tcW w:type="dxa" w:w="1937"/>
            <w:tcMar>
              <w:top w:w="70" w:type="dxa"/>
              <w:left w:w="80" w:type="dxa"/>
              <w:bottom w:w="70" w:type="dxa"/>
              <w:right w:w="80" w:type="dxa"/>
            </w:tcMar>
          </w:tcPr>
          <w:p>
            <w:r>
              <w:t>Accepted</w:t>
            </w:r>
          </w:p>
        </w:tc>
        <w:tc>
          <w:tcPr>
            <w:tcW w:type="dxa" w:w="1937"/>
            <w:tcMar>
              <w:top w:w="70" w:type="dxa"/>
              <w:left w:w="80" w:type="dxa"/>
              <w:bottom w:w="70" w:type="dxa"/>
              <w:right w:w="80" w:type="dxa"/>
            </w:tcMar>
          </w:tcPr>
          <w:p>
            <w:r>
              <w:t>Every consumer declares replay-safety class. Messaging, payment, tax and device side effects pass through a permanent dispatch guard keyed by event/action/recipient or provider operation. Replay defaults to suppress-side-effects.</w:t>
            </w:r>
          </w:p>
        </w:tc>
        <w:tc>
          <w:tcPr>
            <w:tcW w:type="dxa" w:w="1937"/>
            <w:tcMar>
              <w:top w:w="70" w:type="dxa"/>
              <w:left w:w="80" w:type="dxa"/>
              <w:bottom w:w="70" w:type="dxa"/>
              <w:right w:w="80" w:type="dxa"/>
            </w:tcMar>
          </w:tcPr>
          <w:p>
            <w:r>
              <w:t>Makes event replay operationally safe rather than assuming provider idempotency.</w:t>
            </w:r>
          </w:p>
        </w:tc>
      </w:tr>
      <w:tr>
        <w:tc>
          <w:tcPr>
            <w:tcW w:type="dxa" w:w="1937"/>
            <w:tcMar>
              <w:top w:w="70" w:type="dxa"/>
              <w:left w:w="80" w:type="dxa"/>
              <w:bottom w:w="70" w:type="dxa"/>
              <w:right w:w="80" w:type="dxa"/>
            </w:tcMar>
          </w:tcPr>
          <w:p>
            <w:r>
              <w:t>ADR-025</w:t>
            </w:r>
          </w:p>
        </w:tc>
        <w:tc>
          <w:tcPr>
            <w:tcW w:type="dxa" w:w="1937"/>
            <w:tcMar>
              <w:top w:w="70" w:type="dxa"/>
              <w:left w:w="80" w:type="dxa"/>
              <w:bottom w:w="70" w:type="dxa"/>
              <w:right w:w="80" w:type="dxa"/>
            </w:tcMar>
          </w:tcPr>
          <w:p>
            <w:r>
              <w:t>Key hierarchy and cryptographic lifecycle</w:t>
            </w:r>
          </w:p>
        </w:tc>
        <w:tc>
          <w:tcPr>
            <w:tcW w:type="dxa" w:w="1937"/>
            <w:tcMar>
              <w:top w:w="70" w:type="dxa"/>
              <w:left w:w="80" w:type="dxa"/>
              <w:bottom w:w="70" w:type="dxa"/>
              <w:right w:w="80" w:type="dxa"/>
            </w:tcMar>
          </w:tcPr>
          <w:p>
            <w:r>
              <w:t>Accepted</w:t>
            </w:r>
          </w:p>
        </w:tc>
        <w:tc>
          <w:tcPr>
            <w:tcW w:type="dxa" w:w="1937"/>
            <w:tcMar>
              <w:top w:w="70" w:type="dxa"/>
              <w:left w:w="80" w:type="dxa"/>
              <w:bottom w:w="70" w:type="dxa"/>
              <w:right w:w="80" w:type="dxa"/>
            </w:tcMar>
          </w:tcPr>
          <w:p>
            <w:r>
              <w:t>Environment root KMS keys wrap tenant/data-class KEKs; Restricted subject envelopes use rotatable DEKs. Rotation, re-encryption, compromise response and crypto-shred are automated and auditable.</w:t>
            </w:r>
          </w:p>
        </w:tc>
        <w:tc>
          <w:tcPr>
            <w:tcW w:type="dxa" w:w="1937"/>
            <w:tcMar>
              <w:top w:w="70" w:type="dxa"/>
              <w:left w:w="80" w:type="dxa"/>
              <w:bottom w:w="70" w:type="dxa"/>
              <w:right w:w="80" w:type="dxa"/>
            </w:tcMar>
          </w:tcPr>
          <w:p>
            <w:r>
              <w:t>Closes the lifecycle gap between “encrypted” and actually manageable keys.</w:t>
            </w:r>
          </w:p>
        </w:tc>
      </w:tr>
    </w:tbl>
    <w:p>
      <w:pPr>
        <w:spacing w:after="40"/>
      </w:pPr>
    </w:p>
    <w:p>
      <w:pPr>
        <w:pStyle w:val="Heading1"/>
        <w:keepNext/>
      </w:pPr>
      <w:r>
        <w:t>4. System Context &amp; Experience Surfaces</w:t>
      </w:r>
    </w:p>
    <w:p>
      <w:pPr>
        <w:spacing w:after="100" w:line="259" w:lineRule="auto"/>
      </w:pPr>
      <w:r>
        <w:rPr>
          <w:rFonts w:ascii="Noto Sans" w:hAnsi="Noto Sans"/>
        </w:rPr>
        <w:t>All surfaces operate on the same authoritative domain model but use role-native APIs and read models. Surface separation is an experience and security boundary, not a data fork.</w:t>
      </w:r>
    </w:p>
    <w:tbl>
      <w:tblPr>
        <w:tblStyle w:val="TableGrid"/>
        <w:tblW w:type="dxa" w:w="9684"/>
        <w:jc w:val="center"/>
        <w:tblLayout w:type="autofit"/>
        <w:tblLook w:firstColumn="1" w:firstRow="1" w:lastColumn="0" w:lastRow="0" w:noHBand="0" w:noVBand="1" w:val="04A0"/>
      </w:tblPr>
      <w:tblGrid>
        <w:gridCol w:w="2421"/>
        <w:gridCol w:w="2421"/>
        <w:gridCol w:w="2421"/>
        <w:gridCol w:w="2421"/>
      </w:tblGrid>
      <w:tr>
        <w:trPr>
          <w:tblHeader w:val="true"/>
          <w:tblHeader w:val="true"/>
        </w:trPr>
        <w:tc>
          <w:tcPr>
            <w:tcW w:type="dxa" w:w="1773"/>
            <w:shd w:fill="2F5B86"/>
            <w:tcMar>
              <w:top w:w="70" w:type="dxa"/>
              <w:start w:w="90" w:type="dxa"/>
              <w:bottom w:w="70" w:type="dxa"/>
              <w:end w:w="90" w:type="dxa"/>
              <w:left w:w="80" w:type="dxa"/>
              <w:right w:w="80" w:type="dxa"/>
            </w:tcMar>
            <w:vAlign w:val="center"/>
          </w:tcPr>
          <w:p>
            <w:pPr>
              <w:jc w:val="center"/>
            </w:pPr>
            <w:r>
              <w:rPr>
                <w:rFonts w:ascii="Noto Sans" w:hAnsi="Noto Sans"/>
                <w:b/>
                <w:color w:val="FFFFFF"/>
                <w:sz w:val="16"/>
              </w:rPr>
              <w:t>Surface</w:t>
            </w:r>
          </w:p>
        </w:tc>
        <w:tc>
          <w:tcPr>
            <w:tcW w:type="dxa" w:w="1986"/>
            <w:shd w:fill="2F5B86"/>
            <w:tcMar>
              <w:top w:w="70" w:type="dxa"/>
              <w:start w:w="90" w:type="dxa"/>
              <w:bottom w:w="70" w:type="dxa"/>
              <w:end w:w="90" w:type="dxa"/>
              <w:left w:w="80" w:type="dxa"/>
              <w:right w:w="80" w:type="dxa"/>
            </w:tcMar>
            <w:vAlign w:val="center"/>
          </w:tcPr>
          <w:p>
            <w:pPr>
              <w:jc w:val="center"/>
            </w:pPr>
            <w:r>
              <w:rPr>
                <w:rFonts w:ascii="Noto Sans" w:hAnsi="Noto Sans"/>
                <w:b/>
                <w:color w:val="FFFFFF"/>
                <w:sz w:val="16"/>
              </w:rPr>
              <w:t>Primary Users</w:t>
            </w:r>
          </w:p>
        </w:tc>
        <w:tc>
          <w:tcPr>
            <w:tcW w:type="dxa" w:w="3475"/>
            <w:shd w:fill="2F5B86"/>
            <w:tcMar>
              <w:top w:w="70" w:type="dxa"/>
              <w:start w:w="90" w:type="dxa"/>
              <w:bottom w:w="70" w:type="dxa"/>
              <w:end w:w="90" w:type="dxa"/>
              <w:left w:w="80" w:type="dxa"/>
              <w:right w:w="80" w:type="dxa"/>
            </w:tcMar>
            <w:vAlign w:val="center"/>
          </w:tcPr>
          <w:p>
            <w:pPr>
              <w:jc w:val="center"/>
            </w:pPr>
            <w:r>
              <w:rPr>
                <w:rFonts w:ascii="Noto Sans" w:hAnsi="Noto Sans"/>
                <w:b/>
                <w:color w:val="FFFFFF"/>
                <w:sz w:val="16"/>
              </w:rPr>
              <w:t>Scope</w:t>
            </w:r>
          </w:p>
        </w:tc>
        <w:tc>
          <w:tcPr>
            <w:tcW w:type="dxa" w:w="2766"/>
            <w:shd w:fill="2F5B86"/>
            <w:tcMar>
              <w:top w:w="70" w:type="dxa"/>
              <w:start w:w="90" w:type="dxa"/>
              <w:bottom w:w="70" w:type="dxa"/>
              <w:end w:w="90" w:type="dxa"/>
              <w:left w:w="80" w:type="dxa"/>
              <w:right w:w="80" w:type="dxa"/>
            </w:tcMar>
            <w:vAlign w:val="center"/>
          </w:tcPr>
          <w:p>
            <w:pPr>
              <w:jc w:val="center"/>
            </w:pPr>
            <w:r>
              <w:rPr>
                <w:rFonts w:ascii="Noto Sans" w:hAnsi="Noto Sans"/>
                <w:b/>
                <w:color w:val="FFFFFF"/>
                <w:sz w:val="16"/>
              </w:rPr>
              <w:t>Technical Notes</w:t>
            </w:r>
          </w:p>
        </w:tc>
      </w:tr>
      <w:tr>
        <w:tc>
          <w:tcPr>
            <w:tcW w:type="dxa" w:w="1773"/>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Admin Web</w:t>
            </w:r>
          </w:p>
        </w:tc>
        <w:tc>
          <w:tcPr>
            <w:tcW w:type="dxa" w:w="198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Owners, managers, sales, finance, operations</w:t>
            </w:r>
          </w:p>
        </w:tc>
        <w:tc>
          <w:tcPr>
            <w:tcW w:type="dxa" w:w="3475"/>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Command center, CRM, members, memberships, finance, schedules, staff, analytics, configuration</w:t>
            </w:r>
          </w:p>
        </w:tc>
        <w:tc>
          <w:tcPr>
            <w:tcW w:type="dxa" w:w="276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Desktop-first web; high-density tables; keyboard/command support</w:t>
            </w:r>
          </w:p>
        </w:tc>
      </w:tr>
      <w:tr>
        <w:tc>
          <w:tcPr>
            <w:tcW w:type="dxa" w:w="1773"/>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Front Desk / POS</w:t>
            </w:r>
          </w:p>
        </w:tc>
        <w:tc>
          <w:tcPr>
            <w:tcW w:type="dxa" w:w="198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Reception and cashiers</w:t>
            </w:r>
          </w:p>
        </w:tc>
        <w:tc>
          <w:tcPr>
            <w:tcW w:type="dxa" w:w="3475"/>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Check-in, access resolution, booking, sales, payment, guest and shift operations</w:t>
            </w:r>
          </w:p>
        </w:tc>
        <w:tc>
          <w:tcPr>
            <w:tcW w:type="dxa" w:w="276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Touch/keyboard; degraded/offline support; local device bridge</w:t>
            </w:r>
          </w:p>
        </w:tc>
      </w:tr>
      <w:tr>
        <w:tc>
          <w:tcPr>
            <w:tcW w:type="dxa" w:w="1773"/>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Coach App</w:t>
            </w:r>
          </w:p>
        </w:tc>
        <w:tc>
          <w:tcPr>
            <w:tcW w:type="dxa" w:w="198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Coaches/trainers/nutritionists</w:t>
            </w:r>
          </w:p>
        </w:tc>
        <w:tc>
          <w:tcPr>
            <w:tcW w:type="dxa" w:w="3475"/>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Today, clients, sessions, training, nutrition, progress, communication</w:t>
            </w:r>
          </w:p>
        </w:tc>
        <w:tc>
          <w:tcPr>
            <w:tcW w:type="dxa" w:w="276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Mobile-first; low-latency/offline-tolerant session logging</w:t>
            </w:r>
          </w:p>
        </w:tc>
      </w:tr>
      <w:tr>
        <w:tc>
          <w:tcPr>
            <w:tcW w:type="dxa" w:w="1773"/>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Member App</w:t>
            </w:r>
          </w:p>
        </w:tc>
        <w:tc>
          <w:tcPr>
            <w:tcW w:type="dxa" w:w="198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Members/guardians</w:t>
            </w:r>
          </w:p>
        </w:tc>
        <w:tc>
          <w:tcPr>
            <w:tcW w:type="dxa" w:w="3475"/>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Access, booking, training, nutrition, progress, payments, self-service</w:t>
            </w:r>
          </w:p>
        </w:tc>
        <w:tc>
          <w:tcPr>
            <w:tcW w:type="dxa" w:w="276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Mobile-first; personalized read models; push/deep links</w:t>
            </w:r>
          </w:p>
        </w:tc>
      </w:tr>
      <w:tr>
        <w:tc>
          <w:tcPr>
            <w:tcW w:type="dxa" w:w="1773"/>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Internal SaaS Console</w:t>
            </w:r>
          </w:p>
        </w:tc>
        <w:tc>
          <w:tcPr>
            <w:tcW w:type="dxa" w:w="198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Veyro support/success/platform/finance/security</w:t>
            </w:r>
          </w:p>
        </w:tc>
        <w:tc>
          <w:tcPr>
            <w:tcW w:type="dxa" w:w="3475"/>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Tenant lifecycle, SaaS billing, support, diagnostics, flags, incidents, cost</w:t>
            </w:r>
          </w:p>
        </w:tc>
        <w:tc>
          <w:tcPr>
            <w:tcW w:type="dxa" w:w="276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Separate privileged application and policy boundary</w:t>
            </w:r>
          </w:p>
        </w:tc>
      </w:tr>
      <w:tr>
        <w:tc>
          <w:tcPr>
            <w:tcW w:type="dxa" w:w="1773"/>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Kiosk / Edge</w:t>
            </w:r>
          </w:p>
        </w:tc>
        <w:tc>
          <w:tcPr>
            <w:tcW w:type="dxa" w:w="198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Members/visitors/devices</w:t>
            </w:r>
          </w:p>
        </w:tc>
        <w:tc>
          <w:tcPr>
            <w:tcW w:type="dxa" w:w="3475"/>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Check-in, waiver, guest/day-pass, device/hardware operation</w:t>
            </w:r>
          </w:p>
        </w:tc>
        <w:tc>
          <w:tcPr>
            <w:tcW w:type="dxa" w:w="276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Managed device runtime with local cache and queue</w:t>
            </w:r>
          </w:p>
        </w:tc>
      </w:tr>
      <w:tr>
        <w:tc>
          <w:tcPr>
            <w:tcW w:type="dxa" w:w="1773"/>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Developer / Corporate portals</w:t>
            </w:r>
          </w:p>
        </w:tc>
        <w:tc>
          <w:tcPr>
            <w:tcW w:type="dxa" w:w="198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Partners/corporate admins</w:t>
            </w:r>
          </w:p>
        </w:tc>
        <w:tc>
          <w:tcPr>
            <w:tcW w:type="dxa" w:w="3475"/>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API apps, webhooks, eligibility, invoices, aggregate reporting</w:t>
            </w:r>
          </w:p>
        </w:tc>
        <w:tc>
          <w:tcPr>
            <w:tcW w:type="dxa" w:w="276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Later phases; same gateway and tenant authorization contracts</w:t>
            </w:r>
          </w:p>
        </w:tc>
      </w:tr>
    </w:tbl>
    <w:p>
      <w:pPr>
        <w:spacing w:after="40"/>
      </w:pPr>
    </w:p>
    <w:p>
      <w:pPr>
        <w:pStyle w:val="Heading1"/>
        <w:keepNext/>
      </w:pPr>
      <w:r>
        <w:t>5. Reference Technology Baseline</w:t>
      </w:r>
    </w:p>
    <w:tbl>
      <w:tblPr>
        <w:tblW w:type="dxa" w:w="9684"/>
        <w:jc w:val="center"/>
        <w:tblLayout w:type="autofit"/>
        <w:tblLook w:firstColumn="1" w:firstRow="1" w:lastColumn="0" w:lastRow="0" w:noHBand="0" w:noVBand="1" w:val="04A0"/>
      </w:tblPr>
      <w:tblGrid>
        <w:gridCol w:w="9684"/>
      </w:tblGrid>
      <w:tr>
        <w:trPr>
          <w:tblHeader w:val="true"/>
        </w:trPr>
        <w:tc>
          <w:tcPr>
            <w:tcW w:type="dxa" w:w="9684"/>
            <w:shd w:fill="F7F3EB"/>
            <w:tcMar>
              <w:top w:w="70" w:type="dxa"/>
              <w:start w:w="160" w:type="dxa"/>
              <w:bottom w:w="70" w:type="dxa"/>
              <w:end w:w="160" w:type="dxa"/>
              <w:left w:w="80" w:type="dxa"/>
              <w:right w:w="80" w:type="dxa"/>
            </w:tcMar>
            <w:vAlign w:val="center"/>
          </w:tcPr>
          <w:p>
            <w:pPr>
              <w:spacing w:after="0" w:line="259" w:lineRule="auto"/>
            </w:pPr>
            <w:r>
              <w:rPr>
                <w:rFonts w:ascii="Noto Sans" w:hAnsi="Noto Sans"/>
                <w:b/>
                <w:color w:val="A06A22"/>
                <w:sz w:val="21"/>
              </w:rPr>
              <w:t>Important</w:t>
              <w:br/>
            </w:r>
            <w:r>
              <w:rPr>
                <w:rFonts w:ascii="Noto Sans" w:hAnsi="Noto Sans"/>
                <w:b/>
                <w:color w:val="1F2933"/>
                <w:sz w:val="19"/>
              </w:rPr>
              <w:t>The following is a reference implementation baseline for architecture review. Product requirements do not depend on a specific vendor unless explicitly stated. A reviewer may recommend alternatives if they preserve the contracts, SLOs and operational model.</w:t>
            </w:r>
          </w:p>
        </w:tc>
      </w:tr>
    </w:tbl>
    <w:p>
      <w:pPr>
        <w:spacing w:after="40"/>
      </w:pPr>
    </w:p>
    <w:tbl>
      <w:tblPr>
        <w:tblStyle w:val="TableGrid"/>
        <w:tblW w:type="dxa" w:w="9684"/>
        <w:jc w:val="center"/>
        <w:tblLayout w:type="autofit"/>
        <w:tblLook w:firstColumn="1" w:firstRow="1" w:lastColumn="0" w:lastRow="0" w:noHBand="0" w:noVBand="1" w:val="04A0"/>
      </w:tblPr>
      <w:tblGrid>
        <w:gridCol w:w="3228"/>
        <w:gridCol w:w="3228"/>
        <w:gridCol w:w="3228"/>
      </w:tblGrid>
      <w:tr>
        <w:trPr>
          <w:tblHeader w:val="true"/>
          <w:tblHeader w:val="true"/>
          <w:tblHeader w:val="true"/>
        </w:trPr>
        <w:tc>
          <w:tcPr>
            <w:tcW w:type="dxa" w:w="1915"/>
            <w:shd w:fill="2F5B86"/>
            <w:tcMar>
              <w:top w:w="70" w:type="dxa"/>
              <w:start w:w="90" w:type="dxa"/>
              <w:bottom w:w="70" w:type="dxa"/>
              <w:end w:w="90" w:type="dxa"/>
              <w:left w:w="80" w:type="dxa"/>
              <w:right w:w="80" w:type="dxa"/>
            </w:tcMar>
            <w:vAlign w:val="center"/>
          </w:tcPr>
          <w:p>
            <w:pPr>
              <w:spacing w:before="0" w:after="30"/>
              <w:jc w:val="center"/>
            </w:pPr>
            <w:r>
              <w:rPr>
                <w:rFonts w:ascii="Noto Sans" w:hAnsi="Noto Sans"/>
                <w:b/>
                <w:color w:val="FFFFFF"/>
                <w:sz w:val="16"/>
              </w:rPr>
              <w:t>Layer</w:t>
            </w:r>
          </w:p>
        </w:tc>
        <w:tc>
          <w:tcPr>
            <w:tcW w:type="dxa" w:w="3759"/>
            <w:shd w:fill="2F5B86"/>
            <w:tcMar>
              <w:top w:w="70" w:type="dxa"/>
              <w:start w:w="90" w:type="dxa"/>
              <w:bottom w:w="70" w:type="dxa"/>
              <w:end w:w="90" w:type="dxa"/>
              <w:left w:w="80" w:type="dxa"/>
              <w:right w:w="80" w:type="dxa"/>
            </w:tcMar>
            <w:vAlign w:val="center"/>
          </w:tcPr>
          <w:p>
            <w:pPr>
              <w:spacing w:before="0" w:after="30"/>
              <w:jc w:val="center"/>
            </w:pPr>
            <w:r>
              <w:rPr>
                <w:rFonts w:ascii="Noto Sans" w:hAnsi="Noto Sans"/>
                <w:b/>
                <w:color w:val="FFFFFF"/>
                <w:sz w:val="16"/>
              </w:rPr>
              <w:t>Reference Choice</w:t>
            </w:r>
          </w:p>
        </w:tc>
        <w:tc>
          <w:tcPr>
            <w:tcW w:type="dxa" w:w="4326"/>
            <w:shd w:fill="2F5B86"/>
            <w:tcMar>
              <w:top w:w="70" w:type="dxa"/>
              <w:start w:w="90" w:type="dxa"/>
              <w:bottom w:w="70" w:type="dxa"/>
              <w:end w:w="90" w:type="dxa"/>
              <w:left w:w="80" w:type="dxa"/>
              <w:right w:w="80" w:type="dxa"/>
            </w:tcMar>
            <w:vAlign w:val="center"/>
          </w:tcPr>
          <w:p>
            <w:pPr>
              <w:spacing w:before="0" w:after="30"/>
              <w:jc w:val="center"/>
            </w:pPr>
            <w:r>
              <w:rPr>
                <w:rFonts w:ascii="Noto Sans" w:hAnsi="Noto Sans"/>
                <w:b/>
                <w:color w:val="FFFFFF"/>
                <w:sz w:val="16"/>
              </w:rPr>
              <w:t>Reason</w:t>
            </w:r>
          </w:p>
        </w:tc>
      </w:tr>
      <w:tr>
        <w:tc>
          <w:tcPr>
            <w:tcW w:type="dxa" w:w="1915"/>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Backend runtime</w:t>
            </w:r>
          </w:p>
        </w:tc>
        <w:tc>
          <w:tcPr>
            <w:tcW w:type="dxa" w:w="3759"/>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Python 3.13+ / FastAPI / Pydantic / SQLAlchemy 2 / Alembic</w:t>
            </w:r>
          </w:p>
        </w:tc>
        <w:tc>
          <w:tcPr>
            <w:tcW w:type="dxa" w:w="4326"/>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Strong async APIs, typing, OpenAPI, ecosystem and alignment with AI/data work.</w:t>
            </w:r>
          </w:p>
        </w:tc>
      </w:tr>
      <w:tr>
        <w:tc>
          <w:tcPr>
            <w:tcW w:type="dxa" w:w="1915"/>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Admin/Internal web</w:t>
            </w:r>
          </w:p>
        </w:tc>
        <w:tc>
          <w:tcPr>
            <w:tcW w:type="dxa" w:w="3759"/>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TypeScript / React / Next.js</w:t>
            </w:r>
          </w:p>
        </w:tc>
        <w:tc>
          <w:tcPr>
            <w:tcW w:type="dxa" w:w="4326"/>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Mature B2B UI, SSR where useful, shared component contracts and generated API clients.</w:t>
            </w:r>
          </w:p>
        </w:tc>
      </w:tr>
      <w:tr>
        <w:tc>
          <w:tcPr>
            <w:tcW w:type="dxa" w:w="1915"/>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Front Desk</w:t>
            </w:r>
          </w:p>
        </w:tc>
        <w:tc>
          <w:tcPr>
            <w:tcW w:type="dxa" w:w="3759"/>
            <w:tcMar>
              <w:top w:w="70" w:type="dxa"/>
              <w:start w:w="85" w:type="dxa"/>
              <w:bottom w:w="70" w:type="dxa"/>
              <w:end w:w="85" w:type="dxa"/>
              <w:left w:w="80" w:type="dxa"/>
              <w:right w:w="80" w:type="dxa"/>
            </w:tcMar>
            <w:vAlign w:val="center"/>
          </w:tcPr>
          <w:p>
            <w:pPr>
              <w:spacing w:before="0" w:after="30"/>
            </w:pPr>
            <w:r>
              <w:rPr>
                <w:sz w:val="16"/>
              </w:rPr>
              <w:t>Next.js PWA + Veyro Edge Bridge (no Tauri baseline)</w:t>
            </w:r>
          </w:p>
        </w:tc>
        <w:tc>
          <w:tcPr>
            <w:tcW w:type="dxa" w:w="4326"/>
            <w:tcMar>
              <w:top w:w="70" w:type="dxa"/>
              <w:start w:w="85" w:type="dxa"/>
              <w:bottom w:w="70" w:type="dxa"/>
              <w:end w:w="85" w:type="dxa"/>
              <w:left w:w="80" w:type="dxa"/>
              <w:right w:w="80" w:type="dxa"/>
            </w:tcMar>
            <w:vAlign w:val="center"/>
          </w:tcPr>
          <w:p>
            <w:pPr>
              <w:spacing w:before="0" w:after="30"/>
            </w:pPr>
            <w:r>
              <w:rPr>
                <w:sz w:val="16"/>
              </w:rPr>
              <w:t>Fast web iteration; local hardware/offline capability is provided by the separately managed edge bridge instead of a second desktop runtime.</w:t>
            </w:r>
          </w:p>
        </w:tc>
      </w:tr>
      <w:tr>
        <w:tc>
          <w:tcPr>
            <w:tcW w:type="dxa" w:w="1915"/>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iOS</w:t>
            </w:r>
          </w:p>
        </w:tc>
        <w:tc>
          <w:tcPr>
            <w:tcW w:type="dxa" w:w="3759"/>
            <w:tcMar>
              <w:top w:w="70" w:type="dxa"/>
              <w:start w:w="85" w:type="dxa"/>
              <w:bottom w:w="70" w:type="dxa"/>
              <w:end w:w="85" w:type="dxa"/>
              <w:left w:w="80" w:type="dxa"/>
              <w:right w:w="80" w:type="dxa"/>
            </w:tcMar>
            <w:vAlign w:val="center"/>
          </w:tcPr>
          <w:p>
            <w:pPr>
              <w:spacing w:before="0" w:after="30"/>
            </w:pPr>
            <w:r>
              <w:rPr>
                <w:sz w:val="16"/>
              </w:rPr>
            </w:r>
            <w:r>
              <w:rPr>
                <w:b w:val="0"/>
                <w:sz w:val="16"/>
              </w:rPr>
              <w:t>Kotlin Multiplatform + Compose Multiplatform; minimal Swift/Xcode host</w:t>
            </w:r>
          </w:p>
        </w:tc>
        <w:tc>
          <w:tcPr>
            <w:tcW w:type="dxa" w:w="4326"/>
            <w:tcMar>
              <w:top w:w="70" w:type="dxa"/>
              <w:start w:w="85" w:type="dxa"/>
              <w:bottom w:w="70" w:type="dxa"/>
              <w:end w:w="85" w:type="dxa"/>
              <w:left w:w="80" w:type="dxa"/>
              <w:right w:w="80" w:type="dxa"/>
            </w:tcMar>
            <w:vAlign w:val="center"/>
          </w:tcPr>
          <w:p>
            <w:pPr>
              <w:spacing w:before="0" w:after="30"/>
            </w:pPr>
            <w:r>
              <w:rPr>
                <w:sz w:val="16"/>
              </w:rPr>
            </w:r>
            <w:r>
              <w:rPr>
                <w:b w:val="0"/>
                <w:sz w:val="16"/>
              </w:rPr>
              <w:t>Shared Compose UI and state with native iOS entry point and adapters for LocalAuthentication, Keychain, APNs, Wallet/Apple Pay, HealthKit, camera/NFC and other Apple-only capabilities.</w:t>
            </w:r>
          </w:p>
        </w:tc>
      </w:tr>
      <w:tr>
        <w:tc>
          <w:tcPr>
            <w:tcW w:type="dxa" w:w="1915"/>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Android</w:t>
            </w:r>
          </w:p>
        </w:tc>
        <w:tc>
          <w:tcPr>
            <w:tcW w:type="dxa" w:w="3759"/>
            <w:tcMar>
              <w:top w:w="70" w:type="dxa"/>
              <w:start w:w="85" w:type="dxa"/>
              <w:bottom w:w="70" w:type="dxa"/>
              <w:end w:w="85" w:type="dxa"/>
              <w:left w:w="80" w:type="dxa"/>
              <w:right w:w="80" w:type="dxa"/>
            </w:tcMar>
            <w:vAlign w:val="center"/>
          </w:tcPr>
          <w:p>
            <w:pPr>
              <w:spacing w:before="0" w:after="30"/>
            </w:pPr>
            <w:r>
              <w:rPr>
                <w:sz w:val="16"/>
              </w:rPr>
            </w:r>
            <w:r>
              <w:rPr>
                <w:b w:val="0"/>
                <w:sz w:val="16"/>
              </w:rPr>
              <w:t>Kotlin Multiplatform + Compose Multiplatform using Jetpack Compose artifacts</w:t>
            </w:r>
          </w:p>
        </w:tc>
        <w:tc>
          <w:tcPr>
            <w:tcW w:type="dxa" w:w="4326"/>
            <w:tcMar>
              <w:top w:w="70" w:type="dxa"/>
              <w:start w:w="85" w:type="dxa"/>
              <w:bottom w:w="70" w:type="dxa"/>
              <w:end w:w="85" w:type="dxa"/>
              <w:left w:w="80" w:type="dxa"/>
              <w:right w:w="80" w:type="dxa"/>
            </w:tcMar>
            <w:vAlign w:val="center"/>
          </w:tcPr>
          <w:p>
            <w:pPr>
              <w:spacing w:before="0" w:after="30"/>
            </w:pPr>
            <w:r>
              <w:rPr>
                <w:sz w:val="16"/>
              </w:rPr>
            </w:r>
            <w:r>
              <w:rPr>
                <w:b w:val="0"/>
                <w:sz w:val="16"/>
              </w:rPr>
              <w:t>Shared Compose UI and state with Android-native adapters for BiometricPrompt, Keystore, FCM, WorkManager, CameraX/barcode, NFC, Google Wallet/Pay and Health Connect.</w:t>
            </w:r>
          </w:p>
        </w:tc>
      </w:tr>
      <w:tr>
        <w:tc>
          <w:tcPr>
            <w:tcW w:type="dxa" w:w="1915"/>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Primary OLTP</w:t>
            </w:r>
          </w:p>
        </w:tc>
        <w:tc>
          <w:tcPr>
            <w:tcW w:type="dxa" w:w="3759"/>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PostgreSQL 17+ managed multi-AZ</w:t>
            </w:r>
          </w:p>
        </w:tc>
        <w:tc>
          <w:tcPr>
            <w:tcW w:type="dxa" w:w="4326"/>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Strong transactions, RLS, JSONB, indexing, extensions and mature recovery.</w:t>
            </w:r>
          </w:p>
        </w:tc>
      </w:tr>
      <w:tr>
        <w:tc>
          <w:tcPr>
            <w:tcW w:type="dxa" w:w="1915"/>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Cache / ephemeral</w:t>
            </w:r>
          </w:p>
        </w:tc>
        <w:tc>
          <w:tcPr>
            <w:tcW w:type="dxa" w:w="3759"/>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Valkey/Redis managed</w:t>
            </w:r>
          </w:p>
        </w:tc>
        <w:tc>
          <w:tcPr>
            <w:tcW w:type="dxa" w:w="4326"/>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Cache, short locks, rate limits, ephemeral realtime fanout; never authoritative business truth.</w:t>
            </w:r>
          </w:p>
        </w:tc>
      </w:tr>
      <w:tr>
        <w:tc>
          <w:tcPr>
            <w:tcW w:type="dxa" w:w="1915"/>
            <w:tcMar>
              <w:top w:w="70" w:type="dxa"/>
              <w:start w:w="85" w:type="dxa"/>
              <w:bottom w:w="70" w:type="dxa"/>
              <w:end w:w="85" w:type="dxa"/>
              <w:left w:w="80" w:type="dxa"/>
              <w:right w:w="80" w:type="dxa"/>
            </w:tcMar>
            <w:vAlign w:val="center"/>
          </w:tcPr>
          <w:p>
            <w:pPr>
              <w:spacing w:before="0" w:after="30"/>
            </w:pPr>
            <w:r>
              <w:rPr>
                <w:sz w:val="16"/>
              </w:rPr>
              <w:t>Async event transport</w:t>
            </w:r>
          </w:p>
        </w:tc>
        <w:tc>
          <w:tcPr>
            <w:tcW w:type="dxa" w:w="3759"/>
            <w:tcMar>
              <w:top w:w="70" w:type="dxa"/>
              <w:start w:w="85" w:type="dxa"/>
              <w:bottom w:w="70" w:type="dxa"/>
              <w:end w:w="85" w:type="dxa"/>
              <w:left w:w="80" w:type="dxa"/>
              <w:right w:w="80" w:type="dxa"/>
            </w:tcMar>
            <w:vAlign w:val="center"/>
          </w:tcPr>
          <w:p>
            <w:pPr>
              <w:spacing w:before="0" w:after="30"/>
            </w:pPr>
            <w:r>
              <w:rPr>
                <w:sz w:val="16"/>
              </w:rPr>
              <w:t>Transactional outbox → EventBridge/SNS → per-consumer SQS; S3 event archive. Kafka-compatible streaming only after extraction trigger.</w:t>
            </w:r>
          </w:p>
        </w:tc>
        <w:tc>
          <w:tcPr>
            <w:tcW w:type="dxa" w:w="4326"/>
            <w:tcMar>
              <w:top w:w="70" w:type="dxa"/>
              <w:start w:w="85" w:type="dxa"/>
              <w:bottom w:w="70" w:type="dxa"/>
              <w:end w:w="85" w:type="dxa"/>
              <w:left w:w="80" w:type="dxa"/>
              <w:right w:w="80" w:type="dxa"/>
            </w:tcMar>
            <w:vAlign w:val="center"/>
          </w:tcPr>
          <w:p>
            <w:pPr>
              <w:spacing w:before="0" w:after="30"/>
            </w:pPr>
            <w:r>
              <w:rPr>
                <w:sz w:val="16"/>
              </w:rPr>
              <w:t>Durable fan-out, retries and cost control without Foundation streaming-cluster operations; contract remains transport-neutral.</w:t>
            </w:r>
          </w:p>
        </w:tc>
      </w:tr>
      <w:tr>
        <w:tc>
          <w:tcPr>
            <w:tcW w:type="dxa" w:w="1915"/>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Durable workflows</w:t>
            </w:r>
          </w:p>
        </w:tc>
        <w:tc>
          <w:tcPr>
            <w:tcW w:type="dxa" w:w="3759"/>
            <w:tcMar>
              <w:top w:w="70" w:type="dxa"/>
              <w:start w:w="85" w:type="dxa"/>
              <w:bottom w:w="70" w:type="dxa"/>
              <w:end w:w="85" w:type="dxa"/>
              <w:left w:w="80" w:type="dxa"/>
              <w:right w:w="80" w:type="dxa"/>
            </w:tcMar>
            <w:vAlign w:val="center"/>
          </w:tcPr>
          <w:p>
            <w:pPr>
              <w:spacing w:before="0" w:after="30"/>
            </w:pPr>
            <w:r>
              <w:rPr>
                <w:sz w:val="16"/>
              </w:rPr>
              <w:t>Temporal Cloud/equivalent only for provisioning, migration and dunning</w:t>
            </w:r>
          </w:p>
        </w:tc>
        <w:tc>
          <w:tcPr>
            <w:tcW w:type="dxa" w:w="4326"/>
            <w:tcMar>
              <w:top w:w="70" w:type="dxa"/>
              <w:start w:w="85" w:type="dxa"/>
              <w:bottom w:w="70" w:type="dxa"/>
              <w:end w:w="85" w:type="dxa"/>
              <w:left w:w="80" w:type="dxa"/>
              <w:right w:w="80" w:type="dxa"/>
            </w:tcMar>
            <w:vAlign w:val="center"/>
          </w:tcPr>
          <w:p>
            <w:pPr>
              <w:spacing w:before="0" w:after="30"/>
            </w:pPr>
            <w:r>
              <w:rPr>
                <w:sz w:val="16"/>
              </w:rPr>
              <w:t>Use durable histories only where long timers/resume/compensation justify the extra privacy and DR surface.</w:t>
            </w:r>
          </w:p>
        </w:tc>
      </w:tr>
      <w:tr>
        <w:tc>
          <w:tcPr>
            <w:tcW w:type="dxa" w:w="1915"/>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Search</w:t>
            </w:r>
          </w:p>
        </w:tc>
        <w:tc>
          <w:tcPr>
            <w:tcW w:type="dxa" w:w="3759"/>
            <w:tcMar>
              <w:top w:w="70" w:type="dxa"/>
              <w:start w:w="85" w:type="dxa"/>
              <w:bottom w:w="70" w:type="dxa"/>
              <w:end w:w="85" w:type="dxa"/>
              <w:left w:w="80" w:type="dxa"/>
              <w:right w:w="80" w:type="dxa"/>
            </w:tcMar>
            <w:vAlign w:val="center"/>
          </w:tcPr>
          <w:p>
            <w:pPr>
              <w:spacing w:before="0" w:after="30"/>
            </w:pPr>
            <w:r>
              <w:rPr>
                <w:sz w:val="16"/>
              </w:rPr>
              <w:t>PostgreSQL FTS + pg_trgm in V1; OpenSearch interface reserved for V1.5+</w:t>
            </w:r>
          </w:p>
        </w:tc>
        <w:tc>
          <w:tcPr>
            <w:tcW w:type="dxa" w:w="4326"/>
            <w:tcMar>
              <w:top w:w="70" w:type="dxa"/>
              <w:start w:w="85" w:type="dxa"/>
              <w:bottom w:w="70" w:type="dxa"/>
              <w:end w:w="85" w:type="dxa"/>
              <w:left w:w="80" w:type="dxa"/>
              <w:right w:w="80" w:type="dxa"/>
            </w:tcMar>
            <w:vAlign w:val="center"/>
          </w:tcPr>
          <w:p>
            <w:pPr>
              <w:spacing w:before="0" w:after="30"/>
            </w:pPr>
            <w:r>
              <w:rPr>
                <w:sz w:val="16"/>
              </w:rPr>
              <w:t>V1 member/lead/invoice lookup stays in one permission boundary; dedicated search service is added only when measured query/scale needs justify it.</w:t>
            </w:r>
          </w:p>
        </w:tc>
      </w:tr>
      <w:tr>
        <w:tc>
          <w:tcPr>
            <w:tcW w:type="dxa" w:w="1915"/>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Object storage</w:t>
            </w:r>
          </w:p>
        </w:tc>
        <w:tc>
          <w:tcPr>
            <w:tcW w:type="dxa" w:w="3759"/>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S3-compatible + KMS + optional Object Lock</w:t>
            </w:r>
          </w:p>
        </w:tc>
        <w:tc>
          <w:tcPr>
            <w:tcW w:type="dxa" w:w="4326"/>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Contracts, media, exports, receipts, audit archives and diagnostics.</w:t>
            </w:r>
          </w:p>
        </w:tc>
      </w:tr>
      <w:tr>
        <w:tc>
          <w:tcPr>
            <w:tcW w:type="dxa" w:w="1915"/>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Analytics</w:t>
            </w:r>
          </w:p>
        </w:tc>
        <w:tc>
          <w:tcPr>
            <w:tcW w:type="dxa" w:w="3759"/>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V1 read models; V1.5 event-fed ClickHouse/lakehouse + object archive</w:t>
            </w:r>
          </w:p>
        </w:tc>
        <w:tc>
          <w:tcPr>
            <w:tcW w:type="dxa" w:w="4326"/>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Protect OLTP while supporting near-real-time operational and historical analytics.</w:t>
            </w:r>
          </w:p>
        </w:tc>
      </w:tr>
      <w:tr>
        <w:tc>
          <w:tcPr>
            <w:tcW w:type="dxa" w:w="1915"/>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Observability</w:t>
            </w:r>
          </w:p>
        </w:tc>
        <w:tc>
          <w:tcPr>
            <w:tcW w:type="dxa" w:w="3759"/>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OpenTelemetry + managed metrics/logs/traces (Grafana/Datadog class)</w:t>
            </w:r>
          </w:p>
        </w:tc>
        <w:tc>
          <w:tcPr>
            <w:tcW w:type="dxa" w:w="4326"/>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Vendor-neutral instrumentation and correlated tenant/business context.</w:t>
            </w:r>
          </w:p>
        </w:tc>
      </w:tr>
      <w:tr>
        <w:tc>
          <w:tcPr>
            <w:tcW w:type="dxa" w:w="1915"/>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Cloud reference</w:t>
            </w:r>
          </w:p>
        </w:tc>
        <w:tc>
          <w:tcPr>
            <w:tcW w:type="dxa" w:w="3759"/>
            <w:tcMar>
              <w:top w:w="70" w:type="dxa"/>
              <w:start w:w="85" w:type="dxa"/>
              <w:bottom w:w="70" w:type="dxa"/>
              <w:end w:w="85" w:type="dxa"/>
              <w:left w:w="80" w:type="dxa"/>
              <w:right w:w="80" w:type="dxa"/>
            </w:tcMar>
            <w:vAlign w:val="center"/>
          </w:tcPr>
          <w:p>
            <w:pPr>
              <w:spacing w:before="0" w:after="30"/>
            </w:pPr>
            <w:r>
              <w:rPr>
                <w:sz w:val="16"/>
              </w:rPr>
              <w:t>AWS: ECS/Fargate, RDS/Aurora PostgreSQL, ElastiCache, S3, EventBridge/SNS/SQS, WAF, KMS, Secrets</w:t>
            </w:r>
          </w:p>
        </w:tc>
        <w:tc>
          <w:tcPr>
            <w:tcW w:type="dxa" w:w="4326"/>
            <w:tcMar>
              <w:top w:w="70" w:type="dxa"/>
              <w:start w:w="85" w:type="dxa"/>
              <w:bottom w:w="70" w:type="dxa"/>
              <w:end w:w="85" w:type="dxa"/>
              <w:left w:w="80" w:type="dxa"/>
              <w:right w:w="80" w:type="dxa"/>
            </w:tcMar>
            <w:vAlign w:val="center"/>
          </w:tcPr>
          <w:p>
            <w:pPr>
              <w:spacing w:before="0" w:after="30"/>
            </w:pPr>
            <w:r>
              <w:rPr>
                <w:sz w:val="16"/>
              </w:rPr>
              <w:t>Managed V1 operational baseline; multi-account environments. V1 search uses PostgreSQL FTS/pg_trgm behind an interface.</w:t>
            </w:r>
          </w:p>
        </w:tc>
      </w:tr>
      <w:tr>
        <w:tc>
          <w:tcPr>
            <w:tcW w:type="dxa" w:w="1915"/>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IaC / CI</w:t>
            </w:r>
          </w:p>
        </w:tc>
        <w:tc>
          <w:tcPr>
            <w:tcW w:type="dxa" w:w="3759"/>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OpenTofu/Terraform + GitHub Actions</w:t>
            </w:r>
          </w:p>
        </w:tc>
        <w:tc>
          <w:tcPr>
            <w:tcW w:type="dxa" w:w="4326"/>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Reviewable infrastructure, policy checks, reproducible environments.</w:t>
            </w:r>
          </w:p>
        </w:tc>
      </w:tr>
      <w:tr>
        <w:tc>
          <w:tcPr>
            <w:tcW w:type="dxa" w:w="1915"/>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Edge agent</w:t>
            </w:r>
          </w:p>
        </w:tc>
        <w:tc>
          <w:tcPr>
            <w:tcW w:type="dxa" w:w="3759"/>
            <w:tcMar>
              <w:top w:w="70" w:type="dxa"/>
              <w:start w:w="85" w:type="dxa"/>
              <w:bottom w:w="70" w:type="dxa"/>
              <w:end w:w="85" w:type="dxa"/>
              <w:left w:w="80" w:type="dxa"/>
              <w:right w:w="80" w:type="dxa"/>
            </w:tcMar>
            <w:vAlign w:val="center"/>
          </w:tcPr>
          <w:p>
            <w:pPr>
              <w:spacing w:before="0" w:after="30"/>
            </w:pPr>
            <w:r>
              <w:rPr>
                <w:sz w:val="16"/>
              </w:rPr>
              <w:t>Kotlin/JVM edge bridge + SQLite WAL + mTLS on managed gateway/mini-PC</w:t>
            </w:r>
          </w:p>
        </w:tc>
        <w:tc>
          <w:tcPr>
            <w:tcW w:type="dxa" w:w="4326"/>
            <w:tcMar>
              <w:top w:w="70" w:type="dxa"/>
              <w:start w:w="85" w:type="dxa"/>
              <w:bottom w:w="70" w:type="dxa"/>
              <w:end w:w="85" w:type="dxa"/>
              <w:left w:w="80" w:type="dxa"/>
              <w:right w:w="80" w:type="dxa"/>
            </w:tcMar>
            <w:vAlign w:val="center"/>
          </w:tcPr>
          <w:p>
            <w:pPr>
              <w:spacing w:before="0" w:after="30"/>
            </w:pPr>
            <w:r>
              <w:rPr>
                <w:sz w:val="16"/>
              </w:rPr>
              <w:t>Reuses Kotlin operational knowledge; Rust/Go remains an extraction option only for constrained hardware or measured performance/security need.</w:t>
            </w:r>
          </w:p>
        </w:tc>
      </w:tr>
    </w:tbl>
    <w:p>
      <w:pPr>
        <w:spacing w:after="40"/>
      </w:pPr>
    </w:p>
    <w:p>
      <w:pPr>
        <w:pStyle w:val="Heading2"/>
      </w:pPr>
      <w:r>
        <w:t>5.1 Mobile Application Architecture - Kotlin Multiplatform + Compose Multiplatform</w:t>
      </w:r>
    </w:p>
    <w:p>
      <w:pPr/>
      <w:r>
        <w:t>Veyro Coach and Veyro Member use Kotlin Multiplatform (KMP) as the shared mobile application architecture and Compose Multiplatform as the shared UI layer for both Android and iOS. Jetpack Compose is the Android implementation family; Compose Multiplatform extends the same Compose programming model to iOS. The product therefore maintains one mobile feature architecture and Design System while retaining separate Android and iOS hosts, signing, store delivery and operating-system integrations.</w:t>
      </w:r>
    </w:p>
    <w:p>
      <w:pPr>
        <w:pStyle w:val="Bullet1"/>
      </w:pPr>
      <w:r>
        <w:t>Shared by default: domain-facing models, use cases, validation, repositories, network contracts, local persistence, sync engine, presentation state, navigation contracts, localization resources, analytics events, feature flags and Compose UI.</w:t>
      </w:r>
    </w:p>
    <w:p>
      <w:pPr>
        <w:pStyle w:val="Bullet1"/>
      </w:pPr>
      <w:r>
        <w:t>Platform-specific by design: application entry points, lifecycle hooks that cannot be shared safely, secure enclave/key storage, device biometrics, push tokens, background execution, camera/barcode, NFC, wallet/payment SDKs, health APIs, permissions, store review metadata and other OS services.</w:t>
      </w:r>
    </w:p>
    <w:p>
      <w:pPr>
        <w:pStyle w:val="Bullet1"/>
      </w:pPr>
      <w:r>
        <w:t>Backend business rules remain authoritative. Shared mobile code may enforce UX validation and offline safety but must not become a second source of truth for pricing, membership entitlement, payment state, access authorization or clinical policy.</w:t>
      </w:r>
    </w:p>
    <w:p>
      <w:pPr>
        <w:pStyle w:val="Bullet1"/>
      </w:pPr>
      <w:r>
        <w:t>A native escape hatch is mandatory. A feature may use native Android UI or SwiftUI/UIKit interop when a platform SDK, accessibility behavior, performance requirement or store policy cannot be satisfied safely in common Compose UI. The exception is localized to the capability; it does not fork domain/data logic.</w:t>
      </w:r>
    </w:p>
    <w:p>
      <w:pPr>
        <w:pStyle w:val="Bullet1"/>
      </w:pPr>
      <w:r>
        <w:t>Coach and Member remain separate applications/products with independent navigation graphs, entitlements, analytics and release policies even though they reuse common platform modules and the Veyro Compose Design System.</w:t>
      </w:r>
    </w:p>
    <w:p>
      <w:pPr>
        <w:pStyle w:val="Heading2"/>
      </w:pPr>
      <w:r>
        <w:t>5.2 Mobile Source-Set and Module Boundaries</w:t>
      </w:r>
    </w:p>
    <w:p>
      <w:pPr/>
      <w:r>
        <w:t>The mobile repository is organized so common code is portable by construction. Android/iOS SDK classes are forbidden from commonMain APIs. Dependency direction points from platform hosts toward shared application contracts, never the reverse.</w:t>
      </w:r>
    </w:p>
    <w:tbl>
      <w:tblPr>
        <w:tblStyle w:val="TableGrid"/>
        <w:tblW w:type="dxa" w:w="9684"/>
        <w:tblLayout w:type="autofit"/>
        <w:tblLook w:firstColumn="1" w:firstRow="1" w:lastColumn="0" w:lastRow="0" w:noHBand="0" w:noVBand="1" w:val="04A0"/>
        <w:jc w:val="center"/>
      </w:tblPr>
      <w:tblGrid>
        <w:gridCol w:w="2367"/>
        <w:gridCol w:w="7317"/>
      </w:tblGrid>
      <w:tr>
        <w:trPr>
          <w:tblHeader w:val="true"/>
        </w:trPr>
        <w:tc>
          <w:tcPr>
            <w:tcW w:type="dxa" w:w="2367"/>
            <w:vAlign w:val="center"/>
            <w:shd w:fill="2F5B86"/>
            <w:tcMar>
              <w:top w:w="70" w:type="dxa"/>
              <w:start w:w="90" w:type="dxa"/>
              <w:bottom w:w="70" w:type="dxa"/>
              <w:end w:w="90" w:type="dxa"/>
              <w:left w:w="80" w:type="dxa"/>
              <w:right w:w="80" w:type="dxa"/>
            </w:tcMar>
            <w:vAlign w:val="center"/>
          </w:tcPr>
          <w:p>
            <w:r>
              <w:rPr>
                <w:b/>
                <w:sz w:val="17"/>
              </w:rPr>
            </w:r>
            <w:r>
              <w:rPr>
                <w:b/>
                <w:sz w:val="17"/>
              </w:rPr>
              <w:t>Module</w:t>
            </w:r>
          </w:p>
        </w:tc>
        <w:tc>
          <w:tcPr>
            <w:tcW w:type="dxa" w:w="7316"/>
            <w:vAlign w:val="center"/>
            <w:shd w:fill="2F5B86"/>
            <w:tcMar>
              <w:top w:w="70" w:type="dxa"/>
              <w:start w:w="90" w:type="dxa"/>
              <w:bottom w:w="70" w:type="dxa"/>
              <w:end w:w="90" w:type="dxa"/>
              <w:left w:w="80" w:type="dxa"/>
              <w:right w:w="80" w:type="dxa"/>
            </w:tcMar>
            <w:vAlign w:val="center"/>
          </w:tcPr>
          <w:p>
            <w:r>
              <w:rPr>
                <w:b/>
                <w:sz w:val="17"/>
              </w:rPr>
            </w:r>
            <w:r>
              <w:rPr>
                <w:b/>
                <w:sz w:val="17"/>
              </w:rPr>
              <w:t>Responsibility</w:t>
            </w:r>
          </w:p>
        </w:tc>
      </w:tr>
      <w:tr>
        <w:tc>
          <w:tcPr>
            <w:tcW w:type="dxa" w:w="2367"/>
            <w:vAlign w:val="center"/>
            <w:tcMar>
              <w:top w:w="70" w:type="dxa"/>
              <w:left w:w="80" w:type="dxa"/>
              <w:bottom w:w="70" w:type="dxa"/>
              <w:right w:w="80" w:type="dxa"/>
            </w:tcMar>
          </w:tcPr>
          <w:p>
            <w:r/>
            <w:r>
              <w:rPr>
                <w:b w:val="0"/>
                <w:sz w:val="16"/>
              </w:rPr>
              <w:t>mobile:core:model</w:t>
            </w:r>
          </w:p>
        </w:tc>
        <w:tc>
          <w:tcPr>
            <w:tcW w:type="dxa" w:w="7316"/>
            <w:vAlign w:val="center"/>
            <w:tcMar>
              <w:top w:w="70" w:type="dxa"/>
              <w:left w:w="80" w:type="dxa"/>
              <w:bottom w:w="70" w:type="dxa"/>
              <w:right w:w="80" w:type="dxa"/>
            </w:tcMar>
          </w:tcPr>
          <w:p>
            <w:r/>
            <w:r>
              <w:rPr>
                <w:b w:val="0"/>
                <w:sz w:val="16"/>
              </w:rPr>
              <w:t>Stable IDs, money/time/value objects, typed errors and shared immutable API/domain-facing models. No UI or platform SDK dependencies.</w:t>
            </w:r>
          </w:p>
        </w:tc>
      </w:tr>
      <w:tr>
        <w:tc>
          <w:tcPr>
            <w:tcW w:type="dxa" w:w="2367"/>
            <w:vAlign w:val="center"/>
            <w:tcMar>
              <w:top w:w="70" w:type="dxa"/>
              <w:left w:w="80" w:type="dxa"/>
              <w:bottom w:w="70" w:type="dxa"/>
              <w:right w:w="80" w:type="dxa"/>
            </w:tcMar>
          </w:tcPr>
          <w:p>
            <w:r/>
            <w:r>
              <w:rPr>
                <w:b w:val="0"/>
                <w:sz w:val="16"/>
              </w:rPr>
              <w:t>mobile:core:network</w:t>
            </w:r>
          </w:p>
        </w:tc>
        <w:tc>
          <w:tcPr>
            <w:tcW w:type="dxa" w:w="7316"/>
            <w:vAlign w:val="center"/>
            <w:tcMar>
              <w:top w:w="70" w:type="dxa"/>
              <w:left w:w="80" w:type="dxa"/>
              <w:bottom w:w="70" w:type="dxa"/>
              <w:right w:w="80" w:type="dxa"/>
            </w:tcMar>
          </w:tcPr>
          <w:p>
            <w:r/>
            <w:r>
              <w:rPr>
                <w:b w:val="0"/>
                <w:sz w:val="16"/>
              </w:rPr>
              <w:t>Ktor Client, authentication/interceptor pipeline, generated/versioned OpenAPI contracts, kotlinx.serialization, retry classification, correlation/idempotency headers and network telemetry.</w:t>
            </w:r>
          </w:p>
        </w:tc>
      </w:tr>
      <w:tr>
        <w:tc>
          <w:tcPr>
            <w:tcW w:type="dxa" w:w="2367"/>
            <w:vAlign w:val="center"/>
            <w:tcMar>
              <w:top w:w="70" w:type="dxa"/>
              <w:left w:w="80" w:type="dxa"/>
              <w:bottom w:w="70" w:type="dxa"/>
              <w:right w:w="80" w:type="dxa"/>
            </w:tcMar>
          </w:tcPr>
          <w:p>
            <w:r/>
            <w:r>
              <w:rPr>
                <w:b w:val="0"/>
                <w:sz w:val="16"/>
              </w:rPr>
              <w:t>mobile:core:database</w:t>
            </w:r>
          </w:p>
        </w:tc>
        <w:tc>
          <w:tcPr>
            <w:tcW w:type="dxa" w:w="7316"/>
            <w:vAlign w:val="center"/>
            <w:tcMar>
              <w:top w:w="70" w:type="dxa"/>
              <w:left w:w="80" w:type="dxa"/>
              <w:bottom w:w="70" w:type="dxa"/>
              <w:right w:w="80" w:type="dxa"/>
            </w:tcMar>
          </w:tcPr>
          <w:p>
            <w:r/>
            <w:r>
              <w:rPr>
                <w:b w:val="0"/>
                <w:sz w:val="16"/>
              </w:rPr>
              <w:t>SQLDelight/SQLite local stores, migrations, cache metadata and bounded offline records. Server remains authoritative.</w:t>
            </w:r>
          </w:p>
        </w:tc>
      </w:tr>
      <w:tr>
        <w:tc>
          <w:tcPr>
            <w:tcW w:type="dxa" w:w="2367"/>
            <w:vAlign w:val="center"/>
            <w:tcMar>
              <w:top w:w="70" w:type="dxa"/>
              <w:left w:w="80" w:type="dxa"/>
              <w:bottom w:w="70" w:type="dxa"/>
              <w:right w:w="80" w:type="dxa"/>
            </w:tcMar>
          </w:tcPr>
          <w:p>
            <w:r/>
            <w:r>
              <w:rPr>
                <w:b w:val="0"/>
                <w:sz w:val="16"/>
              </w:rPr>
              <w:t>mobile:core:sync</w:t>
            </w:r>
          </w:p>
        </w:tc>
        <w:tc>
          <w:tcPr>
            <w:tcW w:type="dxa" w:w="7316"/>
            <w:vAlign w:val="center"/>
            <w:tcMar>
              <w:top w:w="70" w:type="dxa"/>
              <w:left w:w="80" w:type="dxa"/>
              <w:bottom w:w="70" w:type="dxa"/>
              <w:right w:w="80" w:type="dxa"/>
            </w:tcMar>
          </w:tcPr>
          <w:p>
            <w:r/>
            <w:r>
              <w:rPr>
                <w:b w:val="0"/>
                <w:sz w:val="16"/>
              </w:rPr>
              <w:t>Offline command queue, idempotency keys, retry/backoff, conflict detection, reconciliation, reachability and background-sync orchestration.</w:t>
            </w:r>
          </w:p>
        </w:tc>
      </w:tr>
      <w:tr>
        <w:tc>
          <w:tcPr>
            <w:tcW w:type="dxa" w:w="2367"/>
            <w:vAlign w:val="center"/>
            <w:tcMar>
              <w:top w:w="70" w:type="dxa"/>
              <w:left w:w="80" w:type="dxa"/>
              <w:bottom w:w="70" w:type="dxa"/>
              <w:right w:w="80" w:type="dxa"/>
            </w:tcMar>
          </w:tcPr>
          <w:p>
            <w:r/>
            <w:r>
              <w:rPr>
                <w:b w:val="0"/>
                <w:sz w:val="16"/>
              </w:rPr>
              <w:t>mobile:core:auth</w:t>
            </w:r>
          </w:p>
        </w:tc>
        <w:tc>
          <w:tcPr>
            <w:tcW w:type="dxa" w:w="7316"/>
            <w:vAlign w:val="center"/>
            <w:tcMar>
              <w:top w:w="70" w:type="dxa"/>
              <w:left w:w="80" w:type="dxa"/>
              <w:bottom w:w="70" w:type="dxa"/>
              <w:right w:w="80" w:type="dxa"/>
            </w:tcMar>
          </w:tcPr>
          <w:p>
            <w:r/>
            <w:r>
              <w:rPr>
                <w:b w:val="0"/>
                <w:sz w:val="16"/>
              </w:rPr>
              <w:t>Session state, token refresh coordination, assurance/step-up requests and shared auth UI state; secret storage and biometric unlock are platform adapters.</w:t>
            </w:r>
          </w:p>
        </w:tc>
      </w:tr>
      <w:tr>
        <w:tc>
          <w:tcPr>
            <w:tcW w:type="dxa" w:w="2367"/>
            <w:vAlign w:val="center"/>
            <w:tcMar>
              <w:top w:w="70" w:type="dxa"/>
              <w:left w:w="80" w:type="dxa"/>
              <w:bottom w:w="70" w:type="dxa"/>
              <w:right w:w="80" w:type="dxa"/>
            </w:tcMar>
          </w:tcPr>
          <w:p>
            <w:r/>
            <w:r>
              <w:rPr>
                <w:b w:val="0"/>
                <w:sz w:val="16"/>
              </w:rPr>
              <w:t>mobile:core:designsystem</w:t>
            </w:r>
          </w:p>
        </w:tc>
        <w:tc>
          <w:tcPr>
            <w:tcW w:type="dxa" w:w="7316"/>
            <w:vAlign w:val="center"/>
            <w:tcMar>
              <w:top w:w="70" w:type="dxa"/>
              <w:left w:w="80" w:type="dxa"/>
              <w:bottom w:w="70" w:type="dxa"/>
              <w:right w:w="80" w:type="dxa"/>
            </w:tcMar>
          </w:tcPr>
          <w:p>
            <w:r/>
            <w:r>
              <w:rPr>
                <w:b w:val="0"/>
                <w:sz w:val="16"/>
              </w:rPr>
              <w:t>Veyro Compose tokens, typography, components, states, RTL behavior, accessibility semantics and semantic AI/financial/status treatments.</w:t>
            </w:r>
          </w:p>
        </w:tc>
      </w:tr>
      <w:tr>
        <w:tc>
          <w:tcPr>
            <w:tcW w:type="dxa" w:w="2367"/>
            <w:vAlign w:val="center"/>
            <w:tcMar>
              <w:top w:w="70" w:type="dxa"/>
              <w:left w:w="80" w:type="dxa"/>
              <w:bottom w:w="70" w:type="dxa"/>
              <w:right w:w="80" w:type="dxa"/>
            </w:tcMar>
          </w:tcPr>
          <w:p>
            <w:r/>
            <w:r>
              <w:rPr>
                <w:b w:val="0"/>
                <w:sz w:val="16"/>
              </w:rPr>
              <w:t>mobile:core:localization</w:t>
            </w:r>
          </w:p>
        </w:tc>
        <w:tc>
          <w:tcPr>
            <w:tcW w:type="dxa" w:w="7316"/>
            <w:vAlign w:val="center"/>
            <w:tcMar>
              <w:top w:w="70" w:type="dxa"/>
              <w:left w:w="80" w:type="dxa"/>
              <w:bottom w:w="70" w:type="dxa"/>
              <w:right w:w="80" w:type="dxa"/>
            </w:tcMar>
          </w:tcPr>
          <w:p>
            <w:r/>
            <w:r>
              <w:rPr>
                <w:b w:val="0"/>
                <w:sz w:val="16"/>
              </w:rPr>
              <w:t>Shared English/Arabic resources, typed copy keys, bidi-safe primitives and locale-formatting contracts. Platform formatters handle cases requiring native ICU/NumberFormatter behavior.</w:t>
            </w:r>
          </w:p>
        </w:tc>
      </w:tr>
      <w:tr>
        <w:tc>
          <w:tcPr>
            <w:tcW w:type="dxa" w:w="2367"/>
            <w:vAlign w:val="center"/>
            <w:tcMar>
              <w:top w:w="70" w:type="dxa"/>
              <w:left w:w="80" w:type="dxa"/>
              <w:bottom w:w="70" w:type="dxa"/>
              <w:right w:w="80" w:type="dxa"/>
            </w:tcMar>
          </w:tcPr>
          <w:p>
            <w:r/>
            <w:r>
              <w:rPr>
                <w:b w:val="0"/>
                <w:sz w:val="16"/>
              </w:rPr>
              <w:t>mobile:core:analytics</w:t>
            </w:r>
          </w:p>
        </w:tc>
        <w:tc>
          <w:tcPr>
            <w:tcW w:type="dxa" w:w="7316"/>
            <w:vAlign w:val="center"/>
            <w:tcMar>
              <w:top w:w="70" w:type="dxa"/>
              <w:left w:w="80" w:type="dxa"/>
              <w:bottom w:w="70" w:type="dxa"/>
              <w:right w:w="80" w:type="dxa"/>
            </w:tcMar>
          </w:tcPr>
          <w:p>
            <w:r/>
            <w:r>
              <w:rPr>
                <w:b w:val="0"/>
                <w:sz w:val="16"/>
              </w:rPr>
              <w:t>Typed product/diagnostic event contracts, consent-aware enrichment and vendor-neutral telemetry interface.</w:t>
            </w:r>
          </w:p>
        </w:tc>
      </w:tr>
      <w:tr>
        <w:tc>
          <w:tcPr>
            <w:tcW w:type="dxa" w:w="2367"/>
            <w:vAlign w:val="center"/>
            <w:tcMar>
              <w:top w:w="70" w:type="dxa"/>
              <w:left w:w="80" w:type="dxa"/>
              <w:bottom w:w="70" w:type="dxa"/>
              <w:right w:w="80" w:type="dxa"/>
            </w:tcMar>
          </w:tcPr>
          <w:p>
            <w:r/>
            <w:r>
              <w:rPr>
                <w:b w:val="0"/>
                <w:sz w:val="16"/>
              </w:rPr>
              <w:t>mobile:feature:*</w:t>
            </w:r>
          </w:p>
        </w:tc>
        <w:tc>
          <w:tcPr>
            <w:tcW w:type="dxa" w:w="7316"/>
            <w:vAlign w:val="center"/>
            <w:tcMar>
              <w:top w:w="70" w:type="dxa"/>
              <w:left w:w="80" w:type="dxa"/>
              <w:bottom w:w="70" w:type="dxa"/>
              <w:right w:w="80" w:type="dxa"/>
            </w:tcMar>
          </w:tcPr>
          <w:p>
            <w:r/>
            <w:r>
              <w:rPr>
                <w:b w:val="0"/>
                <w:sz w:val="16"/>
              </w:rPr>
              <w:t>Feature-level Compose UI, shared ViewModels/state, use cases and repository interfaces for Coach and Member flows. Features cannot depend directly on another feature implementation.</w:t>
            </w:r>
          </w:p>
        </w:tc>
      </w:tr>
      <w:tr>
        <w:tc>
          <w:tcPr>
            <w:tcW w:type="dxa" w:w="2367"/>
            <w:vAlign w:val="center"/>
            <w:tcMar>
              <w:top w:w="70" w:type="dxa"/>
              <w:left w:w="80" w:type="dxa"/>
              <w:bottom w:w="70" w:type="dxa"/>
              <w:right w:w="80" w:type="dxa"/>
            </w:tcMar>
          </w:tcPr>
          <w:p>
            <w:r/>
            <w:r>
              <w:rPr>
                <w:b w:val="0"/>
                <w:sz w:val="16"/>
              </w:rPr>
              <w:t>androidApp</w:t>
            </w:r>
          </w:p>
        </w:tc>
        <w:tc>
          <w:tcPr>
            <w:tcW w:type="dxa" w:w="7316"/>
            <w:vAlign w:val="center"/>
            <w:tcMar>
              <w:top w:w="70" w:type="dxa"/>
              <w:left w:w="80" w:type="dxa"/>
              <w:bottom w:w="70" w:type="dxa"/>
              <w:right w:w="80" w:type="dxa"/>
            </w:tcMar>
          </w:tcPr>
          <w:p>
            <w:r/>
            <w:r>
              <w:rPr>
                <w:b w:val="0"/>
                <w:sz w:val="16"/>
              </w:rPr>
              <w:t>Minimal Android application host, Android manifest/signing, deep links, Play services and androidMain capability implementations.</w:t>
            </w:r>
          </w:p>
        </w:tc>
      </w:tr>
      <w:tr>
        <w:tc>
          <w:tcPr>
            <w:tcW w:type="dxa" w:w="2367"/>
            <w:vAlign w:val="center"/>
            <w:tcMar>
              <w:top w:w="70" w:type="dxa"/>
              <w:left w:w="80" w:type="dxa"/>
              <w:bottom w:w="70" w:type="dxa"/>
              <w:right w:w="80" w:type="dxa"/>
            </w:tcMar>
          </w:tcPr>
          <w:p>
            <w:r/>
            <w:r>
              <w:rPr>
                <w:b w:val="0"/>
                <w:sz w:val="16"/>
              </w:rPr>
              <w:t>iosApp</w:t>
            </w:r>
          </w:p>
        </w:tc>
        <w:tc>
          <w:tcPr>
            <w:tcW w:type="dxa" w:w="7316"/>
            <w:vAlign w:val="center"/>
            <w:tcMar>
              <w:top w:w="70" w:type="dxa"/>
              <w:left w:w="80" w:type="dxa"/>
              <w:bottom w:w="70" w:type="dxa"/>
              <w:right w:w="80" w:type="dxa"/>
            </w:tcMar>
          </w:tcPr>
          <w:p>
            <w:r/>
            <w:r>
              <w:rPr>
                <w:b w:val="0"/>
                <w:sz w:val="16"/>
              </w:rPr>
              <w:t>Minimal Xcode/iOS host that embeds the shared Compose root, signing/capabilities, universal links and iosMain/native capability implementations.</w:t>
            </w:r>
          </w:p>
        </w:tc>
      </w:tr>
    </w:tbl>
    <w:p/>
    <w:p>
      <w:pPr>
        <w:pStyle w:val="Heading2"/>
      </w:pPr>
      <w:r>
        <w:t>5.3 Shared Mobile Presentation, State and Navigation</w:t>
      </w:r>
    </w:p>
    <w:p>
      <w:pPr>
        <w:pStyle w:val="Bullet1"/>
      </w:pPr>
      <w:r>
        <w:t>Compose Multiplatform renders the approved Veyro Design System and feature screens from common Kotlin. Platform UI differences are expressed through design-system/platform capability abstractions rather than copied screen trees.</w:t>
      </w:r>
    </w:p>
    <w:p>
      <w:pPr>
        <w:pStyle w:val="Bullet1"/>
      </w:pPr>
      <w:r>
        <w:t>Presentation state uses Kotlin coroutines and StateFlow. Shared ViewModels/state holders own UI state transitions and call use cases; composables render state and emit intents/events. No composable performs direct network/database access.</w:t>
      </w:r>
    </w:p>
    <w:p>
      <w:pPr>
        <w:pStyle w:val="Bullet1"/>
      </w:pPr>
      <w:r>
        <w:t>Navigation uses typed route contracts with deep-link inputs and explicit authorization checks at destination boundaries. Android App Links and iOS Universal Links resolve into the same shared route model.</w:t>
      </w:r>
    </w:p>
    <w:p>
      <w:pPr>
        <w:pStyle w:val="Bullet1"/>
      </w:pPr>
      <w:r>
        <w:t>Lifecycle-sensitive operations use multiplatform lifecycle APIs where reliable; OS-specific behavior that affects correctness (background task expiration, push token lifecycle, secure authentication context) remains platform-owned.</w:t>
      </w:r>
    </w:p>
    <w:p>
      <w:pPr>
        <w:pStyle w:val="Bullet1"/>
      </w:pPr>
      <w:r>
        <w:t>Design System semantics are shared, but platform conventions are preserved for keyboard behavior, safe areas, system bars, native sheets/dialogs, haptics and accessibility when those conventions materially improve usability.</w:t>
      </w:r>
    </w:p>
    <w:p>
      <w:pPr>
        <w:pStyle w:val="Heading2"/>
      </w:pPr>
      <w:r>
        <w:t>5.4 Shared Data, Networking and Offline Sync</w:t>
      </w:r>
    </w:p>
    <w:p/>
    <w:p>
      <w:pPr>
        <w:pStyle w:val="Heading2"/>
      </w:pPr>
      <w:r>
        <w:t>5.5 Native Platform Capability Adapters</w:t>
      </w:r>
    </w:p>
    <w:tbl>
      <w:tblPr>
        <w:tblStyle w:val="TableGrid"/>
        <w:tblW w:type="dxa" w:w="9684"/>
        <w:tblLayout w:type="autofit"/>
        <w:tblLook w:firstColumn="1" w:firstRow="1" w:lastColumn="0" w:lastRow="0" w:noHBand="0" w:noVBand="1" w:val="04A0"/>
        <w:jc w:val="center"/>
      </w:tblPr>
      <w:tblGrid>
        <w:gridCol w:w="1793"/>
        <w:gridCol w:w="2224"/>
        <w:gridCol w:w="5667"/>
      </w:tblGrid>
      <w:tr>
        <w:trPr>
          <w:tblHeader w:val="true"/>
        </w:trPr>
        <w:tc>
          <w:tcPr>
            <w:tcW w:type="dxa" w:w="1793"/>
            <w:vAlign w:val="center"/>
            <w:shd w:fill="2F5B86"/>
            <w:tcMar>
              <w:top w:w="70" w:type="dxa"/>
              <w:start w:w="90" w:type="dxa"/>
              <w:bottom w:w="70" w:type="dxa"/>
              <w:end w:w="90" w:type="dxa"/>
              <w:left w:w="80" w:type="dxa"/>
              <w:right w:w="80" w:type="dxa"/>
            </w:tcMar>
            <w:vAlign w:val="center"/>
          </w:tcPr>
          <w:p>
            <w:r>
              <w:rPr>
                <w:b/>
              </w:rPr>
            </w:r>
            <w:r>
              <w:rPr>
                <w:b/>
                <w:sz w:val="17"/>
              </w:rPr>
              <w:t>Capability</w:t>
            </w:r>
          </w:p>
        </w:tc>
        <w:tc>
          <w:tcPr>
            <w:tcW w:type="dxa" w:w="2224"/>
            <w:vAlign w:val="center"/>
            <w:shd w:fill="2F5B86"/>
            <w:tcMar>
              <w:top w:w="70" w:type="dxa"/>
              <w:start w:w="90" w:type="dxa"/>
              <w:bottom w:w="70" w:type="dxa"/>
              <w:end w:w="90" w:type="dxa"/>
              <w:left w:w="80" w:type="dxa"/>
              <w:right w:w="80" w:type="dxa"/>
            </w:tcMar>
            <w:vAlign w:val="center"/>
          </w:tcPr>
          <w:p>
            <w:r>
              <w:rPr>
                <w:b/>
              </w:rPr>
            </w:r>
            <w:r>
              <w:rPr>
                <w:b/>
                <w:sz w:val="17"/>
              </w:rPr>
              <w:t>Shared Contract</w:t>
            </w:r>
          </w:p>
        </w:tc>
        <w:tc>
          <w:tcPr>
            <w:tcW w:type="dxa" w:w="5667"/>
            <w:vAlign w:val="center"/>
            <w:shd w:fill="2F5B86"/>
            <w:tcMar>
              <w:top w:w="70" w:type="dxa"/>
              <w:start w:w="90" w:type="dxa"/>
              <w:bottom w:w="70" w:type="dxa"/>
              <w:end w:w="90" w:type="dxa"/>
              <w:left w:w="80" w:type="dxa"/>
              <w:right w:w="80" w:type="dxa"/>
            </w:tcMar>
            <w:vAlign w:val="center"/>
          </w:tcPr>
          <w:p>
            <w:r>
              <w:rPr>
                <w:b/>
              </w:rPr>
            </w:r>
            <w:r>
              <w:rPr>
                <w:b/>
                <w:sz w:val="17"/>
              </w:rPr>
              <w:t>Platform Implementations</w:t>
            </w:r>
          </w:p>
        </w:tc>
      </w:tr>
      <w:tr>
        <w:tc>
          <w:tcPr>
            <w:tcW w:type="dxa" w:w="1793"/>
            <w:vAlign w:val="center"/>
            <w:tcMar>
              <w:top w:w="70" w:type="dxa"/>
              <w:left w:w="80" w:type="dxa"/>
              <w:bottom w:w="70" w:type="dxa"/>
              <w:right w:w="80" w:type="dxa"/>
            </w:tcMar>
          </w:tcPr>
          <w:p>
            <w:r/>
            <w:r>
              <w:rPr>
                <w:sz w:val="15"/>
              </w:rPr>
              <w:t>Secure storage</w:t>
            </w:r>
          </w:p>
        </w:tc>
        <w:tc>
          <w:tcPr>
            <w:tcW w:type="dxa" w:w="2224"/>
            <w:vAlign w:val="center"/>
            <w:tcMar>
              <w:top w:w="70" w:type="dxa"/>
              <w:left w:w="80" w:type="dxa"/>
              <w:bottom w:w="70" w:type="dxa"/>
              <w:right w:w="80" w:type="dxa"/>
            </w:tcMar>
          </w:tcPr>
          <w:p>
            <w:r/>
            <w:r>
              <w:rPr>
                <w:sz w:val="15"/>
              </w:rPr>
              <w:t>SecureStore</w:t>
            </w:r>
          </w:p>
        </w:tc>
        <w:tc>
          <w:tcPr>
            <w:tcW w:type="dxa" w:w="5667"/>
            <w:vAlign w:val="center"/>
            <w:tcMar>
              <w:top w:w="70" w:type="dxa"/>
              <w:left w:w="80" w:type="dxa"/>
              <w:bottom w:w="70" w:type="dxa"/>
              <w:right w:w="80" w:type="dxa"/>
            </w:tcMar>
          </w:tcPr>
          <w:p>
            <w:r/>
            <w:r>
              <w:rPr>
                <w:sz w:val="15"/>
              </w:rPr>
              <w:t>Android: Android Keystore / encrypted credential storage</w:t>
            </w:r>
          </w:p>
          <w:p>
            <w:r>
              <w:rPr>
                <w:sz w:val="15"/>
              </w:rPr>
              <w:t>iOS: Keychain + Data Protection</w:t>
            </w:r>
          </w:p>
        </w:tc>
      </w:tr>
      <w:tr>
        <w:tc>
          <w:tcPr>
            <w:tcW w:type="dxa" w:w="1793"/>
            <w:vAlign w:val="center"/>
            <w:tcMar>
              <w:top w:w="70" w:type="dxa"/>
              <w:left w:w="80" w:type="dxa"/>
              <w:bottom w:w="70" w:type="dxa"/>
              <w:right w:w="80" w:type="dxa"/>
            </w:tcMar>
          </w:tcPr>
          <w:p>
            <w:r/>
            <w:r>
              <w:rPr>
                <w:sz w:val="15"/>
              </w:rPr>
              <w:t>Device biometric unlock</w:t>
            </w:r>
          </w:p>
        </w:tc>
        <w:tc>
          <w:tcPr>
            <w:tcW w:type="dxa" w:w="2224"/>
            <w:vAlign w:val="center"/>
            <w:tcMar>
              <w:top w:w="70" w:type="dxa"/>
              <w:left w:w="80" w:type="dxa"/>
              <w:bottom w:w="70" w:type="dxa"/>
              <w:right w:w="80" w:type="dxa"/>
            </w:tcMar>
          </w:tcPr>
          <w:p>
            <w:r/>
            <w:r>
              <w:rPr>
                <w:sz w:val="15"/>
              </w:rPr>
              <w:t>LocalBiometricAuthenticator</w:t>
            </w:r>
          </w:p>
        </w:tc>
        <w:tc>
          <w:tcPr>
            <w:tcW w:type="dxa" w:w="5667"/>
            <w:vAlign w:val="center"/>
            <w:tcMar>
              <w:top w:w="70" w:type="dxa"/>
              <w:left w:w="80" w:type="dxa"/>
              <w:bottom w:w="70" w:type="dxa"/>
              <w:right w:w="80" w:type="dxa"/>
            </w:tcMar>
          </w:tcPr>
          <w:p>
            <w:r/>
            <w:r>
              <w:rPr>
                <w:sz w:val="15"/>
              </w:rPr>
              <w:t>Android: BiometricPrompt</w:t>
            </w:r>
          </w:p>
          <w:p>
            <w:r>
              <w:rPr>
                <w:sz w:val="15"/>
              </w:rPr>
              <w:t>iOS: LocalAuthentication (Face ID/Touch ID)</w:t>
            </w:r>
          </w:p>
        </w:tc>
      </w:tr>
      <w:tr>
        <w:tc>
          <w:tcPr>
            <w:tcW w:type="dxa" w:w="1793"/>
            <w:vAlign w:val="center"/>
            <w:tcMar>
              <w:top w:w="70" w:type="dxa"/>
              <w:left w:w="80" w:type="dxa"/>
              <w:bottom w:w="70" w:type="dxa"/>
              <w:right w:w="80" w:type="dxa"/>
            </w:tcMar>
          </w:tcPr>
          <w:p>
            <w:r/>
            <w:r>
              <w:rPr>
                <w:sz w:val="15"/>
              </w:rPr>
              <w:t>Push notifications</w:t>
            </w:r>
          </w:p>
        </w:tc>
        <w:tc>
          <w:tcPr>
            <w:tcW w:type="dxa" w:w="2224"/>
            <w:vAlign w:val="center"/>
            <w:tcMar>
              <w:top w:w="70" w:type="dxa"/>
              <w:left w:w="80" w:type="dxa"/>
              <w:bottom w:w="70" w:type="dxa"/>
              <w:right w:w="80" w:type="dxa"/>
            </w:tcMar>
          </w:tcPr>
          <w:p>
            <w:r/>
            <w:r>
              <w:rPr>
                <w:sz w:val="15"/>
              </w:rPr>
              <w:t>PushRegistration / PushRouter</w:t>
            </w:r>
          </w:p>
        </w:tc>
        <w:tc>
          <w:tcPr>
            <w:tcW w:type="dxa" w:w="5667"/>
            <w:vAlign w:val="center"/>
            <w:tcMar>
              <w:top w:w="70" w:type="dxa"/>
              <w:left w:w="80" w:type="dxa"/>
              <w:bottom w:w="70" w:type="dxa"/>
              <w:right w:w="80" w:type="dxa"/>
            </w:tcMar>
          </w:tcPr>
          <w:p>
            <w:r/>
            <w:r>
              <w:rPr>
                <w:sz w:val="15"/>
              </w:rPr>
              <w:t>Android: FCM + Android notification channels</w:t>
            </w:r>
          </w:p>
          <w:p>
            <w:r>
              <w:rPr>
                <w:sz w:val="15"/>
              </w:rPr>
              <w:t>iOS: APNs + UNUserNotificationCenter</w:t>
            </w:r>
          </w:p>
        </w:tc>
      </w:tr>
      <w:tr>
        <w:tc>
          <w:tcPr>
            <w:tcW w:type="dxa" w:w="1793"/>
            <w:vAlign w:val="center"/>
            <w:tcMar>
              <w:top w:w="70" w:type="dxa"/>
              <w:left w:w="80" w:type="dxa"/>
              <w:bottom w:w="70" w:type="dxa"/>
              <w:right w:w="80" w:type="dxa"/>
            </w:tcMar>
          </w:tcPr>
          <w:p>
            <w:r/>
            <w:r>
              <w:rPr>
                <w:sz w:val="15"/>
              </w:rPr>
              <w:t>Background work</w:t>
            </w:r>
          </w:p>
        </w:tc>
        <w:tc>
          <w:tcPr>
            <w:tcW w:type="dxa" w:w="2224"/>
            <w:vAlign w:val="center"/>
            <w:tcMar>
              <w:top w:w="70" w:type="dxa"/>
              <w:left w:w="80" w:type="dxa"/>
              <w:bottom w:w="70" w:type="dxa"/>
              <w:right w:w="80" w:type="dxa"/>
            </w:tcMar>
          </w:tcPr>
          <w:p>
            <w:r/>
            <w:r>
              <w:rPr>
                <w:sz w:val="15"/>
              </w:rPr>
              <w:t>BackgroundScheduler</w:t>
            </w:r>
          </w:p>
        </w:tc>
        <w:tc>
          <w:tcPr>
            <w:tcW w:type="dxa" w:w="5667"/>
            <w:vAlign w:val="center"/>
            <w:tcMar>
              <w:top w:w="70" w:type="dxa"/>
              <w:left w:w="80" w:type="dxa"/>
              <w:bottom w:w="70" w:type="dxa"/>
              <w:right w:w="80" w:type="dxa"/>
            </w:tcMar>
          </w:tcPr>
          <w:p>
            <w:r/>
            <w:r>
              <w:rPr>
                <w:sz w:val="15"/>
              </w:rPr>
              <w:t>Android: WorkManager / foreground service only when policy allows</w:t>
            </w:r>
          </w:p>
          <w:p>
            <w:r>
              <w:rPr>
                <w:sz w:val="15"/>
              </w:rPr>
              <w:t>iOS: BGTaskScheduler / background URLSession where appropriate</w:t>
            </w:r>
          </w:p>
        </w:tc>
      </w:tr>
      <w:tr>
        <w:tc>
          <w:tcPr>
            <w:tcW w:type="dxa" w:w="1793"/>
            <w:vAlign w:val="center"/>
            <w:tcMar>
              <w:top w:w="70" w:type="dxa"/>
              <w:left w:w="80" w:type="dxa"/>
              <w:bottom w:w="70" w:type="dxa"/>
              <w:right w:w="80" w:type="dxa"/>
            </w:tcMar>
          </w:tcPr>
          <w:p>
            <w:r/>
            <w:r>
              <w:rPr>
                <w:sz w:val="15"/>
              </w:rPr>
              <w:t>Camera / barcode</w:t>
            </w:r>
          </w:p>
        </w:tc>
        <w:tc>
          <w:tcPr>
            <w:tcW w:type="dxa" w:w="2224"/>
            <w:vAlign w:val="center"/>
            <w:tcMar>
              <w:top w:w="70" w:type="dxa"/>
              <w:left w:w="80" w:type="dxa"/>
              <w:bottom w:w="70" w:type="dxa"/>
              <w:right w:w="80" w:type="dxa"/>
            </w:tcMar>
          </w:tcPr>
          <w:p>
            <w:r/>
            <w:r>
              <w:rPr>
                <w:sz w:val="15"/>
              </w:rPr>
              <w:t>CameraScanner</w:t>
            </w:r>
          </w:p>
        </w:tc>
        <w:tc>
          <w:tcPr>
            <w:tcW w:type="dxa" w:w="5667"/>
            <w:vAlign w:val="center"/>
            <w:tcMar>
              <w:top w:w="70" w:type="dxa"/>
              <w:left w:w="80" w:type="dxa"/>
              <w:bottom w:w="70" w:type="dxa"/>
              <w:right w:w="80" w:type="dxa"/>
            </w:tcMar>
          </w:tcPr>
          <w:p>
            <w:r/>
            <w:r>
              <w:rPr>
                <w:sz w:val="15"/>
              </w:rPr>
              <w:t>Android: CameraX / ML Kit or certified scanner SDK</w:t>
            </w:r>
          </w:p>
          <w:p>
            <w:r>
              <w:rPr>
                <w:sz w:val="15"/>
              </w:rPr>
              <w:t>iOS: AVFoundation / Vision or certified scanner SDK</w:t>
            </w:r>
          </w:p>
        </w:tc>
      </w:tr>
      <w:tr>
        <w:tc>
          <w:tcPr>
            <w:tcW w:type="dxa" w:w="1793"/>
            <w:vAlign w:val="center"/>
            <w:tcMar>
              <w:top w:w="70" w:type="dxa"/>
              <w:left w:w="80" w:type="dxa"/>
              <w:bottom w:w="70" w:type="dxa"/>
              <w:right w:w="80" w:type="dxa"/>
            </w:tcMar>
          </w:tcPr>
          <w:p>
            <w:r/>
            <w:r>
              <w:rPr>
                <w:sz w:val="15"/>
              </w:rPr>
              <w:t>NFC</w:t>
            </w:r>
          </w:p>
        </w:tc>
        <w:tc>
          <w:tcPr>
            <w:tcW w:type="dxa" w:w="2224"/>
            <w:vAlign w:val="center"/>
            <w:tcMar>
              <w:top w:w="70" w:type="dxa"/>
              <w:left w:w="80" w:type="dxa"/>
              <w:bottom w:w="70" w:type="dxa"/>
              <w:right w:w="80" w:type="dxa"/>
            </w:tcMar>
          </w:tcPr>
          <w:p>
            <w:r/>
            <w:r>
              <w:rPr>
                <w:sz w:val="15"/>
              </w:rPr>
              <w:t>NfcCapability</w:t>
            </w:r>
          </w:p>
        </w:tc>
        <w:tc>
          <w:tcPr>
            <w:tcW w:type="dxa" w:w="5667"/>
            <w:vAlign w:val="center"/>
            <w:tcMar>
              <w:top w:w="70" w:type="dxa"/>
              <w:left w:w="80" w:type="dxa"/>
              <w:bottom w:w="70" w:type="dxa"/>
              <w:right w:w="80" w:type="dxa"/>
            </w:tcMar>
          </w:tcPr>
          <w:p>
            <w:r/>
            <w:r>
              <w:rPr>
                <w:sz w:val="15"/>
              </w:rPr>
              <w:t>Android: Android NFC APIs</w:t>
            </w:r>
          </w:p>
          <w:p>
            <w:r>
              <w:rPr>
                <w:sz w:val="15"/>
              </w:rPr>
              <w:t>iOS: Core NFC within Apple entitlement/policy constraints</w:t>
            </w:r>
          </w:p>
        </w:tc>
      </w:tr>
      <w:tr>
        <w:tc>
          <w:tcPr>
            <w:tcW w:type="dxa" w:w="1793"/>
            <w:vAlign w:val="center"/>
            <w:tcMar>
              <w:top w:w="70" w:type="dxa"/>
              <w:left w:w="80" w:type="dxa"/>
              <w:bottom w:w="70" w:type="dxa"/>
              <w:right w:w="80" w:type="dxa"/>
            </w:tcMar>
          </w:tcPr>
          <w:p>
            <w:r/>
            <w:r>
              <w:rPr>
                <w:sz w:val="15"/>
              </w:rPr>
              <w:t>Wallet / payments</w:t>
            </w:r>
          </w:p>
        </w:tc>
        <w:tc>
          <w:tcPr>
            <w:tcW w:type="dxa" w:w="2224"/>
            <w:vAlign w:val="center"/>
            <w:tcMar>
              <w:top w:w="70" w:type="dxa"/>
              <w:left w:w="80" w:type="dxa"/>
              <w:bottom w:w="70" w:type="dxa"/>
              <w:right w:w="80" w:type="dxa"/>
            </w:tcMar>
          </w:tcPr>
          <w:p>
            <w:r/>
            <w:r>
              <w:rPr>
                <w:sz w:val="15"/>
              </w:rPr>
              <w:t>WalletPaymentCapability</w:t>
            </w:r>
          </w:p>
        </w:tc>
        <w:tc>
          <w:tcPr>
            <w:tcW w:type="dxa" w:w="5667"/>
            <w:vAlign w:val="center"/>
            <w:tcMar>
              <w:top w:w="70" w:type="dxa"/>
              <w:left w:w="80" w:type="dxa"/>
              <w:bottom w:w="70" w:type="dxa"/>
              <w:right w:w="80" w:type="dxa"/>
            </w:tcMar>
          </w:tcPr>
          <w:p>
            <w:r/>
            <w:r>
              <w:rPr>
                <w:sz w:val="15"/>
              </w:rPr>
              <w:t>Android: Google Wallet/Pay and PSP Android SDK adapter</w:t>
            </w:r>
          </w:p>
          <w:p>
            <w:r>
              <w:rPr>
                <w:sz w:val="15"/>
              </w:rPr>
              <w:t>iOS: Apple Wallet/Apple Pay and PSP iOS SDK adapter</w:t>
            </w:r>
          </w:p>
        </w:tc>
      </w:tr>
      <w:tr>
        <w:tc>
          <w:tcPr>
            <w:tcW w:type="dxa" w:w="1793"/>
            <w:vAlign w:val="center"/>
            <w:tcMar>
              <w:top w:w="70" w:type="dxa"/>
              <w:left w:w="80" w:type="dxa"/>
              <w:bottom w:w="70" w:type="dxa"/>
              <w:right w:w="80" w:type="dxa"/>
            </w:tcMar>
          </w:tcPr>
          <w:p>
            <w:r/>
            <w:r>
              <w:rPr>
                <w:sz w:val="15"/>
              </w:rPr>
              <w:t>Health data</w:t>
            </w:r>
          </w:p>
        </w:tc>
        <w:tc>
          <w:tcPr>
            <w:tcW w:type="dxa" w:w="2224"/>
            <w:vAlign w:val="center"/>
            <w:tcMar>
              <w:top w:w="70" w:type="dxa"/>
              <w:left w:w="80" w:type="dxa"/>
              <w:bottom w:w="70" w:type="dxa"/>
              <w:right w:w="80" w:type="dxa"/>
            </w:tcMar>
          </w:tcPr>
          <w:p>
            <w:r/>
            <w:r>
              <w:rPr>
                <w:sz w:val="15"/>
              </w:rPr>
              <w:t>HealthDataCapability</w:t>
            </w:r>
          </w:p>
        </w:tc>
        <w:tc>
          <w:tcPr>
            <w:tcW w:type="dxa" w:w="5667"/>
            <w:vAlign w:val="center"/>
            <w:tcMar>
              <w:top w:w="70" w:type="dxa"/>
              <w:left w:w="80" w:type="dxa"/>
              <w:bottom w:w="70" w:type="dxa"/>
              <w:right w:w="80" w:type="dxa"/>
            </w:tcMar>
          </w:tcPr>
          <w:p>
            <w:r/>
            <w:r>
              <w:rPr>
                <w:sz w:val="15"/>
              </w:rPr>
              <w:t>Android: Health Connect when enabled/consented</w:t>
            </w:r>
          </w:p>
          <w:p>
            <w:r>
              <w:rPr>
                <w:sz w:val="15"/>
              </w:rPr>
              <w:t>iOS: HealthKit when enabled/consented</w:t>
            </w:r>
          </w:p>
        </w:tc>
      </w:tr>
      <w:tr>
        <w:tc>
          <w:tcPr>
            <w:tcW w:type="dxa" w:w="1793"/>
            <w:vAlign w:val="center"/>
            <w:tcMar>
              <w:top w:w="70" w:type="dxa"/>
              <w:left w:w="80" w:type="dxa"/>
              <w:bottom w:w="70" w:type="dxa"/>
              <w:right w:w="80" w:type="dxa"/>
            </w:tcMar>
          </w:tcPr>
          <w:p>
            <w:r/>
            <w:r>
              <w:rPr>
                <w:sz w:val="15"/>
              </w:rPr>
              <w:t>Deep links</w:t>
            </w:r>
          </w:p>
        </w:tc>
        <w:tc>
          <w:tcPr>
            <w:tcW w:type="dxa" w:w="2224"/>
            <w:vAlign w:val="center"/>
            <w:tcMar>
              <w:top w:w="70" w:type="dxa"/>
              <w:left w:w="80" w:type="dxa"/>
              <w:bottom w:w="70" w:type="dxa"/>
              <w:right w:w="80" w:type="dxa"/>
            </w:tcMar>
          </w:tcPr>
          <w:p>
            <w:r/>
            <w:r>
              <w:rPr>
                <w:sz w:val="15"/>
              </w:rPr>
              <w:t>DeepLinkResolver</w:t>
            </w:r>
          </w:p>
        </w:tc>
        <w:tc>
          <w:tcPr>
            <w:tcW w:type="dxa" w:w="5667"/>
            <w:vAlign w:val="center"/>
            <w:tcMar>
              <w:top w:w="70" w:type="dxa"/>
              <w:left w:w="80" w:type="dxa"/>
              <w:bottom w:w="70" w:type="dxa"/>
              <w:right w:w="80" w:type="dxa"/>
            </w:tcMar>
          </w:tcPr>
          <w:p>
            <w:r/>
            <w:r>
              <w:rPr>
                <w:sz w:val="15"/>
              </w:rPr>
              <w:t>Android: Android App Links</w:t>
            </w:r>
          </w:p>
          <w:p>
            <w:r>
              <w:rPr>
                <w:sz w:val="15"/>
              </w:rPr>
              <w:t>iOS: Universal Links</w:t>
            </w:r>
          </w:p>
        </w:tc>
      </w:tr>
      <w:tr>
        <w:tc>
          <w:tcPr>
            <w:tcW w:type="dxa" w:w="1793"/>
            <w:vAlign w:val="center"/>
            <w:tcMar>
              <w:top w:w="70" w:type="dxa"/>
              <w:left w:w="80" w:type="dxa"/>
              <w:bottom w:w="70" w:type="dxa"/>
              <w:right w:w="80" w:type="dxa"/>
            </w:tcMar>
          </w:tcPr>
          <w:p>
            <w:r/>
            <w:r>
              <w:rPr>
                <w:sz w:val="15"/>
              </w:rPr>
              <w:t>Haptics/share/files</w:t>
            </w:r>
          </w:p>
        </w:tc>
        <w:tc>
          <w:tcPr>
            <w:tcW w:type="dxa" w:w="2224"/>
            <w:vAlign w:val="center"/>
            <w:tcMar>
              <w:top w:w="70" w:type="dxa"/>
              <w:left w:w="80" w:type="dxa"/>
              <w:bottom w:w="70" w:type="dxa"/>
              <w:right w:w="80" w:type="dxa"/>
            </w:tcMar>
          </w:tcPr>
          <w:p>
            <w:r/>
            <w:r>
              <w:rPr>
                <w:sz w:val="15"/>
              </w:rPr>
              <w:t>PlatformInteraction</w:t>
            </w:r>
          </w:p>
        </w:tc>
        <w:tc>
          <w:tcPr>
            <w:tcW w:type="dxa" w:w="5667"/>
            <w:vAlign w:val="center"/>
            <w:tcMar>
              <w:top w:w="70" w:type="dxa"/>
              <w:left w:w="80" w:type="dxa"/>
              <w:bottom w:w="70" w:type="dxa"/>
              <w:right w:w="80" w:type="dxa"/>
            </w:tcMar>
          </w:tcPr>
          <w:p>
            <w:r/>
            <w:r>
              <w:rPr>
                <w:sz w:val="15"/>
              </w:rPr>
              <w:t>Android: Android native APIs</w:t>
            </w:r>
          </w:p>
          <w:p>
            <w:r>
              <w:rPr>
                <w:sz w:val="15"/>
              </w:rPr>
              <w:t>iOS: UIKit/Foundation native APIs</w:t>
            </w:r>
          </w:p>
        </w:tc>
      </w:tr>
    </w:tbl>
    <w:p/>
    <w:p>
      <w:pPr/>
      <w:r>
        <w:t>Apple Face ID/Touch ID templates never leave the device; Android biometric templates likewise remain inside the OS/secure hardware boundary. Veyro receives only authentication success/failure/assurance results. Facility facial-entry biometrics are a separate server/edge identity capability governed by Section 16 and are never conflated with device biometric unlock.</w:t>
      </w:r>
    </w:p>
    <w:p>
      <w:pPr>
        <w:pStyle w:val="Heading2"/>
      </w:pPr>
      <w:r>
        <w:t>5.6 Localization, RTL, Accessibility and Design-System Parity</w:t>
      </w:r>
    </w:p>
    <w:p>
      <w:pPr>
        <w:pStyle w:val="Bullet1"/>
      </w:pPr>
      <w:r>
        <w:t>English and Arabic resources are shared in the KMP resource layer so both platforms use the same approved product terminology. Platform-specific legal/store copy may remain in host resources when required.</w:t>
      </w:r>
    </w:p>
    <w:p>
      <w:pPr>
        <w:pStyle w:val="Bullet1"/>
      </w:pPr>
      <w:r>
        <w:t>RTL is a tested product contract, not a simple mirror operation. Common Compose components implement direction-aware layouts while identifiers, JOD, phone numbers, sets/reps/weights and other mixed-direction runs follow the approved bidi rules.</w:t>
      </w:r>
    </w:p>
    <w:p>
      <w:pPr>
        <w:pStyle w:val="Bullet1"/>
      </w:pPr>
      <w:r>
        <w:t>Currency/date/phone/unit formatting flows through typed locale-formatting interfaces. Where common formatting cannot reproduce required platform/regional behavior, androidMain/iosMain use native ICU/NumberFormatter/DateFormatter equivalents.</w:t>
      </w:r>
    </w:p>
    <w:p>
      <w:pPr>
        <w:pStyle w:val="Bullet1"/>
      </w:pPr>
      <w:r>
        <w:t>Accessibility semantics are defined in shared components and validated separately on TalkBack and VoiceOver. Font scaling, focus order, keyboard/full-keyboard access, touch targets and reduced-motion behavior are release gates on both platforms.</w:t>
      </w:r>
    </w:p>
    <w:p>
      <w:pPr>
        <w:pStyle w:val="Bullet1"/>
      </w:pPr>
      <w:r>
        <w:t>If a shared Compose component cannot meet an iOS or Android accessibility requirement, the native interop escape hatch is used rather than weakening the requirement.</w:t>
      </w:r>
    </w:p>
    <w:p>
      <w:pPr>
        <w:pStyle w:val="Heading2"/>
      </w:pPr>
      <w:r>
        <w:t>5.7 Mobile Build, Release and White-label Model</w:t>
      </w:r>
    </w:p>
    <w:p>
      <w:pPr>
        <w:pStyle w:val="Bullet1"/>
      </w:pPr>
      <w:r>
        <w:t>Gradle builds shared KMP modules and Android artifacts; iOS builds are completed on macOS/Xcode using the shared framework/Compose integration. Android and iOS produce separate signed AAB/IPA artifacts and retain independent build numbers/store rollout controls.</w:t>
      </w:r>
    </w:p>
    <w:p>
      <w:pPr>
        <w:pStyle w:val="Bullet1"/>
      </w:pPr>
      <w:r>
        <w:t>Shared source does not require simultaneous store release. Backend compatibility and capability negotiation support the minimum supported versions on each platform independently.</w:t>
      </w:r>
    </w:p>
    <w:p>
      <w:pPr>
        <w:pStyle w:val="Bullet1"/>
      </w:pPr>
      <w:r>
        <w:t>White-label variants reuse the same KMP feature modules and Compose Design System. Brand/build configuration supplies bundle/package ID, app name, icons, store metadata, signing and approved tenant brand tokens/content; business logic is never copied into per-brand forks.</w:t>
      </w:r>
    </w:p>
    <w:p>
      <w:pPr>
        <w:pStyle w:val="Bullet1"/>
      </w:pPr>
      <w:r>
        <w:t>Native capability entitlements (push, associated domains, Apple Pay, HealthKit, NFC, background modes, etc.) are declared per branded iOS/Android target and validated by automated release checks.</w:t>
      </w:r>
    </w:p>
    <w:p>
      <w:pPr>
        <w:pStyle w:val="Bullet1"/>
      </w:pPr>
      <w:r>
        <w:t>Crash/adoption telemetry is segmented by platform, app version, brand/tenant configuration and feature flag while preserving privacy/data-minimization requirements.</w:t>
      </w:r>
    </w:p>
    <w:p>
      <w:pPr>
        <w:pStyle w:val="Heading2"/>
      </w:pPr>
      <w:r>
        <w:t>5.8 Mobile Testing and Production Qualification</w:t>
      </w:r>
    </w:p>
    <w:tbl>
      <w:tblPr>
        <w:tblStyle w:val="TableGrid"/>
        <w:tblW w:type="dxa" w:w="9684"/>
        <w:tblLayout w:type="autofit"/>
        <w:tblLook w:firstColumn="1" w:firstRow="1" w:lastColumn="0" w:lastRow="0" w:noHBand="0" w:noVBand="1" w:val="04A0"/>
        <w:jc w:val="center"/>
      </w:tblPr>
      <w:tblGrid>
        <w:gridCol w:w="2439"/>
        <w:gridCol w:w="7245"/>
      </w:tblGrid>
      <w:tr>
        <w:trPr>
          <w:tblHeader w:val="true"/>
        </w:trPr>
        <w:tc>
          <w:tcPr>
            <w:tcW w:type="dxa" w:w="2439"/>
            <w:vAlign w:val="center"/>
            <w:shd w:fill="2F5B86"/>
            <w:tcMar>
              <w:top w:w="70" w:type="dxa"/>
              <w:start w:w="90" w:type="dxa"/>
              <w:bottom w:w="70" w:type="dxa"/>
              <w:end w:w="90" w:type="dxa"/>
              <w:left w:w="80" w:type="dxa"/>
              <w:right w:w="80" w:type="dxa"/>
            </w:tcMar>
            <w:vAlign w:val="center"/>
          </w:tcPr>
          <w:p>
            <w:r>
              <w:rPr>
                <w:b/>
                <w:sz w:val="17"/>
              </w:rPr>
            </w:r>
            <w:r>
              <w:rPr>
                <w:b/>
                <w:sz w:val="17"/>
              </w:rPr>
              <w:t>Test Layer</w:t>
            </w:r>
          </w:p>
        </w:tc>
        <w:tc>
          <w:tcPr>
            <w:tcW w:type="dxa" w:w="7245"/>
            <w:vAlign w:val="center"/>
            <w:shd w:fill="2F5B86"/>
            <w:tcMar>
              <w:top w:w="70" w:type="dxa"/>
              <w:start w:w="90" w:type="dxa"/>
              <w:bottom w:w="70" w:type="dxa"/>
              <w:end w:w="90" w:type="dxa"/>
              <w:left w:w="80" w:type="dxa"/>
              <w:right w:w="80" w:type="dxa"/>
            </w:tcMar>
            <w:vAlign w:val="center"/>
          </w:tcPr>
          <w:p>
            <w:r>
              <w:rPr>
                <w:b/>
                <w:sz w:val="17"/>
              </w:rPr>
            </w:r>
            <w:r>
              <w:rPr>
                <w:b/>
                <w:sz w:val="17"/>
              </w:rPr>
              <w:t>Required Coverage</w:t>
            </w:r>
          </w:p>
        </w:tc>
      </w:tr>
      <w:tr>
        <w:tc>
          <w:tcPr>
            <w:tcW w:type="dxa" w:w="2439"/>
            <w:vAlign w:val="center"/>
            <w:tcMar>
              <w:top w:w="70" w:type="dxa"/>
              <w:left w:w="80" w:type="dxa"/>
              <w:bottom w:w="70" w:type="dxa"/>
              <w:right w:w="80" w:type="dxa"/>
            </w:tcMar>
          </w:tcPr>
          <w:p>
            <w:r/>
            <w:r>
              <w:rPr>
                <w:b w:val="0"/>
                <w:sz w:val="16"/>
              </w:rPr>
              <w:t>Shared unit tests</w:t>
            </w:r>
          </w:p>
        </w:tc>
        <w:tc>
          <w:tcPr>
            <w:tcW w:type="dxa" w:w="7245"/>
            <w:vAlign w:val="center"/>
            <w:tcMar>
              <w:top w:w="70" w:type="dxa"/>
              <w:left w:w="80" w:type="dxa"/>
              <w:bottom w:w="70" w:type="dxa"/>
              <w:right w:w="80" w:type="dxa"/>
            </w:tcMar>
          </w:tcPr>
          <w:p>
            <w:r/>
            <w:r>
              <w:rPr>
                <w:b w:val="0"/>
                <w:sz w:val="16"/>
              </w:rPr>
              <w:t>Use cases, reducers/ViewModels, validation, repositories, serialization, sync/conflict logic and localization contracts execute from commonTest.</w:t>
            </w:r>
          </w:p>
        </w:tc>
      </w:tr>
      <w:tr>
        <w:tc>
          <w:tcPr>
            <w:tcW w:type="dxa" w:w="2439"/>
            <w:vAlign w:val="center"/>
            <w:tcMar>
              <w:top w:w="70" w:type="dxa"/>
              <w:left w:w="80" w:type="dxa"/>
              <w:bottom w:w="70" w:type="dxa"/>
              <w:right w:w="80" w:type="dxa"/>
            </w:tcMar>
          </w:tcPr>
          <w:p>
            <w:r/>
            <w:r>
              <w:rPr>
                <w:b w:val="0"/>
                <w:sz w:val="16"/>
              </w:rPr>
              <w:t>Shared Compose UI tests</w:t>
            </w:r>
          </w:p>
        </w:tc>
        <w:tc>
          <w:tcPr>
            <w:tcW w:type="dxa" w:w="7245"/>
            <w:vAlign w:val="center"/>
            <w:tcMar>
              <w:top w:w="70" w:type="dxa"/>
              <w:left w:w="80" w:type="dxa"/>
              <w:bottom w:w="70" w:type="dxa"/>
              <w:right w:w="80" w:type="dxa"/>
            </w:tcMar>
          </w:tcPr>
          <w:p>
            <w:r/>
            <w:r>
              <w:rPr>
                <w:b w:val="0"/>
                <w:sz w:val="16"/>
              </w:rPr>
              <w:t>Critical component and screen behavior where the multiplatform test API provides deterministic coverage; golden/screenshot comparison for Design System parity where useful.</w:t>
            </w:r>
          </w:p>
        </w:tc>
      </w:tr>
      <w:tr>
        <w:tc>
          <w:tcPr>
            <w:tcW w:type="dxa" w:w="2439"/>
            <w:vAlign w:val="center"/>
            <w:tcMar>
              <w:top w:w="70" w:type="dxa"/>
              <w:left w:w="80" w:type="dxa"/>
              <w:bottom w:w="70" w:type="dxa"/>
              <w:right w:w="80" w:type="dxa"/>
            </w:tcMar>
          </w:tcPr>
          <w:p>
            <w:r/>
            <w:r>
              <w:rPr>
                <w:b w:val="0"/>
                <w:sz w:val="16"/>
              </w:rPr>
              <w:t>Android integration</w:t>
            </w:r>
          </w:p>
        </w:tc>
        <w:tc>
          <w:tcPr>
            <w:tcW w:type="dxa" w:w="7245"/>
            <w:vAlign w:val="center"/>
            <w:tcMar>
              <w:top w:w="70" w:type="dxa"/>
              <w:left w:w="80" w:type="dxa"/>
              <w:bottom w:w="70" w:type="dxa"/>
              <w:right w:w="80" w:type="dxa"/>
            </w:tcMar>
          </w:tcPr>
          <w:p>
            <w:r/>
            <w:r>
              <w:rPr>
                <w:b w:val="0"/>
                <w:sz w:val="16"/>
              </w:rPr>
              <w:t>Instrumented tests on supported API/device matrix; TalkBack, font scale, rotation, process death, WorkManager, push, biometrics, camera/NFC and payment SDK integration.</w:t>
            </w:r>
          </w:p>
        </w:tc>
      </w:tr>
      <w:tr>
        <w:tc>
          <w:tcPr>
            <w:tcW w:type="dxa" w:w="2439"/>
            <w:vAlign w:val="center"/>
            <w:tcMar>
              <w:top w:w="70" w:type="dxa"/>
              <w:left w:w="80" w:type="dxa"/>
              <w:bottom w:w="70" w:type="dxa"/>
              <w:right w:w="80" w:type="dxa"/>
            </w:tcMar>
          </w:tcPr>
          <w:p>
            <w:r/>
            <w:r>
              <w:rPr>
                <w:b w:val="0"/>
                <w:sz w:val="16"/>
              </w:rPr>
              <w:t>iOS integration</w:t>
            </w:r>
          </w:p>
        </w:tc>
        <w:tc>
          <w:tcPr>
            <w:tcW w:type="dxa" w:w="7245"/>
            <w:vAlign w:val="center"/>
            <w:tcMar>
              <w:top w:w="70" w:type="dxa"/>
              <w:left w:w="80" w:type="dxa"/>
              <w:bottom w:w="70" w:type="dxa"/>
              <w:right w:w="80" w:type="dxa"/>
            </w:tcMar>
          </w:tcPr>
          <w:p>
            <w:r/>
            <w:r>
              <w:rPr>
                <w:b w:val="0"/>
                <w:sz w:val="16"/>
              </w:rPr>
              <w:t>XCTest/XCUITest and real-device validation for VoiceOver, Dynamic Type, background scheduling, APNs, LocalAuthentication, Keychain, camera/NFC, Apple Pay/Wallet and deep links.</w:t>
            </w:r>
          </w:p>
        </w:tc>
      </w:tr>
      <w:tr>
        <w:tc>
          <w:tcPr>
            <w:tcW w:type="dxa" w:w="2439"/>
            <w:vAlign w:val="center"/>
            <w:tcMar>
              <w:top w:w="70" w:type="dxa"/>
              <w:left w:w="80" w:type="dxa"/>
              <w:bottom w:w="70" w:type="dxa"/>
              <w:right w:w="80" w:type="dxa"/>
            </w:tcMar>
          </w:tcPr>
          <w:p>
            <w:r/>
            <w:r>
              <w:rPr>
                <w:b w:val="0"/>
                <w:sz w:val="16"/>
              </w:rPr>
              <w:t>Offline/reconnect</w:t>
            </w:r>
          </w:p>
        </w:tc>
        <w:tc>
          <w:tcPr>
            <w:tcW w:type="dxa" w:w="7245"/>
            <w:vAlign w:val="center"/>
            <w:tcMar>
              <w:top w:w="70" w:type="dxa"/>
              <w:left w:w="80" w:type="dxa"/>
              <w:bottom w:w="70" w:type="dxa"/>
              <w:right w:w="80" w:type="dxa"/>
            </w:tcMar>
          </w:tcPr>
          <w:p>
            <w:r/>
            <w:r>
              <w:rPr>
                <w:b w:val="0"/>
                <w:sz w:val="16"/>
              </w:rPr>
              <w:t>Airplane-mode/network shaping tests for workout logs, queued commands, retry, duplicate prevention, conflict and reconciliation on both platforms.</w:t>
            </w:r>
          </w:p>
        </w:tc>
      </w:tr>
      <w:tr>
        <w:tc>
          <w:tcPr>
            <w:tcW w:type="dxa" w:w="2439"/>
            <w:vAlign w:val="center"/>
            <w:tcMar>
              <w:top w:w="70" w:type="dxa"/>
              <w:left w:w="80" w:type="dxa"/>
              <w:bottom w:w="70" w:type="dxa"/>
              <w:right w:w="80" w:type="dxa"/>
            </w:tcMar>
          </w:tcPr>
          <w:p>
            <w:r/>
            <w:r>
              <w:rPr>
                <w:b w:val="0"/>
                <w:sz w:val="16"/>
              </w:rPr>
              <w:t>Performance</w:t>
            </w:r>
          </w:p>
        </w:tc>
        <w:tc>
          <w:tcPr>
            <w:tcW w:type="dxa" w:w="7245"/>
            <w:vAlign w:val="center"/>
            <w:tcMar>
              <w:top w:w="70" w:type="dxa"/>
              <w:left w:w="80" w:type="dxa"/>
              <w:bottom w:w="70" w:type="dxa"/>
              <w:right w:w="80" w:type="dxa"/>
            </w:tcMar>
          </w:tcPr>
          <w:p>
            <w:r/>
            <w:r>
              <w:rPr>
                <w:b w:val="0"/>
                <w:sz w:val="16"/>
              </w:rPr>
              <w:t>Startup, frame/jank, memory, battery/network and long-session logging. Android uses platform profiling/baseline optimization; iOS uses Instruments/signposts as appropriate.</w:t>
            </w:r>
          </w:p>
        </w:tc>
      </w:tr>
      <w:tr>
        <w:tc>
          <w:tcPr>
            <w:tcW w:type="dxa" w:w="2439"/>
            <w:vAlign w:val="center"/>
            <w:tcMar>
              <w:top w:w="70" w:type="dxa"/>
              <w:left w:w="80" w:type="dxa"/>
              <w:bottom w:w="70" w:type="dxa"/>
              <w:right w:w="80" w:type="dxa"/>
            </w:tcMar>
          </w:tcPr>
          <w:p>
            <w:r/>
            <w:r>
              <w:rPr>
                <w:b w:val="0"/>
                <w:sz w:val="16"/>
              </w:rPr>
              <w:t>Release parity gate</w:t>
            </w:r>
          </w:p>
        </w:tc>
        <w:tc>
          <w:tcPr>
            <w:tcW w:type="dxa" w:w="7245"/>
            <w:vAlign w:val="center"/>
            <w:tcMar>
              <w:top w:w="70" w:type="dxa"/>
              <w:left w:w="80" w:type="dxa"/>
              <w:bottom w:w="70" w:type="dxa"/>
              <w:right w:w="80" w:type="dxa"/>
            </w:tcMar>
          </w:tcPr>
          <w:p>
            <w:r/>
            <w:r>
              <w:rPr>
                <w:b w:val="0"/>
                <w:sz w:val="16"/>
              </w:rPr>
              <w:t>Every critical V1 flow is exercised on both Android and iOS. A feature can ship with a platform-specific UI implementation only when behavior, authorization, analytics, localization and accessibility contracts remain equivalent.</w:t>
            </w:r>
          </w:p>
        </w:tc>
      </w:tr>
    </w:tbl>
    <w:p/>
    <w:p>
      <w:pPr>
        <w:pStyle w:val="Heading1"/>
        <w:keepNext/>
      </w:pPr>
      <w:r>
        <w:t>6. Runtime Architecture &amp; Module Model</w:t>
      </w:r>
    </w:p>
    <w:p>
      <w:pPr>
        <w:pStyle w:val="Heading2"/>
        <w:keepNext/>
      </w:pPr>
      <w:r>
        <w:t>6.1 Deployable Processes</w:t>
      </w:r>
    </w:p>
    <w:p>
      <w:pPr>
        <w:pStyle w:val="Heading3"/>
      </w:pPr>
      <w:r>
        <w:t>Control-plane physical boundary</w:t>
      </w:r>
    </w:p>
    <w:p>
      <w:pPr>
        <w:pStyle w:val="Bullet1"/>
      </w:pPr>
      <w:r>
        <w:t>veyro-control-api is a separate deployable and runtime identity used only by the Internal SaaS Console and platform automation. It owns tenant provisioning, Veyro SaaS subscription, placement, support grants, fleet metadata and platform feature policy.</w:t>
      </w:r>
    </w:p>
    <w:p>
      <w:pPr>
        <w:pStyle w:val="Bullet1"/>
      </w:pPr>
      <w:r>
        <w:t>veyro-api is the product-plane deployable for gym business domains. It cannot use control-plane database credentials. Product configuration required at runtime is delivered as signed/versioned projections keyed by tenant and cached with expiry.</w:t>
      </w:r>
    </w:p>
    <w:p>
      <w:pPr>
        <w:pStyle w:val="Bullet1"/>
      </w:pPr>
      <w:r>
        <w:t>The control-plane PostgreSQL database is logically and credential-separated from the product database even when both run on the same managed cluster. Cross-plane joins are prohibited; control-plane workflows communicate through explicit APIs/events.</w:t>
      </w:r>
    </w:p>
    <w:tbl>
      <w:tblPr>
        <w:tblStyle w:val="TableGrid"/>
        <w:tblW w:type="dxa" w:w="9684"/>
        <w:jc w:val="center"/>
        <w:tblLayout w:type="autofit"/>
        <w:tblLook w:firstColumn="1" w:firstRow="1" w:lastColumn="0" w:lastRow="0" w:noHBand="0" w:noVBand="1" w:val="04A0"/>
      </w:tblPr>
      <w:tblGrid>
        <w:gridCol w:w="3228"/>
        <w:gridCol w:w="3228"/>
        <w:gridCol w:w="3228"/>
      </w:tblGrid>
      <w:tr>
        <w:trPr>
          <w:tblHeader w:val="true"/>
          <w:tblHeader w:val="true"/>
        </w:trPr>
        <w:tc>
          <w:tcPr>
            <w:tcW w:type="dxa" w:w="2057"/>
            <w:shd w:fill="2F5B86"/>
            <w:tcMar>
              <w:top w:w="70" w:type="dxa"/>
              <w:start w:w="90" w:type="dxa"/>
              <w:bottom w:w="70" w:type="dxa"/>
              <w:end w:w="90" w:type="dxa"/>
              <w:left w:w="80" w:type="dxa"/>
              <w:right w:w="80" w:type="dxa"/>
            </w:tcMar>
            <w:vAlign w:val="center"/>
          </w:tcPr>
          <w:p>
            <w:pPr>
              <w:jc w:val="center"/>
            </w:pPr>
            <w:r>
              <w:rPr>
                <w:rFonts w:ascii="Noto Sans" w:hAnsi="Noto Sans"/>
                <w:b/>
                <w:color w:val="FFFFFF"/>
                <w:sz w:val="16"/>
              </w:rPr>
              <w:t>Deployable</w:t>
            </w:r>
          </w:p>
        </w:tc>
        <w:tc>
          <w:tcPr>
            <w:tcW w:type="dxa" w:w="4397"/>
            <w:shd w:fill="2F5B86"/>
            <w:tcMar>
              <w:top w:w="70" w:type="dxa"/>
              <w:start w:w="90" w:type="dxa"/>
              <w:bottom w:w="70" w:type="dxa"/>
              <w:end w:w="90" w:type="dxa"/>
              <w:left w:w="80" w:type="dxa"/>
              <w:right w:w="80" w:type="dxa"/>
            </w:tcMar>
            <w:vAlign w:val="center"/>
          </w:tcPr>
          <w:p>
            <w:pPr>
              <w:jc w:val="center"/>
            </w:pPr>
            <w:r>
              <w:rPr>
                <w:rFonts w:ascii="Noto Sans" w:hAnsi="Noto Sans"/>
                <w:b/>
                <w:color w:val="FFFFFF"/>
                <w:sz w:val="16"/>
              </w:rPr>
              <w:t>Responsibilities</w:t>
            </w:r>
          </w:p>
        </w:tc>
        <w:tc>
          <w:tcPr>
            <w:tcW w:type="dxa" w:w="3546"/>
            <w:shd w:fill="2F5B86"/>
            <w:tcMar>
              <w:top w:w="70" w:type="dxa"/>
              <w:start w:w="90" w:type="dxa"/>
              <w:bottom w:w="70" w:type="dxa"/>
              <w:end w:w="90" w:type="dxa"/>
              <w:left w:w="80" w:type="dxa"/>
              <w:right w:w="80" w:type="dxa"/>
            </w:tcMar>
            <w:vAlign w:val="center"/>
          </w:tcPr>
          <w:p>
            <w:pPr>
              <w:jc w:val="center"/>
            </w:pPr>
            <w:r>
              <w:rPr>
                <w:rFonts w:ascii="Noto Sans" w:hAnsi="Noto Sans"/>
                <w:b/>
                <w:color w:val="FFFFFF"/>
                <w:sz w:val="16"/>
              </w:rPr>
              <w:t>Constraint</w:t>
            </w:r>
          </w:p>
        </w:tc>
      </w:tr>
      <w:tr>
        <w:tc>
          <w:tcPr>
            <w:tcW w:type="dxa" w:w="205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veyro-api</w:t>
            </w:r>
          </w:p>
        </w:tc>
        <w:tc>
          <w:tcPr>
            <w:tcW w:type="dxa" w:w="439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Public/surface APIs, domain commands/queries, BFF composition</w:t>
            </w:r>
          </w:p>
        </w:tc>
        <w:tc>
          <w:tcPr>
            <w:tcW w:type="dxa" w:w="354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Stateless; horizontally scalable; no long-running background work.</w:t>
            </w:r>
          </w:p>
        </w:tc>
      </w:tr>
      <w:tr>
        <w:tc>
          <w:tcPr>
            <w:tcW w:type="dxa" w:w="205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veyro-worker</w:t>
            </w:r>
          </w:p>
        </w:tc>
        <w:tc>
          <w:tcPr>
            <w:tcW w:type="dxa" w:w="439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Event consumers, notifications, indexing, provider callbacks, projections</w:t>
            </w:r>
          </w:p>
        </w:tc>
        <w:tc>
          <w:tcPr>
            <w:tcW w:type="dxa" w:w="354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Same domain packages; separate concurrency/backpressure policies.</w:t>
            </w:r>
          </w:p>
        </w:tc>
      </w:tr>
      <w:tr>
        <w:tc>
          <w:tcPr>
            <w:tcW w:type="dxa" w:w="205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veyro-workflow-worker</w:t>
            </w:r>
          </w:p>
        </w:tc>
        <w:tc>
          <w:tcPr>
            <w:tcW w:type="dxa" w:w="439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Temporal workflows and activities</w:t>
            </w:r>
          </w:p>
        </w:tc>
        <w:tc>
          <w:tcPr>
            <w:tcW w:type="dxa" w:w="354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Long-running orchestration, timers, approvals, migration and dunning.</w:t>
            </w:r>
          </w:p>
        </w:tc>
      </w:tr>
      <w:tr>
        <w:tc>
          <w:tcPr>
            <w:tcW w:type="dxa" w:w="205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veyro-outbox-relay</w:t>
            </w:r>
          </w:p>
        </w:tc>
        <w:tc>
          <w:tcPr>
            <w:tcW w:type="dxa" w:w="439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Publishes committed outbox records to event bus</w:t>
            </w:r>
          </w:p>
        </w:tc>
        <w:tc>
          <w:tcPr>
            <w:tcW w:type="dxa" w:w="354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Can be embedded initially but operationally observable as its own component.</w:t>
            </w:r>
          </w:p>
        </w:tc>
      </w:tr>
      <w:tr>
        <w:tc>
          <w:tcPr>
            <w:tcW w:type="dxa" w:w="205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veyro-realtime</w:t>
            </w:r>
          </w:p>
        </w:tc>
        <w:tc>
          <w:tcPr>
            <w:tcW w:type="dxa" w:w="439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WebSocket/SSE sessions for live check-ins, chat status, job progress</w:t>
            </w:r>
          </w:p>
        </w:tc>
        <w:tc>
          <w:tcPr>
            <w:tcW w:type="dxa" w:w="354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No authoritative state; uses domain events/projections.</w:t>
            </w:r>
          </w:p>
        </w:tc>
      </w:tr>
      <w:tr>
        <w:tc>
          <w:tcPr>
            <w:tcW w:type="dxa" w:w="205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veyro-edge-agent</w:t>
            </w:r>
          </w:p>
        </w:tc>
        <w:tc>
          <w:tcPr>
            <w:tcW w:type="dxa" w:w="439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On-prem/managed device bridge</w:t>
            </w:r>
          </w:p>
        </w:tc>
        <w:tc>
          <w:tcPr>
            <w:tcW w:type="dxa" w:w="354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mTLS identity, local SQLite, signed policy snapshot, hardware adapters.</w:t>
            </w:r>
          </w:p>
        </w:tc>
      </w:tr>
      <w:tr>
        <w:tc>
          <w:tcPr>
            <w:tcW w:type="dxa" w:w="205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web applications</w:t>
            </w:r>
          </w:p>
        </w:tc>
        <w:tc>
          <w:tcPr>
            <w:tcW w:type="dxa" w:w="439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Admin, Front Desk, Internal Console, later portals</w:t>
            </w:r>
          </w:p>
        </w:tc>
        <w:tc>
          <w:tcPr>
            <w:tcW w:type="dxa" w:w="354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Deploy separately; consume generated contracts.</w:t>
            </w:r>
          </w:p>
        </w:tc>
      </w:tr>
      <w:tr>
        <w:tc>
          <w:tcPr>
            <w:tcW w:type="dxa" w:w="205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mobile applications</w:t>
            </w:r>
          </w:p>
        </w:tc>
        <w:tc>
          <w:tcPr>
            <w:tcW w:type="dxa" w:w="439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Coach and Member</w:t>
            </w:r>
          </w:p>
        </w:tc>
        <w:tc>
          <w:tcPr>
            <w:tcW w:type="dxa" w:w="354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Offline-safe local stores only for bounded workflows; server remains authoritative.</w:t>
            </w:r>
          </w:p>
        </w:tc>
      </w:tr>
    </w:tbl>
    <w:p>
      <w:pPr>
        <w:spacing w:after="40"/>
      </w:pPr>
    </w:p>
    <w:p>
      <w:pPr>
        <w:pStyle w:val="Heading2"/>
        <w:keepNext/>
      </w:pPr>
      <w:r>
        <w:t>6.2 Module Packaging Rules</w:t>
      </w:r>
    </w:p>
    <w:tbl>
      <w:tblPr>
        <w:tblStyle w:val="TableGrid"/>
        <w:tblW w:type="dxa" w:w="9684"/>
        <w:tblLayout w:type="autofit"/>
        <w:tblLook w:firstColumn="1" w:firstRow="1" w:lastColumn="0" w:lastRow="0" w:noHBand="0" w:noVBand="1" w:val="04A0"/>
        <w:jc w:val="center"/>
      </w:tblPr>
      <w:tblGrid>
        <w:gridCol w:w="9684"/>
      </w:tblGrid>
      <w:tr>
        <w:trPr>
          <w:cantSplit/>
          <w:tblHeader w:val="true"/>
        </w:trPr>
        <w:tc>
          <w:tcPr>
            <w:tcW w:type="dxa" w:w="9684"/>
            <w:shd w:fill="F7F8FA"/>
            <w:tcMar>
              <w:top w:w="70" w:type="dxa"/>
              <w:start w:w="150" w:type="dxa"/>
              <w:bottom w:w="70" w:type="dxa"/>
              <w:end w:w="150" w:type="dxa"/>
              <w:left w:w="80" w:type="dxa"/>
              <w:right w:w="80" w:type="dxa"/>
            </w:tcMar>
            <w:vAlign w:val="center"/>
          </w:tcPr>
          <w:p>
            <w:pPr>
              <w:spacing w:line="240" w:lineRule="auto" w:after="0"/>
            </w:pPr>
            <w:r>
              <w:rPr>
                <w:rFonts w:ascii="DejaVu Sans Mono" w:hAnsi="DejaVu Sans Mono"/>
                <w:b/>
                <w:color w:val="263238"/>
                <w:sz w:val="16"/>
              </w:rPr>
              <w:t>backend/</w:t>
              <w:br/>
              <w:t xml:space="preserve">  app/</w:t>
              <w:br/>
              <w:t xml:space="preserve">    platform/      # tenancy, configuration, SaaS control plane</w:t>
              <w:br/>
              <w:t xml:space="preserve">    iam/           # identity binding, authorization, audit</w:t>
              <w:br/>
              <w:t xml:space="preserve">    people/        # person/member 360</w:t>
              <w:br/>
              <w:t xml:space="preserve">    growth/        # CRM/growth</w:t>
              <w:br/>
              <w:t xml:space="preserve">    commerce/      # memberships, catalog, billing, ledger, POS, inventory</w:t>
              <w:br/>
              <w:t xml:space="preserve">    operations/    # scheduling, booking, access, front desk, staff, facilities</w:t>
              <w:br/>
              <w:t xml:space="preserve">    coaching/      # coach, training, nutrition, assessment, health/safety</w:t>
              <w:br/>
              <w:t xml:space="preserve">    engagement/    # inbox, notifications, community, self-service</w:t>
              <w:br/>
              <w:t xml:space="preserve">    automation/    # workflows, tasks, approvals</w:t>
              <w:br/>
              <w:t xml:space="preserve">    intelligence/  # analytics APIs, AI, search</w:t>
              <w:br/>
              <w:t xml:space="preserve">    ecosystem/     # APIs, integrations, hardware, white-label</w:t>
              <w:br/>
              <w:t xml:space="preserve">    data/           # event contracts, data products</w:t>
              <w:br/>
              <w:t xml:space="preserve">    security/       # privacy/security services</w:t>
              <w:br/>
              <w:t xml:space="preserve">    reliability/    # offline/recovery primitives</w:t>
              <w:br/>
              <w:t xml:space="preserve">    lifecycle/      # onboarding/migration/offboarding</w:t>
              <w:br/>
              <w:t xml:space="preserve">    governance/     # release, ADR/requirement metadata</w:t>
              <w:br/>
              <w:t xml:space="preserve">  shared/           # technical primitives only; no shared business ownership</w:t>
              <w:br/>
            </w:r>
          </w:p>
        </w:tc>
      </w:tr>
    </w:tbl>
    <w:p>
      <w:pPr>
        <w:spacing w:after="40"/>
      </w:pPr>
    </w:p>
    <w:p>
      <w:pPr>
        <w:pStyle w:val="Bullet1"/>
        <w:spacing w:after="80" w:line="252" w:lineRule="auto"/>
      </w:pPr>
      <w:r>
        <w:rPr>
          <w:rFonts w:ascii="Noto Sans" w:hAnsi="Noto Sans"/>
        </w:rPr>
        <w:t>Each domain module exposes an application interface. Its repository types remain private to the module.</w:t>
      </w:r>
    </w:p>
    <w:p>
      <w:pPr>
        <w:pStyle w:val="Bullet1"/>
        <w:spacing w:after="80" w:line="252" w:lineRule="auto"/>
      </w:pPr>
      <w:r>
        <w:rPr>
          <w:rFonts w:ascii="Noto Sans" w:hAnsi="Noto Sans"/>
        </w:rPr>
        <w:t>Shared packages may contain IDs, money/time primitives, event envelope, authorization primitives and technical adapters; they may not become a dumping ground for domain logic.</w:t>
      </w:r>
    </w:p>
    <w:p>
      <w:pPr>
        <w:pStyle w:val="Bullet1"/>
        <w:spacing w:after="80" w:line="252" w:lineRule="auto"/>
      </w:pPr>
      <w:r>
        <w:rPr>
          <w:rFonts w:ascii="Noto Sans" w:hAnsi="Noto Sans"/>
        </w:rPr>
        <w:t>Cross-module read composition belongs in BFF/read-model code and must not write domain state.</w:t>
      </w:r>
    </w:p>
    <w:p>
      <w:pPr>
        <w:pStyle w:val="Bullet1"/>
        <w:spacing w:after="80" w:line="252" w:lineRule="auto"/>
      </w:pPr>
      <w:r>
        <w:rPr>
          <w:rFonts w:ascii="Noto Sans" w:hAnsi="Noto Sans"/>
        </w:rPr>
        <w:t>Cross-domain command flows are orchestration/application services that call module interfaces; direct SQL joins may be used only in read-only projections with explicit ownership and tenant filters.</w:t>
      </w:r>
    </w:p>
    <w:p>
      <w:pPr>
        <w:pStyle w:val="Bullet1"/>
        <w:spacing w:after="80" w:line="252" w:lineRule="auto"/>
      </w:pPr>
      <w:r>
        <w:rPr>
          <w:rFonts w:ascii="Noto Sans" w:hAnsi="Noto Sans"/>
        </w:rPr>
        <w:t>When a module is extracted to a service later, its application interface becomes a network contract with minimal caller changes.</w:t>
      </w:r>
    </w:p>
    <w:p>
      <w:pPr>
        <w:pStyle w:val="Heading2"/>
      </w:pPr>
      <w:r>
        <w:t>6.3 Intentional Bidirectional Dependency Direction</w:t>
      </w:r>
    </w:p>
    <w:tbl>
      <w:tblPr>
        <w:tblStyle w:val="TableGrid"/>
        <w:tblW w:type="auto" w:w="0"/>
        <w:tblLayout w:type="fixed"/>
        <w:tblLook w:firstColumn="1" w:firstRow="1" w:lastColumn="0" w:lastRow="0" w:noHBand="0" w:noVBand="1" w:val="04A0"/>
      </w:tblPr>
      <w:tblGrid>
        <w:gridCol w:w="1800"/>
        <w:gridCol w:w="7416"/>
      </w:tblGrid>
      <w:tr>
        <w:trPr>
          <w:tblHeader w:val="true"/>
        </w:trPr>
        <w:tc>
          <w:tcPr>
            <w:tcW w:type="dxa" w:w="1800"/>
            <w:vAlign w:val="center"/>
          </w:tcPr>
          <w:p>
            <w:pPr>
              <w:spacing w:before="0" w:after="0" w:line="240" w:lineRule="auto"/>
            </w:pPr>
            <w:r>
              <w:rPr>
                <w:sz w:val="14"/>
              </w:rPr>
            </w:r>
            <w:r>
              <w:rPr>
                <w:b/>
                <w:sz w:val="14"/>
              </w:rPr>
              <w:t>Domain pair</w:t>
            </w:r>
          </w:p>
        </w:tc>
        <w:tc>
          <w:tcPr>
            <w:tcW w:type="dxa" w:w="7416"/>
            <w:vAlign w:val="center"/>
          </w:tcPr>
          <w:p>
            <w:pPr>
              <w:spacing w:before="0" w:after="0" w:line="240" w:lineRule="auto"/>
            </w:pPr>
            <w:r>
              <w:rPr>
                <w:sz w:val="14"/>
              </w:rPr>
            </w:r>
            <w:r>
              <w:rPr>
                <w:b/>
                <w:sz w:val="14"/>
              </w:rPr>
              <w:t>Direction contract</w:t>
            </w:r>
          </w:p>
        </w:tc>
      </w:tr>
      <w:tr>
        <w:tc>
          <w:tcPr>
            <w:tcW w:type="dxa" w:w="1800"/>
            <w:vAlign w:val="center"/>
          </w:tcPr>
          <w:p>
            <w:pPr>
              <w:spacing w:before="0" w:after="0" w:line="240" w:lineRule="auto"/>
            </w:pPr>
            <w:r>
              <w:rPr>
                <w:sz w:val="14"/>
              </w:rPr>
            </w:r>
            <w:r>
              <w:rPr>
                <w:b w:val="0"/>
                <w:sz w:val="14"/>
              </w:rPr>
              <w:t>COM-01 &lt;-&gt; COM-03</w:t>
            </w:r>
          </w:p>
        </w:tc>
        <w:tc>
          <w:tcPr>
            <w:tcW w:type="dxa" w:w="7416"/>
            <w:vAlign w:val="center"/>
          </w:tcPr>
          <w:p>
            <w:pPr>
              <w:spacing w:before="0" w:after="0" w:line="240" w:lineRule="auto"/>
            </w:pPr>
            <w:r>
              <w:rPr>
                <w:sz w:val="14"/>
              </w:rPr>
            </w:r>
            <w:r>
              <w:rPr>
                <w:b w:val="0"/>
                <w:sz w:val="14"/>
              </w:rPr>
              <w:t>Synchronous: COM-01 -&gt; COM-03 for financial-consequence preview or authoritative billing status when a membership lifecycle command requires a financial decision. Event-driven reverse: COM-03 -&gt; COM-01 via invoice/payment/dunning/refund outcomes; COM-03 never synchronously writes COM-01 state.</w:t>
            </w:r>
          </w:p>
        </w:tc>
      </w:tr>
      <w:tr>
        <w:tc>
          <w:tcPr>
            <w:tcW w:type="dxa" w:w="1800"/>
            <w:vAlign w:val="center"/>
          </w:tcPr>
          <w:p>
            <w:pPr>
              <w:spacing w:before="0" w:after="0" w:line="240" w:lineRule="auto"/>
            </w:pPr>
            <w:r>
              <w:rPr>
                <w:sz w:val="14"/>
              </w:rPr>
            </w:r>
            <w:r>
              <w:rPr>
                <w:b w:val="0"/>
                <w:sz w:val="14"/>
              </w:rPr>
              <w:t>DAT-01 &lt;-&gt; REL-01</w:t>
            </w:r>
          </w:p>
        </w:tc>
        <w:tc>
          <w:tcPr>
            <w:tcW w:type="dxa" w:w="7416"/>
            <w:vAlign w:val="center"/>
          </w:tcPr>
          <w:p>
            <w:pPr>
              <w:spacing w:before="0" w:after="0" w:line="240" w:lineRule="auto"/>
            </w:pPr>
            <w:r>
              <w:rPr>
                <w:sz w:val="14"/>
              </w:rPr>
            </w:r>
            <w:r>
              <w:rPr>
                <w:b w:val="0"/>
                <w:sz w:val="14"/>
              </w:rPr>
              <w:t>Synchronous: REL-01 -&gt; DAT-01 for event-health, retained-event access and controlled replay during incident/recovery. Event-driven reverse: DAT-01 -&gt; REL-01 via delivery-failure, replay and schema-change events; DAT-01 does not synchronously call REL-01 to commit publication.</w:t>
            </w:r>
          </w:p>
        </w:tc>
      </w:tr>
      <w:tr>
        <w:tc>
          <w:tcPr>
            <w:tcW w:type="dxa" w:w="1800"/>
            <w:vAlign w:val="center"/>
          </w:tcPr>
          <w:p>
            <w:pPr>
              <w:spacing w:before="0" w:after="0" w:line="240" w:lineRule="auto"/>
            </w:pPr>
            <w:r>
              <w:rPr>
                <w:sz w:val="14"/>
              </w:rPr>
            </w:r>
            <w:r>
              <w:rPr>
                <w:b w:val="0"/>
                <w:sz w:val="14"/>
              </w:rPr>
              <w:t>GRO-01 &lt;-&gt; ENG-01</w:t>
            </w:r>
          </w:p>
        </w:tc>
        <w:tc>
          <w:tcPr>
            <w:tcW w:type="dxa" w:w="7416"/>
            <w:vAlign w:val="center"/>
          </w:tcPr>
          <w:p>
            <w:pPr>
              <w:spacing w:before="0" w:after="0" w:line="240" w:lineRule="auto"/>
            </w:pPr>
            <w:r>
              <w:rPr>
                <w:sz w:val="14"/>
              </w:rPr>
            </w:r>
            <w:r>
              <w:rPr>
                <w:b w:val="0"/>
                <w:sz w:val="14"/>
              </w:rPr>
              <w:t>Synchronous: GRO-01 -&gt; ENG-01 to submit/preview contextual sales communication through the messaging application interface. Event-driven reverse: ENG-01 -&gt; GRO-01 via delivery, reply, conversation and SLA outcomes that update CRM activity/timeline projections.</w:t>
            </w:r>
          </w:p>
        </w:tc>
      </w:tr>
      <w:tr>
        <w:tc>
          <w:tcPr>
            <w:tcW w:type="dxa" w:w="1800"/>
            <w:vAlign w:val="center"/>
          </w:tcPr>
          <w:p>
            <w:pPr>
              <w:spacing w:before="0" w:after="0" w:line="240" w:lineRule="auto"/>
            </w:pPr>
            <w:r>
              <w:rPr>
                <w:sz w:val="14"/>
              </w:rPr>
            </w:r>
            <w:r>
              <w:rPr>
                <w:b w:val="0"/>
                <w:sz w:val="14"/>
              </w:rPr>
              <w:t>LIF-01 &lt;-&gt; GOV-04</w:t>
            </w:r>
          </w:p>
        </w:tc>
        <w:tc>
          <w:tcPr>
            <w:tcW w:type="dxa" w:w="7416"/>
            <w:vAlign w:val="center"/>
          </w:tcPr>
          <w:p>
            <w:pPr>
              <w:spacing w:before="0" w:after="0" w:line="240" w:lineRule="auto"/>
            </w:pPr>
            <w:r>
              <w:rPr>
                <w:sz w:val="14"/>
              </w:rPr>
            </w:r>
            <w:r>
              <w:rPr>
                <w:b w:val="0"/>
                <w:sz w:val="14"/>
              </w:rPr>
              <w:t>Synchronous: LIF-01 -&gt; GOV-04 to query/validate learning, enablement and release-communication readiness during implementation/go-live. Event-driven reverse: GOV-04 -&gt; LIF-01 via learning completion, feedback and release-communication events that update onboarding/readiness projections.</w:t>
            </w:r>
          </w:p>
        </w:tc>
      </w:tr>
    </w:tbl>
    <w:p>
      <w:pPr>
        <w:pStyle w:val="Bullet1"/>
      </w:pPr>
      <w:r>
        <w:t>Rule: for these four intentional bidirectional business relationships, only the synchronous direction listed above is allowed in the module import/application-call graph. The reverse edge is event-driven. CI dependency lint treats this table as the expected graph and rejects reverse synchronous imports or direct repository/table coupling.</w:t>
      </w:r>
    </w:p>
    <w:p>
      <w:pPr>
        <w:pStyle w:val="Heading1"/>
        <w:keepNext/>
      </w:pPr>
      <w:r>
        <w:t>7. Multi-Tenancy, Control Plane &amp; Tenant Isolation</w:t>
      </w:r>
    </w:p>
    <w:p>
      <w:pPr>
        <w:pStyle w:val="Heading2"/>
        <w:keepNext/>
      </w:pPr>
      <w:r>
        <w:t>7.1 Hierarchy</w:t>
      </w:r>
    </w:p>
    <w:tbl>
      <w:tblPr>
        <w:tblStyle w:val="TableGrid"/>
        <w:tblW w:type="dxa" w:w="9684"/>
        <w:tblLayout w:type="autofit"/>
        <w:tblLook w:firstColumn="1" w:firstRow="1" w:lastColumn="0" w:lastRow="0" w:noHBand="0" w:noVBand="1" w:val="04A0"/>
        <w:jc w:val="center"/>
      </w:tblPr>
      <w:tblGrid>
        <w:gridCol w:w="9684"/>
      </w:tblGrid>
      <w:tr>
        <w:trPr>
          <w:cantSplit/>
          <w:tblHeader w:val="true"/>
        </w:trPr>
        <w:tc>
          <w:tcPr>
            <w:tcW w:type="dxa" w:w="9684"/>
            <w:shd w:fill="F7F8FA"/>
            <w:tcMar>
              <w:top w:w="70" w:type="dxa"/>
              <w:start w:w="150" w:type="dxa"/>
              <w:bottom w:w="70" w:type="dxa"/>
              <w:end w:w="150" w:type="dxa"/>
              <w:left w:w="80" w:type="dxa"/>
              <w:right w:w="80" w:type="dxa"/>
            </w:tcMar>
            <w:vAlign w:val="center"/>
          </w:tcPr>
          <w:p>
            <w:pPr>
              <w:spacing w:line="240" w:lineRule="auto" w:after="0"/>
            </w:pPr>
            <w:r>
              <w:rPr>
                <w:rFonts w:ascii="DejaVu Sans Mono" w:hAnsi="DejaVu Sans Mono"/>
                <w:b/>
                <w:color w:val="263238"/>
                <w:sz w:val="16"/>
              </w:rPr>
              <w:t>Tenant</w:t>
              <w:br/>
              <w:t xml:space="preserve">  Organization</w:t>
              <w:br/>
              <w:t xml:space="preserve">    LegalEntity</w:t>
              <w:br/>
              <w:t xml:space="preserve">    Brand</w:t>
              <w:br/>
              <w:t xml:space="preserve">      Region</w:t>
              <w:br/>
              <w:t xml:space="preserve">        Location</w:t>
              <w:br/>
              <w:t xml:space="preserve">          Department</w:t>
              <w:br/>
              <w:t xml:space="preserve">          CostCenter</w:t>
              <w:br/>
            </w:r>
          </w:p>
        </w:tc>
      </w:tr>
    </w:tbl>
    <w:p>
      <w:pPr>
        <w:spacing w:after="40"/>
      </w:pPr>
    </w:p>
    <w:p>
      <w:pPr>
        <w:pStyle w:val="Heading2"/>
        <w:keepNext/>
      </w:pPr>
      <w:r>
        <w:t>7.2 Tenant Resolution</w:t>
      </w:r>
    </w:p>
    <w:p>
      <w:pPr>
        <w:pStyle w:val="Numbered"/>
        <w:spacing w:after="60"/>
      </w:pPr>
      <w:r>
        <w:rPr>
          <w:rFonts w:ascii="Noto Sans" w:hAnsi="Noto Sans"/>
        </w:rPr>
        <w:t>Authenticate the caller and resolve identity/session from the trusted IdP token.</w:t>
      </w:r>
    </w:p>
    <w:p>
      <w:pPr>
        <w:pStyle w:val="Numbered"/>
        <w:spacing w:after="60"/>
      </w:pPr>
      <w:r>
        <w:rPr>
          <w:rFonts w:ascii="Noto Sans" w:hAnsi="Noto Sans"/>
        </w:rPr>
        <w:t>Resolve authorized tenant memberships and requested organization/location scope server-side.</w:t>
      </w:r>
    </w:p>
    <w:p>
      <w:pPr>
        <w:pStyle w:val="Numbered"/>
        <w:spacing w:after="60"/>
      </w:pPr>
      <w:r>
        <w:rPr>
          <w:rFonts w:ascii="Noto Sans" w:hAnsi="Noto Sans"/>
        </w:rPr>
        <w:t>Create a request TenantContext containing tenant_id, org/brand/location scope, actor, assurance level, purpose and correlation_id.</w:t>
      </w:r>
    </w:p>
    <w:p>
      <w:pPr>
        <w:pStyle w:val="Numbered"/>
        <w:spacing w:after="60"/>
      </w:pPr>
      <w:r>
        <w:rPr>
          <w:rFonts w:ascii="Noto Sans" w:hAnsi="Noto Sans"/>
        </w:rPr>
        <w:t>Set PostgreSQL transaction-local tenant context and apply RLS before any tenant-owned query.</w:t>
      </w:r>
    </w:p>
    <w:p>
      <w:pPr>
        <w:pStyle w:val="Numbered"/>
        <w:spacing w:after="60"/>
      </w:pPr>
      <w:r>
        <w:rPr>
          <w:rFonts w:ascii="Noto Sans" w:hAnsi="Noto Sans"/>
        </w:rPr>
        <w:t>Propagate the same context into cache namespace, event envelope, logs/traces, object paths, search filters, jobs and AI retrieval.</w:t>
      </w:r>
    </w:p>
    <w:p>
      <w:pPr>
        <w:pStyle w:val="Numbered"/>
        <w:spacing w:after="60"/>
      </w:pPr>
      <w:r>
        <w:rPr>
          <w:rFonts w:ascii="Noto Sans" w:hAnsi="Noto Sans"/>
        </w:rPr>
        <w:t>Reject any request where supplied resource IDs resolve outside the trusted TenantContext.</w:t>
      </w:r>
    </w:p>
    <w:p>
      <w:pPr>
        <w:pStyle w:val="Heading2"/>
        <w:keepNext/>
      </w:pPr>
      <w:r>
        <w:t>7.3 Data Isolation Model</w:t>
      </w:r>
    </w:p>
    <w:p>
      <w:pPr>
        <w:pStyle w:val="Heading3"/>
      </w:pPr>
      <w:r>
        <w:t>PostgreSQL RLS enforcement contract</w:t>
      </w:r>
    </w:p>
    <w:p>
      <w:pPr>
        <w:pStyle w:val="Bullet1"/>
      </w:pPr>
      <w:r>
        <w:rPr>
          <w:b/>
        </w:rPr>
        <w:t xml:space="preserve">Role model: </w:t>
      </w:r>
      <w:r>
        <w:t>DDL/migrations run as a non-runtime owner role. veyro_app and worker roles are LOGIN, NOSUPERUSER, NOCREATEDB, NOCREATEROLE and NOBYPASSRLS; they do not own tenant tables.</w:t>
      </w:r>
    </w:p>
    <w:p>
      <w:pPr>
        <w:pStyle w:val="Bullet1"/>
      </w:pPr>
      <w:r>
        <w:rPr>
          <w:b/>
        </w:rPr>
        <w:t xml:space="preserve">Table rule: </w:t>
      </w:r>
      <w:r>
        <w:t>Every tenant-owned table has tenant_id UUID NOT NULL, ENABLE ROW LEVEL SECURITY and FORCE ROW LEVEL SECURITY. No tenant table is granted to PUBLIC.</w:t>
      </w:r>
    </w:p>
    <w:p>
      <w:pPr>
        <w:pStyle w:val="Bullet1"/>
      </w:pPr>
      <w:r>
        <w:rPr>
          <w:b/>
        </w:rPr>
        <w:t xml:space="preserve">Policy rule: </w:t>
      </w:r>
      <w:r>
        <w:t>Policies compare tenant_id to a transaction-local value (for example current_setting('app.tenant_id', true)::uuid). Missing/invalid context fails closed instead of falling back to an unrestricted query.</w:t>
      </w:r>
    </w:p>
    <w:p>
      <w:pPr>
        <w:pStyle w:val="Bullet1"/>
      </w:pPr>
      <w:r>
        <w:rPr>
          <w:b/>
        </w:rPr>
        <w:t xml:space="preserve">Pooling rule: </w:t>
      </w:r>
      <w:r>
        <w:t>Every request/worker command opens an explicit DB transaction, performs SET LOCAL app.tenant_id / actor_id / correlation_id, then executes all tenant SQL. Session-level SET is forbidden with pooled connections.</w:t>
      </w:r>
    </w:p>
    <w:p>
      <w:pPr>
        <w:pStyle w:val="Bullet1"/>
      </w:pPr>
      <w:r>
        <w:rPr>
          <w:b/>
        </w:rPr>
        <w:t xml:space="preserve">CI migration lint: </w:t>
      </w:r>
      <w:r>
        <w:t>A migration fails if a new tenant table lacks tenant_id, FORCE RLS, a policy, expected tenant-leading indexes or runtime-role negative tests. The lint also rejects SECURITY DEFINER functions unless explicitly reviewed.</w:t>
      </w:r>
    </w:p>
    <w:p>
      <w:pPr>
        <w:pStyle w:val="Bullet1"/>
      </w:pPr>
      <w:r>
        <w:rPr>
          <w:b/>
        </w:rPr>
        <w:t xml:space="preserve">Adversarial test: </w:t>
      </w:r>
      <w:r>
        <w:t>Release tests query without application tenant filters using the actual runtime role and prove the database blocks cross-tenant rows. Connection-reuse/chaos tests intentionally switch tenants on the same pool connection.</w:t>
      </w:r>
    </w:p>
    <w:tbl>
      <w:tblPr>
        <w:tblStyle w:val="TableGrid"/>
        <w:tblW w:type="dxa" w:w="9684"/>
        <w:jc w:val="center"/>
        <w:tblLayout w:type="autofit"/>
        <w:tblLook w:firstColumn="1" w:firstRow="1" w:lastColumn="0" w:lastRow="0" w:noHBand="0" w:noVBand="1" w:val="04A0"/>
      </w:tblPr>
      <w:tblGrid>
        <w:gridCol w:w="3228"/>
        <w:gridCol w:w="3228"/>
        <w:gridCol w:w="3228"/>
      </w:tblGrid>
      <w:tr>
        <w:trPr>
          <w:tblHeader w:val="true"/>
          <w:tblHeader w:val="true"/>
        </w:trPr>
        <w:tc>
          <w:tcPr>
            <w:tcW w:type="dxa" w:w="1631"/>
            <w:shd w:fill="2F5B86"/>
            <w:tcMar>
              <w:top w:w="70" w:type="dxa"/>
              <w:start w:w="90" w:type="dxa"/>
              <w:bottom w:w="70" w:type="dxa"/>
              <w:end w:w="90" w:type="dxa"/>
              <w:left w:w="80" w:type="dxa"/>
              <w:right w:w="80" w:type="dxa"/>
            </w:tcMar>
            <w:vAlign w:val="center"/>
          </w:tcPr>
          <w:p>
            <w:pPr>
              <w:jc w:val="center"/>
            </w:pPr>
            <w:r>
              <w:rPr>
                <w:rFonts w:ascii="Noto Sans" w:hAnsi="Noto Sans"/>
                <w:b/>
                <w:color w:val="FFFFFF"/>
                <w:sz w:val="16"/>
              </w:rPr>
              <w:t>Layer</w:t>
            </w:r>
          </w:p>
        </w:tc>
        <w:tc>
          <w:tcPr>
            <w:tcW w:type="dxa" w:w="5319"/>
            <w:shd w:fill="2F5B86"/>
            <w:tcMar>
              <w:top w:w="70" w:type="dxa"/>
              <w:start w:w="90" w:type="dxa"/>
              <w:bottom w:w="70" w:type="dxa"/>
              <w:end w:w="90" w:type="dxa"/>
              <w:left w:w="80" w:type="dxa"/>
              <w:right w:w="80" w:type="dxa"/>
            </w:tcMar>
            <w:vAlign w:val="center"/>
          </w:tcPr>
          <w:p>
            <w:pPr>
              <w:jc w:val="center"/>
            </w:pPr>
            <w:r>
              <w:rPr>
                <w:rFonts w:ascii="Noto Sans" w:hAnsi="Noto Sans"/>
                <w:b/>
                <w:color w:val="FFFFFF"/>
                <w:sz w:val="16"/>
              </w:rPr>
              <w:t>Isolation Mechanism</w:t>
            </w:r>
          </w:p>
        </w:tc>
        <w:tc>
          <w:tcPr>
            <w:tcW w:type="dxa" w:w="3050"/>
            <w:shd w:fill="2F5B86"/>
            <w:tcMar>
              <w:top w:w="70" w:type="dxa"/>
              <w:start w:w="90" w:type="dxa"/>
              <w:bottom w:w="70" w:type="dxa"/>
              <w:end w:w="90" w:type="dxa"/>
              <w:left w:w="80" w:type="dxa"/>
              <w:right w:w="80" w:type="dxa"/>
            </w:tcMar>
            <w:vAlign w:val="center"/>
          </w:tcPr>
          <w:p>
            <w:pPr>
              <w:jc w:val="center"/>
            </w:pPr>
            <w:r>
              <w:rPr>
                <w:rFonts w:ascii="Noto Sans" w:hAnsi="Noto Sans"/>
                <w:b/>
                <w:color w:val="FFFFFF"/>
                <w:sz w:val="16"/>
              </w:rPr>
              <w:t>Release Gate</w:t>
            </w:r>
          </w:p>
        </w:tc>
      </w:tr>
      <w:tr>
        <w:tc>
          <w:tcPr>
            <w:tcW w:type="dxa" w:w="163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PostgreSQL</w:t>
            </w:r>
          </w:p>
        </w:tc>
        <w:tc>
          <w:tcPr>
            <w:tcW w:type="dxa" w:w="531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tenant_id NOT NULL; RLS; composite unique keys; explicit platform_scope tables; tenant-aware repositories</w:t>
            </w:r>
          </w:p>
        </w:tc>
        <w:tc>
          <w:tcPr>
            <w:tcW w:type="dxa" w:w="305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Automated cross-tenant fuzz/integration tests block release.</w:t>
            </w:r>
          </w:p>
        </w:tc>
      </w:tr>
      <w:tr>
        <w:tc>
          <w:tcPr>
            <w:tcW w:type="dxa" w:w="163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Cache</w:t>
            </w:r>
          </w:p>
        </w:tc>
        <w:tc>
          <w:tcPr>
            <w:tcW w:type="dxa" w:w="531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Prefix/hash all keys by environment + tenant; no user-provided raw key composition</w:t>
            </w:r>
          </w:p>
        </w:tc>
        <w:tc>
          <w:tcPr>
            <w:tcW w:type="dxa" w:w="305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Test that same logical key in two tenants cannot collide.</w:t>
            </w:r>
          </w:p>
        </w:tc>
      </w:tr>
      <w:tr>
        <w:tc>
          <w:tcPr>
            <w:tcW w:type="dxa" w:w="163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Search</w:t>
            </w:r>
          </w:p>
        </w:tc>
        <w:tc>
          <w:tcPr>
            <w:tcW w:type="dxa" w:w="531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tenant_id mandatory document field; pre-filter; field masking; post-filter authorization on sensitive results</w:t>
            </w:r>
          </w:p>
        </w:tc>
        <w:tc>
          <w:tcPr>
            <w:tcW w:type="dxa" w:w="305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Zero cross-tenant result test corpus.</w:t>
            </w:r>
          </w:p>
        </w:tc>
      </w:tr>
      <w:tr>
        <w:tc>
          <w:tcPr>
            <w:tcW w:type="dxa" w:w="163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Object storage</w:t>
            </w:r>
          </w:p>
        </w:tc>
        <w:tc>
          <w:tcPr>
            <w:tcW w:type="dxa" w:w="531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tenant/&lt;tenant_id&gt;/&lt;classification&gt;/... prefixes; signed URLs after auth; per-class KMS/retention</w:t>
            </w:r>
          </w:p>
        </w:tc>
        <w:tc>
          <w:tcPr>
            <w:tcW w:type="dxa" w:w="305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Attempted path manipulation and signed URL expiry tests.</w:t>
            </w:r>
          </w:p>
        </w:tc>
      </w:tr>
      <w:tr>
        <w:tc>
          <w:tcPr>
            <w:tcW w:type="dxa" w:w="163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Events/jobs</w:t>
            </w:r>
          </w:p>
        </w:tc>
        <w:tc>
          <w:tcPr>
            <w:tcW w:type="dxa" w:w="531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tenant_id and actor in envelope; consumers require tenant context before work</w:t>
            </w:r>
          </w:p>
        </w:tc>
        <w:tc>
          <w:tcPr>
            <w:tcW w:type="dxa" w:w="305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Messages without valid tenant context are quarantined.</w:t>
            </w:r>
          </w:p>
        </w:tc>
      </w:tr>
      <w:tr>
        <w:tc>
          <w:tcPr>
            <w:tcW w:type="dxa" w:w="163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Telemetry</w:t>
            </w:r>
          </w:p>
        </w:tc>
        <w:tc>
          <w:tcPr>
            <w:tcW w:type="dxa" w:w="531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tenant_id as controlled attribute, never as high-cardinality unbounded user text; sensitive values redacted</w:t>
            </w:r>
          </w:p>
        </w:tc>
        <w:tc>
          <w:tcPr>
            <w:tcW w:type="dxa" w:w="305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No restricted data in logs/traces.</w:t>
            </w:r>
          </w:p>
        </w:tc>
      </w:tr>
      <w:tr>
        <w:tc>
          <w:tcPr>
            <w:tcW w:type="dxa" w:w="163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AI</w:t>
            </w:r>
          </w:p>
        </w:tc>
        <w:tc>
          <w:tcPr>
            <w:tcW w:type="dxa" w:w="531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tenant/role/relationship filters before retrieval and tool policy before execution</w:t>
            </w:r>
          </w:p>
        </w:tc>
        <w:tc>
          <w:tcPr>
            <w:tcW w:type="dxa" w:w="305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Adversarial cross-tenant prompt tests.</w:t>
            </w:r>
          </w:p>
        </w:tc>
      </w:tr>
    </w:tbl>
    <w:p>
      <w:pPr>
        <w:spacing w:after="40"/>
      </w:pPr>
    </w:p>
    <w:p>
      <w:pPr>
        <w:pStyle w:val="Heading2"/>
        <w:keepNext/>
      </w:pPr>
      <w:r>
        <w:t>7.4 Shared vs Dedicated Enterprise Isolation</w:t>
      </w:r>
    </w:p>
    <w:p>
      <w:pPr>
        <w:pStyle w:val="Heading2"/>
      </w:pPr>
      <w:r>
        <w:t>7.5 Tenant Placement and Relocation Workflow</w:t>
      </w:r>
    </w:p>
    <w:p>
      <w:pPr>
        <w:pStyle w:val="Bullet1"/>
      </w:pPr>
      <w:r>
        <w:t>Tenant placement is a control-plane record with source cluster, target cluster, region, encryption-key assignment and relocation state. The product plane resolves placement before issuing database credentials or signed service routes.</w:t>
      </w:r>
    </w:p>
    <w:p>
      <w:pPr>
        <w:pStyle w:val="Bullet1"/>
      </w:pPr>
      <w:r>
        <w:t>Relocation stages: preflight → target provision → snapshot/copy → change-data catch-up → write freeze → final delta → integrity/financial reconciliation → route switch → cache/session invalidation → observation window → source quarantine → source deletion after retention gate.</w:t>
      </w:r>
    </w:p>
    <w:p>
      <w:pPr>
        <w:pStyle w:val="Bullet1"/>
      </w:pPr>
      <w:r>
        <w:t>The cutover uses a relocation_epoch included in requests/events. Commands carrying the old epoch are rejected after route switch. All copied row counts, ledger control totals, outbox high-water marks, object references and search/read projections are reconciled before source deletion.</w:t>
      </w:r>
    </w:p>
    <w:p>
      <w:pPr>
        <w:pStyle w:val="Bullet1"/>
      </w:pPr>
      <w:r>
        <w:t>Target for standard tenants is &lt;15 minutes write freeze after pre-copy. Large/dedicated tenants use an agreed maintenance window. Rollback before source deletion switches routing back only after target writes are reconciled or discarded.</w:t>
      </w:r>
    </w:p>
    <w:p>
      <w:pPr>
        <w:pStyle w:val="Bullet1"/>
        <w:spacing w:after="80" w:line="252" w:lineRule="auto"/>
      </w:pPr>
      <w:r>
        <w:rPr>
          <w:rFonts w:ascii="Noto Sans" w:hAnsi="Noto Sans"/>
        </w:rPr>
        <w:t>Starter/Growth/Pro: shared managed PostgreSQL clusters with RLS and tenant-aware encryption/retention policies.</w:t>
      </w:r>
    </w:p>
    <w:p>
      <w:pPr>
        <w:pStyle w:val="Bullet1"/>
        <w:spacing w:after="80" w:line="252" w:lineRule="auto"/>
      </w:pPr>
      <w:r>
        <w:rPr>
          <w:rFonts w:ascii="Noto Sans" w:hAnsi="Noto Sans"/>
        </w:rPr>
        <w:t>Enterprise option: dedicated database/cluster and potentially dedicated compute/data region using the same schemas and contracts.</w:t>
      </w:r>
    </w:p>
    <w:p>
      <w:pPr>
        <w:pStyle w:val="Bullet1"/>
        <w:spacing w:after="80" w:line="252" w:lineRule="auto"/>
      </w:pPr>
      <w:r>
        <w:rPr>
          <w:rFonts w:ascii="Noto Sans" w:hAnsi="Noto Sans"/>
        </w:rPr>
        <w:t>Tenant placement is a control-plane policy. Domain code never assumes whether the tenant is shared or dedicated.</w:t>
      </w:r>
    </w:p>
    <w:p>
      <w:pPr>
        <w:pStyle w:val="Bullet1"/>
        <w:spacing w:after="80" w:line="252" w:lineRule="auto"/>
      </w:pPr>
      <w:r>
        <w:rPr>
          <w:rFonts w:ascii="Noto Sans" w:hAnsi="Noto Sans"/>
        </w:rPr>
        <w:t>Cross-tenant reporting is prohibited in product-plane data paths; platform-level aggregate SaaS telemetry uses separate purpose-limited data products.</w:t>
      </w:r>
    </w:p>
    <w:p>
      <w:pPr>
        <w:pStyle w:val="Heading1"/>
        <w:keepNext/>
      </w:pPr>
      <w:r>
        <w:t>8. Identity, Authorization, Sessions &amp; Audit</w:t>
      </w:r>
    </w:p>
    <w:p>
      <w:pPr>
        <w:pStyle w:val="Heading2"/>
        <w:keepNext/>
      </w:pPr>
      <w:r>
        <w:t>8.1 Identity Model</w:t>
      </w:r>
    </w:p>
    <w:p>
      <w:pPr>
        <w:pStyle w:val="Bullet1"/>
        <w:spacing w:after="80" w:line="252" w:lineRule="auto"/>
      </w:pPr>
      <w:r>
        <w:rPr>
          <w:rFonts w:ascii="Noto Sans" w:hAnsi="Noto Sans"/>
        </w:rPr>
        <w:t>Global AuthenticationIdentity: external subject identifiers, passkey/MFA enrollment references, sessions and risk metadata.</w:t>
      </w:r>
    </w:p>
    <w:p>
      <w:pPr>
        <w:pStyle w:val="Bullet1"/>
        <w:spacing w:after="80" w:line="252" w:lineRule="auto"/>
      </w:pPr>
      <w:r>
        <w:rPr>
          <w:rFonts w:ascii="Noto Sans" w:hAnsi="Noto Sans"/>
        </w:rPr>
        <w:t>Tenant Person/Profile: business identity and relationships within a tenant. One auth identity may link to multiple tenant persons/roles when explicitly verified.</w:t>
      </w:r>
    </w:p>
    <w:p>
      <w:pPr>
        <w:pStyle w:val="Bullet1"/>
        <w:spacing w:after="80" w:line="252" w:lineRule="auto"/>
      </w:pPr>
      <w:r>
        <w:rPr>
          <w:rFonts w:ascii="Noto Sans" w:hAnsi="Noto Sans"/>
        </w:rPr>
        <w:t>RoleAssignment: role + tenant + organization/brand/location scope + validity window.</w:t>
      </w:r>
    </w:p>
    <w:p>
      <w:pPr>
        <w:pStyle w:val="Bullet1"/>
        <w:spacing w:after="80" w:line="252" w:lineRule="auto"/>
      </w:pPr>
      <w:r>
        <w:rPr>
          <w:rFonts w:ascii="Noto Sans" w:hAnsi="Noto Sans"/>
        </w:rPr>
        <w:t>Policy evaluation: RBAC baseline plus attribute/relationship conditions for assigned clients, minors, sensitive health/financial fields and support sessions.</w:t>
      </w:r>
    </w:p>
    <w:p>
      <w:pPr>
        <w:pStyle w:val="Bullet1"/>
        <w:spacing w:after="80" w:line="252" w:lineRule="auto"/>
      </w:pPr>
      <w:r>
        <w:rPr>
          <w:rFonts w:ascii="Noto Sans" w:hAnsi="Noto Sans"/>
        </w:rPr>
        <w:t>Authentication assurance level (AAL) is carried in session context and checked for sensitive commands.</w:t>
      </w:r>
    </w:p>
    <w:tbl>
      <w:tblPr>
        <w:tblStyle w:val="TableGrid"/>
        <w:tblW w:type="dxa" w:w="9684"/>
        <w:jc w:val="center"/>
        <w:tblLayout w:type="autofit"/>
        <w:tblLook w:firstColumn="1" w:firstRow="1" w:lastColumn="0" w:lastRow="0" w:noHBand="0" w:noVBand="1" w:val="04A0"/>
      </w:tblPr>
      <w:tblGrid>
        <w:gridCol w:w="3228"/>
        <w:gridCol w:w="3228"/>
        <w:gridCol w:w="3228"/>
      </w:tblGrid>
      <w:tr>
        <w:trPr>
          <w:tblHeader w:val="true"/>
          <w:tblHeader w:val="true"/>
        </w:trPr>
        <w:tc>
          <w:tcPr>
            <w:tcW w:type="dxa" w:w="1702"/>
            <w:shd w:fill="2F5B86"/>
            <w:tcMar>
              <w:top w:w="70" w:type="dxa"/>
              <w:start w:w="90" w:type="dxa"/>
              <w:bottom w:w="70" w:type="dxa"/>
              <w:end w:w="90" w:type="dxa"/>
              <w:left w:w="80" w:type="dxa"/>
              <w:right w:w="80" w:type="dxa"/>
            </w:tcMar>
            <w:vAlign w:val="center"/>
          </w:tcPr>
          <w:p>
            <w:pPr>
              <w:jc w:val="center"/>
            </w:pPr>
            <w:r>
              <w:rPr>
                <w:rFonts w:ascii="Noto Sans" w:hAnsi="Noto Sans"/>
                <w:b/>
                <w:color w:val="FFFFFF"/>
                <w:sz w:val="16"/>
              </w:rPr>
              <w:t>Assurance</w:t>
            </w:r>
          </w:p>
        </w:tc>
        <w:tc>
          <w:tcPr>
            <w:tcW w:type="dxa" w:w="4681"/>
            <w:shd w:fill="2F5B86"/>
            <w:tcMar>
              <w:top w:w="70" w:type="dxa"/>
              <w:start w:w="90" w:type="dxa"/>
              <w:bottom w:w="70" w:type="dxa"/>
              <w:end w:w="90" w:type="dxa"/>
              <w:left w:w="80" w:type="dxa"/>
              <w:right w:w="80" w:type="dxa"/>
            </w:tcMar>
            <w:vAlign w:val="center"/>
          </w:tcPr>
          <w:p>
            <w:pPr>
              <w:jc w:val="center"/>
            </w:pPr>
            <w:r>
              <w:rPr>
                <w:rFonts w:ascii="Noto Sans" w:hAnsi="Noto Sans"/>
                <w:b/>
                <w:color w:val="FFFFFF"/>
                <w:sz w:val="16"/>
              </w:rPr>
              <w:t>Typical Use</w:t>
            </w:r>
          </w:p>
        </w:tc>
        <w:tc>
          <w:tcPr>
            <w:tcW w:type="dxa" w:w="3617"/>
            <w:shd w:fill="2F5B86"/>
            <w:tcMar>
              <w:top w:w="70" w:type="dxa"/>
              <w:start w:w="90" w:type="dxa"/>
              <w:bottom w:w="70" w:type="dxa"/>
              <w:end w:w="90" w:type="dxa"/>
              <w:left w:w="80" w:type="dxa"/>
              <w:right w:w="80" w:type="dxa"/>
            </w:tcMar>
            <w:vAlign w:val="center"/>
          </w:tcPr>
          <w:p>
            <w:pPr>
              <w:jc w:val="center"/>
            </w:pPr>
            <w:r>
              <w:rPr>
                <w:rFonts w:ascii="Noto Sans" w:hAnsi="Noto Sans"/>
                <w:b/>
                <w:color w:val="FFFFFF"/>
                <w:sz w:val="16"/>
              </w:rPr>
              <w:t>Required Controls</w:t>
            </w:r>
          </w:p>
        </w:tc>
      </w:tr>
      <w:tr>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AAL-1 Routine</w:t>
            </w:r>
          </w:p>
        </w:tc>
        <w:tc>
          <w:tcPr>
            <w:tcW w:type="dxa" w:w="468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Routine viewing and low-risk changes</w:t>
            </w:r>
          </w:p>
        </w:tc>
        <w:tc>
          <w:tcPr>
            <w:tcW w:type="dxa" w:w="361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Valid session, device/session risk checks.</w:t>
            </w:r>
          </w:p>
        </w:tc>
      </w:tr>
      <w:tr>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AAL-2 Elevated</w:t>
            </w:r>
          </w:p>
        </w:tc>
        <w:tc>
          <w:tcPr>
            <w:tcW w:type="dxa" w:w="468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Payment method, sensitive profile, membership change, data export</w:t>
            </w:r>
          </w:p>
        </w:tc>
        <w:tc>
          <w:tcPr>
            <w:tcW w:type="dxa" w:w="361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Recent passkey/MFA/platform biometric or equivalent step-up.</w:t>
            </w:r>
          </w:p>
        </w:tc>
      </w:tr>
      <w:tr>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AAL-3 Privileged</w:t>
            </w:r>
          </w:p>
        </w:tc>
        <w:tc>
          <w:tcPr>
            <w:tcW w:type="dxa" w:w="468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Roles, large refunds, payroll, security, tenant lifecycle</w:t>
            </w:r>
          </w:p>
        </w:tc>
        <w:tc>
          <w:tcPr>
            <w:tcW w:type="dxa" w:w="361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Strong MFA, managed/trusted device where required, approval policy.</w:t>
            </w:r>
          </w:p>
        </w:tc>
      </w:tr>
      <w:tr>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Break-glass</w:t>
            </w:r>
          </w:p>
        </w:tc>
        <w:tc>
          <w:tcPr>
            <w:tcW w:type="dxa" w:w="468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Emergency support/platform access</w:t>
            </w:r>
          </w:p>
        </w:tc>
        <w:tc>
          <w:tcPr>
            <w:tcW w:type="dxa" w:w="361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Time-limited grant, reason, approval, prominent banner, immutable audit and immediate review.</w:t>
            </w:r>
          </w:p>
        </w:tc>
      </w:tr>
    </w:tbl>
    <w:p>
      <w:pPr>
        <w:spacing w:after="40"/>
      </w:pPr>
    </w:p>
    <w:p>
      <w:pPr>
        <w:pStyle w:val="Heading2"/>
        <w:keepNext/>
      </w:pPr>
      <w:r>
        <w:t>8.2 Authorization Decision Contract</w:t>
      </w:r>
    </w:p>
    <w:tbl>
      <w:tblPr>
        <w:tblStyle w:val="TableGrid"/>
        <w:tblW w:type="dxa" w:w="9684"/>
        <w:tblLayout w:type="autofit"/>
        <w:tblLook w:firstColumn="1" w:firstRow="1" w:lastColumn="0" w:lastRow="0" w:noHBand="0" w:noVBand="1" w:val="04A0"/>
        <w:jc w:val="center"/>
      </w:tblPr>
      <w:tblGrid>
        <w:gridCol w:w="9684"/>
      </w:tblGrid>
      <w:tr>
        <w:trPr>
          <w:cantSplit/>
          <w:tblHeader w:val="true"/>
        </w:trPr>
        <w:tc>
          <w:tcPr>
            <w:tcW w:type="dxa" w:w="9684"/>
            <w:shd w:fill="F7F8FA"/>
            <w:tcMar>
              <w:top w:w="70" w:type="dxa"/>
              <w:start w:w="150" w:type="dxa"/>
              <w:bottom w:w="70" w:type="dxa"/>
              <w:end w:w="150" w:type="dxa"/>
              <w:left w:w="80" w:type="dxa"/>
              <w:right w:w="80" w:type="dxa"/>
            </w:tcMar>
            <w:vAlign w:val="center"/>
          </w:tcPr>
          <w:p>
            <w:pPr>
              <w:spacing w:line="240" w:lineRule="auto" w:after="0"/>
            </w:pPr>
            <w:r>
              <w:rPr>
                <w:rFonts w:ascii="DejaVu Sans Mono" w:hAnsi="DejaVu Sans Mono"/>
                <w:b/>
                <w:color w:val="263238"/>
                <w:sz w:val="16"/>
              </w:rPr>
              <w:t>authorize(</w:t>
              <w:br/>
              <w:t xml:space="preserve">  actor, tenant_context, action, resource_type, resource_id,</w:t>
              <w:br/>
              <w:t xml:space="preserve">  relationship_context, requested_fields, assurance_level, purpose</w:t>
              <w:br/>
              <w:t>) -&gt; ALLOW | DENY | REQUIRE_STEP_UP | REQUIRE_APPROVAL | ALLOW_MASKED</w:t>
              <w:br/>
            </w:r>
          </w:p>
        </w:tc>
      </w:tr>
    </w:tbl>
    <w:p>
      <w:pPr>
        <w:spacing w:after="40"/>
      </w:pPr>
    </w:p>
    <w:p>
      <w:pPr>
        <w:pStyle w:val="Bullet1"/>
        <w:spacing w:after="80" w:line="252" w:lineRule="auto"/>
      </w:pPr>
      <w:r>
        <w:rPr>
          <w:rFonts w:ascii="Noto Sans" w:hAnsi="Noto Sans"/>
        </w:rPr>
        <w:t>UI visibility is an optimization only; domain commands always authorize again.</w:t>
      </w:r>
    </w:p>
    <w:p>
      <w:pPr>
        <w:pStyle w:val="Bullet1"/>
        <w:spacing w:after="80" w:line="252" w:lineRule="auto"/>
      </w:pPr>
      <w:r>
        <w:rPr>
          <w:rFonts w:ascii="Noto Sans" w:hAnsi="Noto Sans"/>
        </w:rPr>
        <w:t>Search/index data is permission-filtered before result generation and sensitive records are post-filtered against the authoritative policy service.</w:t>
      </w:r>
    </w:p>
    <w:p>
      <w:pPr>
        <w:pStyle w:val="Bullet1"/>
        <w:spacing w:after="80" w:line="252" w:lineRule="auto"/>
      </w:pPr>
      <w:r>
        <w:rPr>
          <w:rFonts w:ascii="Noto Sans" w:hAnsi="Noto Sans"/>
        </w:rPr>
        <w:t>Approvals are first-class records with requested action hash, amount/risk threshold, approver policy, expiry and result.</w:t>
      </w:r>
    </w:p>
    <w:p>
      <w:pPr>
        <w:pStyle w:val="Bullet1"/>
        <w:spacing w:after="80" w:line="252" w:lineRule="auto"/>
      </w:pPr>
      <w:r>
        <w:rPr>
          <w:rFonts w:ascii="Noto Sans" w:hAnsi="Noto Sans"/>
        </w:rPr>
        <w:t>Support impersonation creates a delegated actor chain rather than replacing the original support identity.</w:t>
      </w:r>
    </w:p>
    <w:p>
      <w:pPr>
        <w:pStyle w:val="Heading2"/>
        <w:keepNext/>
      </w:pPr>
      <w:r>
        <w:t>8.3 Audit Evidence</w:t>
      </w:r>
    </w:p>
    <w:tbl>
      <w:tblPr>
        <w:tblStyle w:val="TableGrid"/>
        <w:tblW w:type="dxa" w:w="9684"/>
        <w:jc w:val="center"/>
        <w:tblLayout w:type="autofit"/>
        <w:tblLook w:firstColumn="1" w:firstRow="1" w:lastColumn="0" w:lastRow="0" w:noHBand="0" w:noVBand="1" w:val="04A0"/>
      </w:tblPr>
      <w:tblGrid>
        <w:gridCol w:w="4842"/>
        <w:gridCol w:w="4842"/>
      </w:tblGrid>
      <w:tr>
        <w:trPr>
          <w:tblHeader w:val="true"/>
          <w:tblHeader w:val="true"/>
        </w:trPr>
        <w:tc>
          <w:tcPr>
            <w:tcW w:type="dxa" w:w="2127"/>
            <w:shd w:fill="2F5B86"/>
            <w:tcMar>
              <w:top w:w="70" w:type="dxa"/>
              <w:start w:w="90" w:type="dxa"/>
              <w:bottom w:w="70" w:type="dxa"/>
              <w:end w:w="90" w:type="dxa"/>
              <w:left w:w="80" w:type="dxa"/>
              <w:right w:w="80" w:type="dxa"/>
            </w:tcMar>
            <w:vAlign w:val="center"/>
          </w:tcPr>
          <w:p>
            <w:pPr>
              <w:jc w:val="center"/>
            </w:pPr>
            <w:r>
              <w:rPr>
                <w:rFonts w:ascii="Noto Sans" w:hAnsi="Noto Sans"/>
                <w:b/>
                <w:color w:val="FFFFFF"/>
                <w:sz w:val="16"/>
              </w:rPr>
              <w:t>Field</w:t>
            </w:r>
          </w:p>
        </w:tc>
        <w:tc>
          <w:tcPr>
            <w:tcW w:type="dxa" w:w="7659"/>
            <w:shd w:fill="2F5B86"/>
            <w:tcMar>
              <w:top w:w="70" w:type="dxa"/>
              <w:start w:w="90" w:type="dxa"/>
              <w:bottom w:w="70" w:type="dxa"/>
              <w:end w:w="90" w:type="dxa"/>
              <w:left w:w="80" w:type="dxa"/>
              <w:right w:w="80" w:type="dxa"/>
            </w:tcMar>
            <w:vAlign w:val="center"/>
          </w:tcPr>
          <w:p>
            <w:pPr>
              <w:jc w:val="center"/>
            </w:pPr>
            <w:r>
              <w:rPr>
                <w:rFonts w:ascii="Noto Sans" w:hAnsi="Noto Sans"/>
                <w:b/>
                <w:color w:val="FFFFFF"/>
                <w:sz w:val="16"/>
              </w:rPr>
              <w:t>Requirement</w:t>
            </w:r>
          </w:p>
        </w:tc>
      </w:tr>
      <w:tr>
        <w:tc>
          <w:tcPr>
            <w:tcW w:type="dxa" w:w="212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audit_id</w:t>
            </w:r>
          </w:p>
        </w:tc>
        <w:tc>
          <w:tcPr>
            <w:tcW w:type="dxa" w:w="765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UUIDv7; immutable</w:t>
            </w:r>
          </w:p>
        </w:tc>
      </w:tr>
      <w:tr>
        <w:tc>
          <w:tcPr>
            <w:tcW w:type="dxa" w:w="212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tenant_id / scope</w:t>
            </w:r>
          </w:p>
        </w:tc>
        <w:tc>
          <w:tcPr>
            <w:tcW w:type="dxa" w:w="765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Tenant and organization/location scope</w:t>
            </w:r>
          </w:p>
        </w:tc>
      </w:tr>
      <w:tr>
        <w:tc>
          <w:tcPr>
            <w:tcW w:type="dxa" w:w="212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actor</w:t>
            </w:r>
          </w:p>
        </w:tc>
        <w:tc>
          <w:tcPr>
            <w:tcW w:type="dxa" w:w="765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Human/service/delegated actor chain</w:t>
            </w:r>
          </w:p>
        </w:tc>
      </w:tr>
      <w:tr>
        <w:tc>
          <w:tcPr>
            <w:tcW w:type="dxa" w:w="212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action</w:t>
            </w:r>
          </w:p>
        </w:tc>
        <w:tc>
          <w:tcPr>
            <w:tcW w:type="dxa" w:w="765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Canonical action name and resource</w:t>
            </w:r>
          </w:p>
        </w:tc>
      </w:tr>
      <w:tr>
        <w:tc>
          <w:tcPr>
            <w:tcW w:type="dxa" w:w="212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purpose</w:t>
            </w:r>
          </w:p>
        </w:tc>
        <w:tc>
          <w:tcPr>
            <w:tcW w:type="dxa" w:w="765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Business/support/security purpose</w:t>
            </w:r>
          </w:p>
        </w:tc>
      </w:tr>
      <w:tr>
        <w:tc>
          <w:tcPr>
            <w:tcW w:type="dxa" w:w="212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assurance</w:t>
            </w:r>
          </w:p>
        </w:tc>
        <w:tc>
          <w:tcPr>
            <w:tcW w:type="dxa" w:w="765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AAL and step-up evidence reference</w:t>
            </w:r>
          </w:p>
        </w:tc>
      </w:tr>
      <w:tr>
        <w:tc>
          <w:tcPr>
            <w:tcW w:type="dxa" w:w="212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before/after</w:t>
            </w:r>
          </w:p>
        </w:tc>
        <w:tc>
          <w:tcPr>
            <w:tcW w:type="dxa" w:w="765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Diff or immutable object references; sensitive values may be hashed/redacted</w:t>
            </w:r>
          </w:p>
        </w:tc>
      </w:tr>
      <w:tr>
        <w:tc>
          <w:tcPr>
            <w:tcW w:type="dxa" w:w="212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request context</w:t>
            </w:r>
          </w:p>
        </w:tc>
        <w:tc>
          <w:tcPr>
            <w:tcW w:type="dxa" w:w="765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correlation_id, device/session, IP/risk metadata</w:t>
            </w:r>
          </w:p>
        </w:tc>
      </w:tr>
      <w:tr>
        <w:tc>
          <w:tcPr>
            <w:tcW w:type="dxa" w:w="212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outcome</w:t>
            </w:r>
          </w:p>
        </w:tc>
        <w:tc>
          <w:tcPr>
            <w:tcW w:type="dxa" w:w="765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success, denied, failed, approved/rejected</w:t>
            </w:r>
          </w:p>
        </w:tc>
      </w:tr>
      <w:tr>
        <w:tc>
          <w:tcPr>
            <w:tcW w:type="dxa" w:w="212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retention/integrity</w:t>
            </w:r>
          </w:p>
        </w:tc>
        <w:tc>
          <w:tcPr>
            <w:tcW w:type="dxa" w:w="765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Classification-driven retention; append-only; archive to integrity-protected object storage for high-risk classes</w:t>
            </w:r>
          </w:p>
        </w:tc>
      </w:tr>
    </w:tbl>
    <w:p>
      <w:pPr>
        <w:spacing w:after="40"/>
      </w:pPr>
    </w:p>
    <w:p>
      <w:pPr>
        <w:pStyle w:val="Heading2"/>
      </w:pPr>
      <w:r>
        <w:t>8.4 Role Catalog, Permission Namespace and Scope Grammar</w:t>
      </w:r>
    </w:p>
    <w:p>
      <w:pPr/>
      <w:r>
        <w:t>The following role and baseline permission matrix are imported from the approved product blueprint and are authoritative inputs to authorize(actor, tenant, scope, action, resource_type, resource_id, context). Roles are bundles; permissions remain canonical action/resource pairs so tenants may create custom roles without changing API semantics.</w:t>
      </w:r>
    </w:p>
    <w:p>
      <w:pPr>
        <w:pStyle w:val="Heading3"/>
      </w:pPr>
      <w:r>
        <w:t>Role catalog</w:t>
      </w:r>
    </w:p>
    <w:p>
      <w:pPr>
        <w:pStyle w:val="Heading3"/>
      </w:pPr>
      <w:r>
        <w:t>Baseline permission matrix</w:t>
      </w:r>
    </w:p>
    <w:p>
      <w:pPr>
        <w:pStyle w:val="Heading3"/>
      </w:pPr>
      <w:r>
        <w:t>Permission grammar</w:t>
      </w:r>
    </w:p>
    <w:p>
      <w:pPr>
        <w:pStyle w:val="Bullet1"/>
      </w:pPr>
      <w:r>
        <w:t>Permission name: &lt;domain&gt;.&lt;resource&gt;.&lt;action&gt;, for example members.profile.read, memberships.lifecycle.freeze, billing.refund.create, access.override.grant, health.restricted.read, platform.tenant.impersonate.</w:t>
      </w:r>
    </w:p>
    <w:p>
      <w:pPr>
        <w:pStyle w:val="Bullet1"/>
      </w:pPr>
      <w:r>
        <w:t>Scope grammar: tenant | organization | brand | region | location | department | assigned_clients | self | explicit_resource. Scope is part of the authorization decision and audit evidence, never inferred only from UI navigation.</w:t>
      </w:r>
    </w:p>
    <w:p>
      <w:pPr>
        <w:pStyle w:val="Bullet1"/>
      </w:pPr>
      <w:r>
        <w:t>Sensitive actions declare minimum assurance, approval policy and segregation-of-duties constraints. A role never bypasses tenant isolation, consent, legal hold or financial invariants.</w:t>
      </w:r>
    </w:p>
    <w:tbl>
      <w:tblPr>
        <w:tblW w:type="dxa" w:w="9684"/>
        <w:jc w:val="center"/>
        <w:tblLayout w:type="autofit"/>
        <w:tblLook w:firstColumn="1" w:firstRow="1" w:lastColumn="0" w:lastRow="0" w:noHBand="0" w:noVBand="1" w:val="04A0"/>
      </w:tblPr>
      <w:tblGrid>
        <w:gridCol w:w="884"/>
        <w:gridCol w:w="880"/>
        <w:gridCol w:w="880"/>
        <w:gridCol w:w="880"/>
        <w:gridCol w:w="880"/>
        <w:gridCol w:w="880"/>
        <w:gridCol w:w="880"/>
        <w:gridCol w:w="880"/>
        <w:gridCol w:w="880"/>
        <w:gridCol w:w="880"/>
        <w:gridCol w:w="880"/>
      </w:tblGrid>
      <w:tr>
        <w:trPr>
          <w:tblHeader w:val="true"/>
          <w:tblHeader w:val="true"/>
        </w:trPr>
        <w:tc>
          <w:tcPr>
            <w:tcW w:type="dxa" w:w="2127"/>
            <w:shd w:fill="17324D"/>
            <w:tcMar>
              <w:top w:w="70" w:type="dxa"/>
              <w:start w:w="120" w:type="dxa"/>
              <w:bottom w:w="70" w:type="dxa"/>
              <w:end w:w="120" w:type="dxa"/>
              <w:left w:w="80" w:type="dxa"/>
              <w:right w:w="80" w:type="dxa"/>
            </w:tcMar>
            <w:vAlign w:val="center"/>
          </w:tcPr>
          <w:p>
            <w:pPr>
              <w:jc w:val="left"/>
            </w:pPr>
            <w:r>
              <w:rPr>
                <w:rFonts w:ascii="Aptos Display" w:hAnsi="Aptos Display" w:eastAsia="Aptos Display"/>
                <w:b/>
                <w:color w:val="FFFFFF"/>
                <w:sz w:val="17"/>
              </w:rPr>
              <w:t>Role</w:t>
            </w:r>
          </w:p>
        </w:tc>
        <w:tc>
          <w:tcPr>
            <w:tcW w:type="dxa" w:w="734"/>
            <w:shd w:fill="17324D"/>
            <w:tcMar>
              <w:top w:w="70" w:type="dxa"/>
              <w:start w:w="120" w:type="dxa"/>
              <w:bottom w:w="70" w:type="dxa"/>
              <w:end w:w="120" w:type="dxa"/>
              <w:left w:w="80" w:type="dxa"/>
              <w:right w:w="80" w:type="dxa"/>
            </w:tcMar>
            <w:vAlign w:val="center"/>
          </w:tcPr>
          <w:p>
            <w:pPr>
              <w:jc w:val="left"/>
            </w:pPr>
            <w:r>
              <w:rPr>
                <w:rFonts w:ascii="Aptos Display" w:hAnsi="Aptos Display" w:eastAsia="Aptos Display"/>
                <w:b/>
                <w:color w:val="FFFFFF"/>
                <w:sz w:val="17"/>
              </w:rPr>
              <w:t>People &amp; CRM</w:t>
            </w:r>
          </w:p>
        </w:tc>
        <w:tc>
          <w:tcPr>
            <w:tcW w:type="dxa" w:w="734"/>
            <w:shd w:fill="17324D"/>
            <w:tcMar>
              <w:top w:w="70" w:type="dxa"/>
              <w:start w:w="120" w:type="dxa"/>
              <w:bottom w:w="70" w:type="dxa"/>
              <w:end w:w="120" w:type="dxa"/>
              <w:left w:w="80" w:type="dxa"/>
              <w:right w:w="80" w:type="dxa"/>
            </w:tcMar>
            <w:vAlign w:val="center"/>
          </w:tcPr>
          <w:p>
            <w:pPr>
              <w:jc w:val="left"/>
            </w:pPr>
            <w:r>
              <w:rPr>
                <w:rFonts w:ascii="Aptos Display" w:hAnsi="Aptos Display" w:eastAsia="Aptos Display"/>
                <w:b/>
                <w:color w:val="FFFFFF"/>
                <w:sz w:val="17"/>
              </w:rPr>
              <w:t>Membership</w:t>
            </w:r>
          </w:p>
        </w:tc>
        <w:tc>
          <w:tcPr>
            <w:tcW w:type="dxa" w:w="734"/>
            <w:shd w:fill="17324D"/>
            <w:tcMar>
              <w:top w:w="70" w:type="dxa"/>
              <w:start w:w="120" w:type="dxa"/>
              <w:bottom w:w="70" w:type="dxa"/>
              <w:end w:w="120" w:type="dxa"/>
              <w:left w:w="80" w:type="dxa"/>
              <w:right w:w="80" w:type="dxa"/>
            </w:tcMar>
            <w:vAlign w:val="center"/>
          </w:tcPr>
          <w:p>
            <w:pPr>
              <w:jc w:val="left"/>
            </w:pPr>
            <w:r>
              <w:rPr>
                <w:rFonts w:ascii="Aptos Display" w:hAnsi="Aptos Display" w:eastAsia="Aptos Display"/>
                <w:b/>
                <w:color w:val="FFFFFF"/>
                <w:sz w:val="17"/>
              </w:rPr>
              <w:t>Billing &amp; Ledger</w:t>
            </w:r>
          </w:p>
        </w:tc>
        <w:tc>
          <w:tcPr>
            <w:tcW w:type="dxa" w:w="734"/>
            <w:shd w:fill="17324D"/>
            <w:tcMar>
              <w:top w:w="70" w:type="dxa"/>
              <w:start w:w="120" w:type="dxa"/>
              <w:bottom w:w="70" w:type="dxa"/>
              <w:end w:w="120" w:type="dxa"/>
              <w:left w:w="80" w:type="dxa"/>
              <w:right w:w="80" w:type="dxa"/>
            </w:tcMar>
            <w:vAlign w:val="center"/>
          </w:tcPr>
          <w:p>
            <w:pPr>
              <w:jc w:val="left"/>
            </w:pPr>
            <w:r>
              <w:rPr>
                <w:rFonts w:ascii="Aptos Display" w:hAnsi="Aptos Display" w:eastAsia="Aptos Display"/>
                <w:b/>
                <w:color w:val="FFFFFF"/>
                <w:sz w:val="17"/>
              </w:rPr>
              <w:t>POS &amp; Inventory</w:t>
            </w:r>
          </w:p>
        </w:tc>
        <w:tc>
          <w:tcPr>
            <w:tcW w:type="dxa" w:w="734"/>
            <w:shd w:fill="17324D"/>
            <w:tcMar>
              <w:top w:w="70" w:type="dxa"/>
              <w:start w:w="120" w:type="dxa"/>
              <w:bottom w:w="70" w:type="dxa"/>
              <w:end w:w="120" w:type="dxa"/>
              <w:left w:w="80" w:type="dxa"/>
              <w:right w:w="80" w:type="dxa"/>
            </w:tcMar>
            <w:vAlign w:val="center"/>
          </w:tcPr>
          <w:p>
            <w:pPr>
              <w:jc w:val="left"/>
            </w:pPr>
            <w:r>
              <w:rPr>
                <w:rFonts w:ascii="Aptos Display" w:hAnsi="Aptos Display" w:eastAsia="Aptos Display"/>
                <w:b/>
                <w:color w:val="FFFFFF"/>
                <w:sz w:val="17"/>
              </w:rPr>
              <w:t>Schedule &amp; Access</w:t>
            </w:r>
          </w:p>
        </w:tc>
        <w:tc>
          <w:tcPr>
            <w:tcW w:type="dxa" w:w="734"/>
            <w:shd w:fill="17324D"/>
            <w:tcMar>
              <w:top w:w="70" w:type="dxa"/>
              <w:start w:w="120" w:type="dxa"/>
              <w:bottom w:w="70" w:type="dxa"/>
              <w:end w:w="120" w:type="dxa"/>
              <w:left w:w="80" w:type="dxa"/>
              <w:right w:w="80" w:type="dxa"/>
            </w:tcMar>
            <w:vAlign w:val="center"/>
          </w:tcPr>
          <w:p>
            <w:pPr>
              <w:jc w:val="left"/>
            </w:pPr>
            <w:r>
              <w:rPr>
                <w:rFonts w:ascii="Aptos Display" w:hAnsi="Aptos Display" w:eastAsia="Aptos Display"/>
                <w:b/>
                <w:color w:val="FFFFFF"/>
                <w:sz w:val="17"/>
              </w:rPr>
              <w:t>Coaching &amp; Health</w:t>
            </w:r>
          </w:p>
        </w:tc>
        <w:tc>
          <w:tcPr>
            <w:tcW w:type="dxa" w:w="734"/>
            <w:shd w:fill="17324D"/>
            <w:tcMar>
              <w:top w:w="70" w:type="dxa"/>
              <w:start w:w="120" w:type="dxa"/>
              <w:bottom w:w="70" w:type="dxa"/>
              <w:end w:w="120" w:type="dxa"/>
              <w:left w:w="80" w:type="dxa"/>
              <w:right w:w="80" w:type="dxa"/>
            </w:tcMar>
            <w:vAlign w:val="center"/>
          </w:tcPr>
          <w:p>
            <w:pPr>
              <w:jc w:val="left"/>
            </w:pPr>
            <w:r>
              <w:rPr>
                <w:rFonts w:ascii="Aptos Display" w:hAnsi="Aptos Display" w:eastAsia="Aptos Display"/>
                <w:b/>
                <w:color w:val="FFFFFF"/>
                <w:sz w:val="17"/>
              </w:rPr>
              <w:t>Communications</w:t>
            </w:r>
          </w:p>
        </w:tc>
        <w:tc>
          <w:tcPr>
            <w:tcW w:type="dxa" w:w="734"/>
            <w:shd w:fill="17324D"/>
            <w:tcMar>
              <w:top w:w="70" w:type="dxa"/>
              <w:start w:w="120" w:type="dxa"/>
              <w:bottom w:w="70" w:type="dxa"/>
              <w:end w:w="120" w:type="dxa"/>
              <w:left w:w="80" w:type="dxa"/>
              <w:right w:w="80" w:type="dxa"/>
            </w:tcMar>
            <w:vAlign w:val="center"/>
          </w:tcPr>
          <w:p>
            <w:pPr>
              <w:jc w:val="left"/>
            </w:pPr>
            <w:r>
              <w:rPr>
                <w:rFonts w:ascii="Aptos Display" w:hAnsi="Aptos Display" w:eastAsia="Aptos Display"/>
                <w:b/>
                <w:color w:val="FFFFFF"/>
                <w:sz w:val="17"/>
              </w:rPr>
              <w:t>Analytics</w:t>
            </w:r>
          </w:p>
        </w:tc>
        <w:tc>
          <w:tcPr>
            <w:tcW w:type="dxa" w:w="734"/>
            <w:shd w:fill="17324D"/>
            <w:tcMar>
              <w:top w:w="70" w:type="dxa"/>
              <w:start w:w="120" w:type="dxa"/>
              <w:bottom w:w="70" w:type="dxa"/>
              <w:end w:w="120" w:type="dxa"/>
              <w:left w:w="80" w:type="dxa"/>
              <w:right w:w="80" w:type="dxa"/>
            </w:tcMar>
            <w:vAlign w:val="center"/>
          </w:tcPr>
          <w:p>
            <w:pPr>
              <w:jc w:val="left"/>
            </w:pPr>
            <w:r>
              <w:rPr>
                <w:rFonts w:ascii="Aptos Display" w:hAnsi="Aptos Display" w:eastAsia="Aptos Display"/>
                <w:b/>
                <w:color w:val="FFFFFF"/>
                <w:sz w:val="17"/>
              </w:rPr>
              <w:t>Settings &amp; Roles</w:t>
            </w:r>
          </w:p>
        </w:tc>
        <w:tc>
          <w:tcPr>
            <w:tcW w:type="dxa" w:w="734"/>
            <w:shd w:fill="17324D"/>
            <w:tcMar>
              <w:top w:w="70" w:type="dxa"/>
              <w:start w:w="120" w:type="dxa"/>
              <w:bottom w:w="70" w:type="dxa"/>
              <w:end w:w="120" w:type="dxa"/>
              <w:left w:w="80" w:type="dxa"/>
              <w:right w:w="80" w:type="dxa"/>
            </w:tcMar>
            <w:vAlign w:val="center"/>
          </w:tcPr>
          <w:p>
            <w:pPr>
              <w:jc w:val="left"/>
            </w:pPr>
            <w:r>
              <w:rPr>
                <w:rFonts w:ascii="Aptos Display" w:hAnsi="Aptos Display" w:eastAsia="Aptos Display"/>
                <w:b/>
                <w:color w:val="FFFFFF"/>
                <w:sz w:val="17"/>
              </w:rPr>
              <w:t>SaaS / Platform</w:t>
            </w:r>
          </w:p>
        </w:tc>
      </w:tr>
      <w:tr>
        <w:trPr>
          <w:cantSplit/>
        </w:trPr>
        <w:tc>
          <w:tcPr>
            <w:tcW w:type="dxa" w:w="2127"/>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Platform Super Admin</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w:t>
            </w:r>
          </w:p>
        </w:tc>
      </w:tr>
      <w:tr>
        <w:trPr>
          <w:cantSplit/>
        </w:trPr>
        <w:tc>
          <w:tcPr>
            <w:tcW w:type="dxa" w:w="2127"/>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Support Agent</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w:t>
            </w:r>
          </w:p>
        </w:tc>
      </w:tr>
      <w:tr>
        <w:trPr>
          <w:cantSplit/>
        </w:trPr>
        <w:tc>
          <w:tcPr>
            <w:tcW w:type="dxa" w:w="2127"/>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Customer Success Manager</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w:t>
            </w:r>
          </w:p>
        </w:tc>
      </w:tr>
      <w:tr>
        <w:trPr>
          <w:cantSplit/>
        </w:trPr>
        <w:tc>
          <w:tcPr>
            <w:tcW w:type="dxa" w:w="2127"/>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Organization Owner</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w:t>
            </w:r>
          </w:p>
        </w:tc>
      </w:tr>
      <w:tr>
        <w:trPr>
          <w:cantSplit/>
        </w:trPr>
        <w:tc>
          <w:tcPr>
            <w:tcW w:type="dxa" w:w="2127"/>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Regional / Franchise Manager</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t>
            </w:r>
          </w:p>
        </w:tc>
      </w:tr>
      <w:tr>
        <w:trPr>
          <w:cantSplit/>
        </w:trPr>
        <w:tc>
          <w:tcPr>
            <w:tcW w:type="dxa" w:w="2127"/>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Club Manager</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t>
            </w:r>
          </w:p>
        </w:tc>
      </w:tr>
      <w:tr>
        <w:trPr>
          <w:cantSplit/>
        </w:trPr>
        <w:tc>
          <w:tcPr>
            <w:tcW w:type="dxa" w:w="2127"/>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Receptionist</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t>
            </w:r>
          </w:p>
        </w:tc>
      </w:tr>
      <w:tr>
        <w:trPr>
          <w:cantSplit/>
        </w:trPr>
        <w:tc>
          <w:tcPr>
            <w:tcW w:type="dxa" w:w="2127"/>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Sales Representative</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t>
            </w:r>
          </w:p>
        </w:tc>
      </w:tr>
      <w:tr>
        <w:trPr>
          <w:cantSplit/>
        </w:trPr>
        <w:tc>
          <w:tcPr>
            <w:tcW w:type="dxa" w:w="2127"/>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Coach / Personal Trainer</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t>
            </w:r>
          </w:p>
        </w:tc>
      </w:tr>
      <w:tr>
        <w:trPr>
          <w:cantSplit/>
        </w:trPr>
        <w:tc>
          <w:tcPr>
            <w:tcW w:type="dxa" w:w="2127"/>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Nutritionist</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t>
            </w:r>
          </w:p>
        </w:tc>
      </w:tr>
      <w:tr>
        <w:trPr>
          <w:cantSplit/>
        </w:trPr>
        <w:tc>
          <w:tcPr>
            <w:tcW w:type="dxa" w:w="2127"/>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Finance / Accountant</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t>
            </w:r>
          </w:p>
        </w:tc>
      </w:tr>
      <w:tr>
        <w:trPr>
          <w:cantSplit/>
        </w:trPr>
        <w:tc>
          <w:tcPr>
            <w:tcW w:type="dxa" w:w="2127"/>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Inventory / Operations Manager</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V</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A</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M</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t>
            </w:r>
          </w:p>
        </w:tc>
      </w:tr>
      <w:tr>
        <w:trPr>
          <w:cantSplit/>
        </w:trPr>
        <w:tc>
          <w:tcPr>
            <w:tcW w:type="dxa" w:w="2127"/>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Staff Member / Instructor</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t>
            </w:r>
          </w:p>
        </w:tc>
      </w:tr>
      <w:tr>
        <w:trPr>
          <w:cantSplit/>
        </w:trPr>
        <w:tc>
          <w:tcPr>
            <w:tcW w:type="dxa" w:w="2127"/>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Corporate Benefits Admin</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t>
            </w:r>
          </w:p>
        </w:tc>
      </w:tr>
      <w:tr>
        <w:trPr>
          <w:cantSplit/>
        </w:trPr>
        <w:tc>
          <w:tcPr>
            <w:tcW w:type="dxa" w:w="2127"/>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Member</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t>
            </w:r>
          </w:p>
        </w:tc>
      </w:tr>
      <w:tr>
        <w:trPr>
          <w:cantSplit/>
        </w:trPr>
        <w:tc>
          <w:tcPr>
            <w:tcW w:type="dxa" w:w="2127"/>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Guardian / Household Manager</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t>
            </w:r>
          </w:p>
        </w:tc>
      </w:tr>
      <w:tr>
        <w:trPr>
          <w:cantSplit/>
        </w:trPr>
        <w:tc>
          <w:tcPr>
            <w:tcW w:type="dxa" w:w="2127"/>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7"/>
              </w:rPr>
              <w:t>Developer / Integration Partner</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w:t>
            </w:r>
          </w:p>
        </w:tc>
        <w:tc>
          <w:tcPr>
            <w:tcW w:type="dxa" w:w="734"/>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7"/>
              </w:rPr>
              <w:t>S</w:t>
            </w:r>
          </w:p>
        </w:tc>
      </w:tr>
    </w:tbl>
    <w:tbl>
      <w:tblPr>
        <w:tblW w:type="dxa" w:w="9684"/>
        <w:jc w:val="center"/>
        <w:tblLayout w:type="autofit"/>
        <w:tblLook w:firstColumn="1" w:firstRow="1" w:lastColumn="0" w:lastRow="0" w:noHBand="0" w:noVBand="1" w:val="04A0"/>
      </w:tblPr>
      <w:tblGrid>
        <w:gridCol w:w="4842"/>
        <w:gridCol w:w="4842"/>
      </w:tblGrid>
      <w:tr>
        <w:trPr>
          <w:tblHeader w:val="true"/>
          <w:tblHeader w:val="true"/>
        </w:trPr>
        <w:tc>
          <w:tcPr>
            <w:tcW w:type="dxa" w:w="2743"/>
            <w:shd w:fill="17324D"/>
            <w:tcMar>
              <w:top w:w="70" w:type="dxa"/>
              <w:start w:w="120" w:type="dxa"/>
              <w:bottom w:w="70" w:type="dxa"/>
              <w:end w:w="120" w:type="dxa"/>
              <w:left w:w="80" w:type="dxa"/>
              <w:right w:w="80" w:type="dxa"/>
            </w:tcMar>
            <w:vAlign w:val="center"/>
          </w:tcPr>
          <w:p>
            <w:pPr>
              <w:jc w:val="left"/>
            </w:pPr>
            <w:r>
              <w:rPr>
                <w:rFonts w:ascii="Aptos Display" w:hAnsi="Aptos Display" w:eastAsia="Aptos Display"/>
                <w:b/>
                <w:color w:val="FFFFFF"/>
                <w:sz w:val="18"/>
              </w:rPr>
              <w:t>Role</w:t>
            </w:r>
          </w:p>
        </w:tc>
        <w:tc>
          <w:tcPr>
            <w:tcW w:type="dxa" w:w="6721"/>
            <w:shd w:fill="17324D"/>
            <w:tcMar>
              <w:top w:w="70" w:type="dxa"/>
              <w:start w:w="120" w:type="dxa"/>
              <w:bottom w:w="70" w:type="dxa"/>
              <w:end w:w="120" w:type="dxa"/>
              <w:left w:w="80" w:type="dxa"/>
              <w:right w:w="80" w:type="dxa"/>
            </w:tcMar>
            <w:vAlign w:val="center"/>
          </w:tcPr>
          <w:p>
            <w:pPr>
              <w:jc w:val="left"/>
            </w:pPr>
            <w:r>
              <w:rPr>
                <w:rFonts w:ascii="Aptos Display" w:hAnsi="Aptos Display" w:eastAsia="Aptos Display"/>
                <w:b/>
                <w:color w:val="FFFFFF"/>
                <w:sz w:val="18"/>
              </w:rPr>
              <w:t>Purpose and scope</w:t>
            </w:r>
          </w:p>
        </w:tc>
      </w:tr>
      <w:tr>
        <w:trPr>
          <w:cantSplit/>
        </w:trPr>
        <w:tc>
          <w:tcPr>
            <w:tcW w:type="dxa" w:w="2743"/>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Platform Super Admin</w:t>
            </w:r>
          </w:p>
        </w:tc>
        <w:tc>
          <w:tcPr>
            <w:tcW w:type="dxa" w:w="6721"/>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Internal only; tenant lifecycle, platform operations and emergency control. No standing access to customer content.</w:t>
            </w:r>
          </w:p>
        </w:tc>
      </w:tr>
      <w:tr>
        <w:trPr>
          <w:cantSplit/>
        </w:trPr>
        <w:tc>
          <w:tcPr>
            <w:tcW w:type="dxa" w:w="2743"/>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Support Agent</w:t>
            </w:r>
          </w:p>
        </w:tc>
        <w:tc>
          <w:tcPr>
            <w:tcW w:type="dxa" w:w="6721"/>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Tickets and diagnostics; temporary consented support sessions; no unrestricted finance, health or biometric access.</w:t>
            </w:r>
          </w:p>
        </w:tc>
      </w:tr>
      <w:tr>
        <w:trPr>
          <w:cantSplit/>
        </w:trPr>
        <w:tc>
          <w:tcPr>
            <w:tcW w:type="dxa" w:w="2743"/>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Customer Success Manager</w:t>
            </w:r>
          </w:p>
        </w:tc>
        <w:tc>
          <w:tcPr>
            <w:tcW w:type="dxa" w:w="6721"/>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Tenant health, adoption, success plans, renewals and expansion; aggregate operational context.</w:t>
            </w:r>
          </w:p>
        </w:tc>
      </w:tr>
      <w:tr>
        <w:trPr>
          <w:cantSplit/>
        </w:trPr>
        <w:tc>
          <w:tcPr>
            <w:tcW w:type="dxa" w:w="2743"/>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Organization Owner</w:t>
            </w:r>
          </w:p>
        </w:tc>
        <w:tc>
          <w:tcPr>
            <w:tcW w:type="dxa" w:w="6721"/>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Full tenant business authority, subscription, enterprise settings and delegated administration.</w:t>
            </w:r>
          </w:p>
        </w:tc>
      </w:tr>
      <w:tr>
        <w:trPr>
          <w:cantSplit/>
        </w:trPr>
        <w:tc>
          <w:tcPr>
            <w:tcW w:type="dxa" w:w="2743"/>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Regional / Franchise Manager</w:t>
            </w:r>
          </w:p>
        </w:tc>
        <w:tc>
          <w:tcPr>
            <w:tcW w:type="dxa" w:w="6721"/>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Scoped multi-location oversight, standards, comparison, approvals and exception management.</w:t>
            </w:r>
          </w:p>
        </w:tc>
      </w:tr>
      <w:tr>
        <w:trPr>
          <w:cantSplit/>
        </w:trPr>
        <w:tc>
          <w:tcPr>
            <w:tcW w:type="dxa" w:w="2743"/>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Club Manager</w:t>
            </w:r>
          </w:p>
        </w:tc>
        <w:tc>
          <w:tcPr>
            <w:tcW w:type="dxa" w:w="6721"/>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Location operations, staff, finance thresholds, memberships, incidents, schedules and performance.</w:t>
            </w:r>
          </w:p>
        </w:tc>
      </w:tr>
      <w:tr>
        <w:trPr>
          <w:cantSplit/>
        </w:trPr>
        <w:tc>
          <w:tcPr>
            <w:tcW w:type="dxa" w:w="2743"/>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Receptionist</w:t>
            </w:r>
          </w:p>
        </w:tc>
        <w:tc>
          <w:tcPr>
            <w:tcW w:type="dxa" w:w="6721"/>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Check-in, member lookup, routine account resolution, booking, guest registration and permitted POS.</w:t>
            </w:r>
          </w:p>
        </w:tc>
      </w:tr>
      <w:tr>
        <w:trPr>
          <w:cantSplit/>
        </w:trPr>
        <w:tc>
          <w:tcPr>
            <w:tcW w:type="dxa" w:w="2743"/>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Sales Representative</w:t>
            </w:r>
          </w:p>
        </w:tc>
        <w:tc>
          <w:tcPr>
            <w:tcW w:type="dxa" w:w="6721"/>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Leads, trials, offers, approved products, activities and conversion; limited member/financial context.</w:t>
            </w:r>
          </w:p>
        </w:tc>
      </w:tr>
      <w:tr>
        <w:trPr>
          <w:cantSplit/>
        </w:trPr>
        <w:tc>
          <w:tcPr>
            <w:tcW w:type="dxa" w:w="2743"/>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Coach / Personal Trainer</w:t>
            </w:r>
          </w:p>
        </w:tc>
        <w:tc>
          <w:tcPr>
            <w:tcW w:type="dxa" w:w="6721"/>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Assigned clients, sessions, training, progress, permitted health context and contextual messages.</w:t>
            </w:r>
          </w:p>
        </w:tc>
      </w:tr>
      <w:tr>
        <w:trPr>
          <w:cantSplit/>
        </w:trPr>
        <w:tc>
          <w:tcPr>
            <w:tcW w:type="dxa" w:w="2743"/>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Nutritionist</w:t>
            </w:r>
          </w:p>
        </w:tc>
        <w:tc>
          <w:tcPr>
            <w:tcW w:type="dxa" w:w="6721"/>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Assigned clients, nutrition plans, relevant assessments, check-ins and qualified health context.</w:t>
            </w:r>
          </w:p>
        </w:tc>
      </w:tr>
      <w:tr>
        <w:trPr>
          <w:cantSplit/>
        </w:trPr>
        <w:tc>
          <w:tcPr>
            <w:tcW w:type="dxa" w:w="2743"/>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Finance / Accountant</w:t>
            </w:r>
          </w:p>
        </w:tc>
        <w:tc>
          <w:tcPr>
            <w:tcW w:type="dxa" w:w="6721"/>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Invoices, payments, ledger, reconciliation, tax, periods and exports; no coaching details.</w:t>
            </w:r>
          </w:p>
        </w:tc>
      </w:tr>
      <w:tr>
        <w:trPr>
          <w:cantSplit/>
        </w:trPr>
        <w:tc>
          <w:tcPr>
            <w:tcW w:type="dxa" w:w="2743"/>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Inventory / Operations Manager</w:t>
            </w:r>
          </w:p>
        </w:tc>
        <w:tc>
          <w:tcPr>
            <w:tcW w:type="dxa" w:w="6721"/>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Catalog/SKUs, suppliers, purchasing, stock, assets, facilities and maintenance.</w:t>
            </w:r>
          </w:p>
        </w:tc>
      </w:tr>
      <w:tr>
        <w:trPr>
          <w:cantSplit/>
        </w:trPr>
        <w:tc>
          <w:tcPr>
            <w:tcW w:type="dxa" w:w="2743"/>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Staff Member / Instructor</w:t>
            </w:r>
          </w:p>
        </w:tc>
        <w:tc>
          <w:tcPr>
            <w:tcW w:type="dxa" w:w="6721"/>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Own shifts, assigned sessions/classes, attendance, tasks and limited member context.</w:t>
            </w:r>
          </w:p>
        </w:tc>
      </w:tr>
      <w:tr>
        <w:trPr>
          <w:cantSplit/>
        </w:trPr>
        <w:tc>
          <w:tcPr>
            <w:tcW w:type="dxa" w:w="2743"/>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Corporate Benefits Admin</w:t>
            </w:r>
          </w:p>
        </w:tc>
        <w:tc>
          <w:tcPr>
            <w:tcW w:type="dxa" w:w="6721"/>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Corporate eligibility, enrollment and aggregate utilization/billing only.</w:t>
            </w:r>
          </w:p>
        </w:tc>
      </w:tr>
      <w:tr>
        <w:trPr>
          <w:cantSplit/>
        </w:trPr>
        <w:tc>
          <w:tcPr>
            <w:tcW w:type="dxa" w:w="2743"/>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Member</w:t>
            </w:r>
          </w:p>
        </w:tc>
        <w:tc>
          <w:tcPr>
            <w:tcW w:type="dxa" w:w="6721"/>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Own profile, household permissions, access, bookings, plans, payments, health consents and data rights.</w:t>
            </w:r>
          </w:p>
        </w:tc>
      </w:tr>
      <w:tr>
        <w:trPr>
          <w:cantSplit/>
        </w:trPr>
        <w:tc>
          <w:tcPr>
            <w:tcW w:type="dxa" w:w="2743"/>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Guardian / Household Manager</w:t>
            </w:r>
          </w:p>
        </w:tc>
        <w:tc>
          <w:tcPr>
            <w:tcW w:type="dxa" w:w="6721"/>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Authorized dependent actions, bookings, payments and consents according to relationship.</w:t>
            </w:r>
          </w:p>
        </w:tc>
      </w:tr>
      <w:tr>
        <w:trPr>
          <w:cantSplit/>
        </w:trPr>
        <w:tc>
          <w:tcPr>
            <w:tcW w:type="dxa" w:w="2743"/>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color w:val="1F2937"/>
                <w:sz w:val="18"/>
              </w:rPr>
              <w:t>Developer / Integration Partner</w:t>
            </w:r>
          </w:p>
        </w:tc>
        <w:tc>
          <w:tcPr>
            <w:tcW w:type="dxa" w:w="6721"/>
            <w:tcMar>
              <w:top w:w="70" w:type="dxa"/>
              <w:start w:w="110" w:type="dxa"/>
              <w:bottom w:w="70" w:type="dxa"/>
              <w:end w:w="110" w:type="dxa"/>
              <w:left w:w="80" w:type="dxa"/>
              <w:right w:w="80" w:type="dxa"/>
            </w:tcMar>
            <w:vAlign w:val="center"/>
            <w:shd w:fill="FFFFFF"/>
            <w:tcBorders>
              <w:top w:val="single" w:sz="4" w:color="D8E0E8"/>
              <w:start w:val="single" w:sz="4" w:color="D8E0E8"/>
              <w:bottom w:val="single" w:sz="4" w:color="D8E0E8"/>
              <w:end w:val="single" w:sz="4" w:color="D8E0E8"/>
            </w:tcBorders>
          </w:tcPr>
          <w:p>
            <w:pPr>
              <w:jc w:val="left"/>
            </w:pPr>
            <w:r>
              <w:rPr>
                <w:rFonts w:ascii="Aptos" w:hAnsi="Aptos" w:eastAsia="Aptos"/>
                <w:b w:val="0"/>
                <w:color w:val="1F2937"/>
                <w:sz w:val="18"/>
              </w:rPr>
              <w:t>Only tenant-authorized API scopes, sandbox, webhooks and partner operations.</w:t>
            </w:r>
          </w:p>
        </w:tc>
      </w:tr>
    </w:tbl>
    <w:p>
      <w:pPr>
        <w:pStyle w:val="Heading1"/>
        <w:keepNext/>
      </w:pPr>
      <w:r>
        <w:t>9. Canonical Data Model &amp; Data Ownership</w:t>
      </w:r>
    </w:p>
    <w:p>
      <w:pPr>
        <w:spacing w:after="100" w:line="259" w:lineRule="auto"/>
      </w:pPr>
      <w:r>
        <w:rPr>
          <w:rFonts w:ascii="Noto Sans" w:hAnsi="Noto Sans"/>
        </w:rPr>
        <w:t>The canonical model follows aggregate ownership rather than a single shared “member” schema. Member 360 is a read projection assembled from domain-owned records and the event timeline.</w:t>
      </w:r>
    </w:p>
    <w:tbl>
      <w:tblPr>
        <w:tblStyle w:val="TableGrid"/>
        <w:tblW w:type="dxa" w:w="9684"/>
        <w:jc w:val="center"/>
        <w:tblLayout w:type="autofit"/>
        <w:tblLook w:firstColumn="1" w:firstRow="1" w:lastColumn="0" w:lastRow="0" w:noHBand="0" w:noVBand="1" w:val="04A0"/>
      </w:tblPr>
      <w:tblGrid>
        <w:gridCol w:w="2421"/>
        <w:gridCol w:w="2421"/>
        <w:gridCol w:w="2421"/>
        <w:gridCol w:w="2421"/>
      </w:tblGrid>
      <w:tr>
        <w:trPr>
          <w:tblHeader w:val="true"/>
          <w:tblHeader w:val="true"/>
        </w:trPr>
        <w:tc>
          <w:tcPr>
            <w:tcW w:type="dxa" w:w="1702"/>
            <w:shd w:fill="2F5B86"/>
            <w:tcMar>
              <w:top w:w="70" w:type="dxa"/>
              <w:start w:w="90" w:type="dxa"/>
              <w:bottom w:w="70" w:type="dxa"/>
              <w:end w:w="90" w:type="dxa"/>
              <w:left w:w="80" w:type="dxa"/>
              <w:right w:w="80" w:type="dxa"/>
            </w:tcMar>
            <w:vAlign w:val="center"/>
          </w:tcPr>
          <w:p>
            <w:pPr>
              <w:jc w:val="center"/>
            </w:pPr>
            <w:r>
              <w:rPr>
                <w:rFonts w:ascii="Noto Sans" w:hAnsi="Noto Sans"/>
                <w:b/>
                <w:color w:val="FFFFFF"/>
                <w:sz w:val="15"/>
              </w:rPr>
              <w:t>Aggregate Root</w:t>
            </w:r>
          </w:p>
        </w:tc>
        <w:tc>
          <w:tcPr>
            <w:tcW w:type="dxa" w:w="1489"/>
            <w:shd w:fill="2F5B86"/>
            <w:tcMar>
              <w:top w:w="70" w:type="dxa"/>
              <w:start w:w="90" w:type="dxa"/>
              <w:bottom w:w="70" w:type="dxa"/>
              <w:end w:w="90" w:type="dxa"/>
              <w:left w:w="80" w:type="dxa"/>
              <w:right w:w="80" w:type="dxa"/>
            </w:tcMar>
            <w:vAlign w:val="center"/>
          </w:tcPr>
          <w:p>
            <w:pPr>
              <w:jc w:val="center"/>
            </w:pPr>
            <w:r>
              <w:rPr>
                <w:rFonts w:ascii="Noto Sans" w:hAnsi="Noto Sans"/>
                <w:b/>
                <w:color w:val="FFFFFF"/>
                <w:sz w:val="15"/>
              </w:rPr>
              <w:t>Owner</w:t>
            </w:r>
          </w:p>
        </w:tc>
        <w:tc>
          <w:tcPr>
            <w:tcW w:type="dxa" w:w="4397"/>
            <w:shd w:fill="2F5B86"/>
            <w:tcMar>
              <w:top w:w="70" w:type="dxa"/>
              <w:start w:w="90" w:type="dxa"/>
              <w:bottom w:w="70" w:type="dxa"/>
              <w:end w:w="90" w:type="dxa"/>
              <w:left w:w="80" w:type="dxa"/>
              <w:right w:w="80" w:type="dxa"/>
            </w:tcMar>
            <w:vAlign w:val="center"/>
          </w:tcPr>
          <w:p>
            <w:pPr>
              <w:jc w:val="center"/>
            </w:pPr>
            <w:r>
              <w:rPr>
                <w:rFonts w:ascii="Noto Sans" w:hAnsi="Noto Sans"/>
                <w:b/>
                <w:color w:val="FFFFFF"/>
                <w:sz w:val="15"/>
              </w:rPr>
              <w:t>Owns</w:t>
            </w:r>
          </w:p>
        </w:tc>
        <w:tc>
          <w:tcPr>
            <w:tcW w:type="dxa" w:w="2482"/>
            <w:shd w:fill="2F5B86"/>
            <w:tcMar>
              <w:top w:w="70" w:type="dxa"/>
              <w:start w:w="90" w:type="dxa"/>
              <w:bottom w:w="70" w:type="dxa"/>
              <w:end w:w="90" w:type="dxa"/>
              <w:left w:w="80" w:type="dxa"/>
              <w:right w:w="80" w:type="dxa"/>
            </w:tcMar>
            <w:vAlign w:val="center"/>
          </w:tcPr>
          <w:p>
            <w:pPr>
              <w:jc w:val="center"/>
            </w:pPr>
            <w:r>
              <w:rPr>
                <w:rFonts w:ascii="Noto Sans" w:hAnsi="Noto Sans"/>
                <w:b/>
                <w:color w:val="FFFFFF"/>
                <w:sz w:val="15"/>
              </w:rPr>
              <w:t>Key Invariant</w:t>
            </w:r>
          </w:p>
        </w:tc>
      </w:tr>
      <w:tr>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Tenant</w:t>
            </w:r>
          </w:p>
        </w:tc>
        <w:tc>
          <w:tcPr>
            <w:tcW w:type="dxa" w:w="148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PLT-01</w:t>
            </w:r>
          </w:p>
        </w:tc>
        <w:tc>
          <w:tcPr>
            <w:tcW w:type="dxa" w:w="439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Tenant, organization, legal entity, brand, region, location, department, configuration assignment</w:t>
            </w:r>
          </w:p>
        </w:tc>
        <w:tc>
          <w:tcPr>
            <w:tcW w:type="dxa" w:w="248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Every object is tenant or explicitly platform scoped.</w:t>
            </w:r>
          </w:p>
        </w:tc>
      </w:tr>
      <w:tr>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Identity</w:t>
            </w:r>
          </w:p>
        </w:tc>
        <w:tc>
          <w:tcPr>
            <w:tcW w:type="dxa" w:w="148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IAM-01</w:t>
            </w:r>
          </w:p>
        </w:tc>
        <w:tc>
          <w:tcPr>
            <w:tcW w:type="dxa" w:w="439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Authentication identity, session, device, federation link</w:t>
            </w:r>
          </w:p>
        </w:tc>
        <w:tc>
          <w:tcPr>
            <w:tcW w:type="dxa" w:w="248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Authentication is separate from tenant profile.</w:t>
            </w:r>
          </w:p>
        </w:tc>
      </w:tr>
      <w:tr>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Person</w:t>
            </w:r>
          </w:p>
        </w:tc>
        <w:tc>
          <w:tcPr>
            <w:tcW w:type="dxa" w:w="148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PPL-01</w:t>
            </w:r>
          </w:p>
        </w:tc>
        <w:tc>
          <w:tcPr>
            <w:tcW w:type="dxa" w:w="439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Person, profile, relationships, merge provenance</w:t>
            </w:r>
          </w:p>
        </w:tc>
        <w:tc>
          <w:tcPr>
            <w:tcW w:type="dxa" w:w="248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Merge never loses financial/health/source provenance.</w:t>
            </w:r>
          </w:p>
        </w:tc>
      </w:tr>
      <w:tr>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Opportunity</w:t>
            </w:r>
          </w:p>
        </w:tc>
        <w:tc>
          <w:tcPr>
            <w:tcW w:type="dxa" w:w="148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GRO-01</w:t>
            </w:r>
          </w:p>
        </w:tc>
        <w:tc>
          <w:tcPr>
            <w:tcW w:type="dxa" w:w="439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Lead/opportunity stage, owner, activity, trial, offer</w:t>
            </w:r>
          </w:p>
        </w:tc>
        <w:tc>
          <w:tcPr>
            <w:tcW w:type="dxa" w:w="248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Conversion preserves attribution and links to Person.</w:t>
            </w:r>
          </w:p>
        </w:tc>
      </w:tr>
      <w:tr>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Membership</w:t>
            </w:r>
          </w:p>
        </w:tc>
        <w:tc>
          <w:tcPr>
            <w:tcW w:type="dxa" w:w="148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COM-01</w:t>
            </w:r>
          </w:p>
        </w:tc>
        <w:tc>
          <w:tcPr>
            <w:tcW w:type="dxa" w:w="439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Agreement, lifecycle, terms snapshot, entitlement references</w:t>
            </w:r>
          </w:p>
        </w:tc>
        <w:tc>
          <w:tcPr>
            <w:tcW w:type="dxa" w:w="248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Billing and access are coordinated but separate.</w:t>
            </w:r>
          </w:p>
        </w:tc>
      </w:tr>
      <w:tr>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Product/Price</w:t>
            </w:r>
          </w:p>
        </w:tc>
        <w:tc>
          <w:tcPr>
            <w:tcW w:type="dxa" w:w="148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COM-02</w:t>
            </w:r>
          </w:p>
        </w:tc>
        <w:tc>
          <w:tcPr>
            <w:tcW w:type="dxa" w:w="439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Sellable item, effective-dated price/promotion/package</w:t>
            </w:r>
          </w:p>
        </w:tc>
        <w:tc>
          <w:tcPr>
            <w:tcW w:type="dxa" w:w="248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Historical orders keep immutable resolved terms.</w:t>
            </w:r>
          </w:p>
        </w:tc>
      </w:tr>
      <w:tr>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BillingAccount/Invoice</w:t>
            </w:r>
          </w:p>
        </w:tc>
        <w:tc>
          <w:tcPr>
            <w:tcW w:type="dxa" w:w="148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COM-03</w:t>
            </w:r>
          </w:p>
        </w:tc>
        <w:tc>
          <w:tcPr>
            <w:tcW w:type="dxa" w:w="439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Billing schedules, invoices, allocations, payment intents, dunning</w:t>
            </w:r>
          </w:p>
        </w:tc>
        <w:tc>
          <w:tcPr>
            <w:tcW w:type="dxa" w:w="248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Paid status derives from allocated successful payment/credit.</w:t>
            </w:r>
          </w:p>
        </w:tc>
      </w:tr>
      <w:tr>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Ledger</w:t>
            </w:r>
          </w:p>
        </w:tc>
        <w:tc>
          <w:tcPr>
            <w:tcW w:type="dxa" w:w="148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COM-04</w:t>
            </w:r>
          </w:p>
        </w:tc>
        <w:tc>
          <w:tcPr>
            <w:tcW w:type="dxa" w:w="439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Journal, wallet/credit postings, settlements, reconciliation</w:t>
            </w:r>
          </w:p>
        </w:tc>
        <w:tc>
          <w:tcPr>
            <w:tcW w:type="dxa" w:w="248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All balances derive from immutable postings.</w:t>
            </w:r>
          </w:p>
        </w:tc>
      </w:tr>
      <w:tr>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Order</w:t>
            </w:r>
          </w:p>
        </w:tc>
        <w:tc>
          <w:tcPr>
            <w:tcW w:type="dxa" w:w="148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COM-05</w:t>
            </w:r>
          </w:p>
        </w:tc>
        <w:tc>
          <w:tcPr>
            <w:tcW w:type="dxa" w:w="439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Cart, lines, tax/discount snapshots, fulfillment</w:t>
            </w:r>
          </w:p>
        </w:tc>
        <w:tc>
          <w:tcPr>
            <w:tcW w:type="dxa" w:w="248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Completion and external effects are idempotent.</w:t>
            </w:r>
          </w:p>
        </w:tc>
      </w:tr>
      <w:tr>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InventoryItem</w:t>
            </w:r>
          </w:p>
        </w:tc>
        <w:tc>
          <w:tcPr>
            <w:tcW w:type="dxa" w:w="148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COM-06</w:t>
            </w:r>
          </w:p>
        </w:tc>
        <w:tc>
          <w:tcPr>
            <w:tcW w:type="dxa" w:w="439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Stock position, lot, reservation, movement</w:t>
            </w:r>
          </w:p>
        </w:tc>
        <w:tc>
          <w:tcPr>
            <w:tcW w:type="dxa" w:w="248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Available excludes reserved/quarantined/expired.</w:t>
            </w:r>
          </w:p>
        </w:tc>
      </w:tr>
      <w:tr>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ScheduledInstance</w:t>
            </w:r>
          </w:p>
        </w:tc>
        <w:tc>
          <w:tcPr>
            <w:tcW w:type="dxa" w:w="148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OPS-01</w:t>
            </w:r>
          </w:p>
        </w:tc>
        <w:tc>
          <w:tcPr>
            <w:tcW w:type="dxa" w:w="439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Occurrence, resource, capacity, publish state</w:t>
            </w:r>
          </w:p>
        </w:tc>
        <w:tc>
          <w:tcPr>
            <w:tcW w:type="dxa" w:w="248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Conflicts require explicit resolution.</w:t>
            </w:r>
          </w:p>
        </w:tc>
      </w:tr>
      <w:tr>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Booking</w:t>
            </w:r>
          </w:p>
        </w:tc>
        <w:tc>
          <w:tcPr>
            <w:tcW w:type="dxa" w:w="148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OPS-02</w:t>
            </w:r>
          </w:p>
        </w:tc>
        <w:tc>
          <w:tcPr>
            <w:tcW w:type="dxa" w:w="439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Reservation/waitlist/cancel/attendance intent</w:t>
            </w:r>
          </w:p>
        </w:tc>
        <w:tc>
          <w:tcPr>
            <w:tcW w:type="dxa" w:w="248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Eligibility and policy evaluated at relevant state transitions.</w:t>
            </w:r>
          </w:p>
        </w:tc>
      </w:tr>
      <w:tr>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AccessDecision</w:t>
            </w:r>
          </w:p>
        </w:tc>
        <w:tc>
          <w:tcPr>
            <w:tcW w:type="dxa" w:w="148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OPS-03</w:t>
            </w:r>
          </w:p>
        </w:tc>
        <w:tc>
          <w:tcPr>
            <w:tcW w:type="dxa" w:w="439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Credential reference, policy input snapshot, result, reason</w:t>
            </w:r>
          </w:p>
        </w:tc>
        <w:tc>
          <w:tcPr>
            <w:tcW w:type="dxa" w:w="248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Credential identifies; policy/entitlement authorizes.</w:t>
            </w:r>
          </w:p>
        </w:tc>
      </w:tr>
      <w:tr>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Employment</w:t>
            </w:r>
          </w:p>
        </w:tc>
        <w:tc>
          <w:tcPr>
            <w:tcW w:type="dxa" w:w="148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OPS-05</w:t>
            </w:r>
          </w:p>
        </w:tc>
        <w:tc>
          <w:tcPr>
            <w:tcW w:type="dxa" w:w="439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Assignment, qualification, shift, time, compensation context</w:t>
            </w:r>
          </w:p>
        </w:tc>
        <w:tc>
          <w:tcPr>
            <w:tcW w:type="dxa" w:w="248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Employment visibility separated from normal operations.</w:t>
            </w:r>
          </w:p>
        </w:tc>
      </w:tr>
      <w:tr>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Program</w:t>
            </w:r>
          </w:p>
        </w:tc>
        <w:tc>
          <w:tcPr>
            <w:tcW w:type="dxa" w:w="148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COA-02</w:t>
            </w:r>
          </w:p>
        </w:tc>
        <w:tc>
          <w:tcPr>
            <w:tcW w:type="dxa" w:w="439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Versioned training prescription, workout templates, assignment</w:t>
            </w:r>
          </w:p>
        </w:tc>
        <w:tc>
          <w:tcPr>
            <w:tcW w:type="dxa" w:w="248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Logs point to exact version executed.</w:t>
            </w:r>
          </w:p>
        </w:tc>
      </w:tr>
      <w:tr>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NutritionPlan</w:t>
            </w:r>
          </w:p>
        </w:tc>
        <w:tc>
          <w:tcPr>
            <w:tcW w:type="dxa" w:w="148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COA-03</w:t>
            </w:r>
          </w:p>
        </w:tc>
        <w:tc>
          <w:tcPr>
            <w:tcW w:type="dxa" w:w="439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Targets, meal structure, alternatives, assignment/version</w:t>
            </w:r>
          </w:p>
        </w:tc>
        <w:tc>
          <w:tcPr>
            <w:tcW w:type="dxa" w:w="248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Allergen/restriction history survives edits.</w:t>
            </w:r>
          </w:p>
        </w:tc>
      </w:tr>
      <w:tr>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Assessment</w:t>
            </w:r>
          </w:p>
        </w:tc>
        <w:tc>
          <w:tcPr>
            <w:tcW w:type="dxa" w:w="148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COA-04</w:t>
            </w:r>
          </w:p>
        </w:tc>
        <w:tc>
          <w:tcPr>
            <w:tcW w:type="dxa" w:w="439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Measurement provenance, assessment, goal, milestone</w:t>
            </w:r>
          </w:p>
        </w:tc>
        <w:tc>
          <w:tcPr>
            <w:tcW w:type="dxa" w:w="248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Observed value/unit/source/time immutable.</w:t>
            </w:r>
          </w:p>
        </w:tc>
      </w:tr>
      <w:tr>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Consent/Incident</w:t>
            </w:r>
          </w:p>
        </w:tc>
        <w:tc>
          <w:tcPr>
            <w:tcW w:type="dxa" w:w="148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COA-05 / SEC-01</w:t>
            </w:r>
          </w:p>
        </w:tc>
        <w:tc>
          <w:tcPr>
            <w:tcW w:type="dxa" w:w="439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Consent version/evidence; incident/corrective actions</w:t>
            </w:r>
          </w:p>
        </w:tc>
        <w:tc>
          <w:tcPr>
            <w:tcW w:type="dxa" w:w="248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Withdrawal does not erase historical signed fact.</w:t>
            </w:r>
          </w:p>
        </w:tc>
      </w:tr>
      <w:tr>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Conversation</w:t>
            </w:r>
          </w:p>
        </w:tc>
        <w:tc>
          <w:tcPr>
            <w:tcW w:type="dxa" w:w="148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ENG-01</w:t>
            </w:r>
          </w:p>
        </w:tc>
        <w:tc>
          <w:tcPr>
            <w:tcW w:type="dxa" w:w="439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Thread, message, channel delivery evidence, assignment</w:t>
            </w:r>
          </w:p>
        </w:tc>
        <w:tc>
          <w:tcPr>
            <w:tcW w:type="dxa" w:w="248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Permission-aware context links; immutable message evidence.</w:t>
            </w:r>
          </w:p>
        </w:tc>
      </w:tr>
      <w:tr>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WorkflowRun/Case</w:t>
            </w:r>
          </w:p>
        </w:tc>
        <w:tc>
          <w:tcPr>
            <w:tcW w:type="dxa" w:w="148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AUT-01/02</w:t>
            </w:r>
          </w:p>
        </w:tc>
        <w:tc>
          <w:tcPr>
            <w:tcW w:type="dxa" w:w="439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Durable automated/human work state</w:t>
            </w:r>
          </w:p>
        </w:tc>
        <w:tc>
          <w:tcPr>
            <w:tcW w:type="dxa" w:w="248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Every step records identity, inputs, output and recovery state.</w:t>
            </w:r>
          </w:p>
        </w:tc>
      </w:tr>
      <w:tr>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IntegrationInstall/Device</w:t>
            </w:r>
          </w:p>
        </w:tc>
        <w:tc>
          <w:tcPr>
            <w:tcW w:type="dxa" w:w="148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ECO-02/03</w:t>
            </w:r>
          </w:p>
        </w:tc>
        <w:tc>
          <w:tcPr>
            <w:tcW w:type="dxa" w:w="439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Tenant auth/config/health/credentials/sync/device identity</w:t>
            </w:r>
          </w:p>
        </w:tc>
        <w:tc>
          <w:tcPr>
            <w:tcW w:type="dxa" w:w="248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Revocation stops access/data flow and is provable.</w:t>
            </w:r>
          </w:p>
        </w:tc>
      </w:tr>
      <w:tr>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ContentItem/BrandedApp</w:t>
            </w:r>
          </w:p>
        </w:tc>
        <w:tc>
          <w:tcPr>
            <w:tcW w:type="dxa" w:w="148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WHT-01</w:t>
            </w:r>
          </w:p>
        </w:tc>
        <w:tc>
          <w:tcPr>
            <w:tcW w:type="dxa" w:w="439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Localized content/app config/release state</w:t>
            </w:r>
          </w:p>
        </w:tc>
        <w:tc>
          <w:tcPr>
            <w:tcW w:type="dxa" w:w="248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Published versions immutable; rollback points to approved version.</w:t>
            </w:r>
          </w:p>
        </w:tc>
      </w:tr>
    </w:tbl>
    <w:p>
      <w:pPr>
        <w:spacing w:after="40"/>
      </w:pPr>
    </w:p>
    <w:p>
      <w:pPr>
        <w:pStyle w:val="Heading2"/>
        <w:keepNext/>
      </w:pPr>
      <w:r>
        <w:t>9.1 Persistence Conventions</w:t>
      </w:r>
    </w:p>
    <w:p>
      <w:pPr>
        <w:pStyle w:val="Bullet1"/>
        <w:spacing w:after="80" w:line="252" w:lineRule="auto"/>
      </w:pPr>
      <w:r>
        <w:rPr>
          <w:rFonts w:ascii="Noto Sans" w:hAnsi="Noto Sans"/>
        </w:rPr>
        <w:t>Identifiers: UUIDv7 for distributed sortable IDs; external human-friendly numbers are separate scoped sequences.</w:t>
      </w:r>
    </w:p>
    <w:p>
      <w:pPr>
        <w:pStyle w:val="Bullet1"/>
        <w:spacing w:after="80" w:line="252" w:lineRule="auto"/>
      </w:pPr>
      <w:r>
        <w:rPr>
          <w:rFonts w:ascii="Noto Sans" w:hAnsi="Noto Sans"/>
        </w:rPr>
        <w:t>Every mutable table: id, tenant_id where applicable, version, created_at, updated_at, created_by/updated_by when business-relevant.</w:t>
      </w:r>
    </w:p>
    <w:p>
      <w:pPr>
        <w:pStyle w:val="Bullet1"/>
        <w:spacing w:after="80" w:line="252" w:lineRule="auto"/>
      </w:pPr>
      <w:r>
        <w:rPr>
          <w:rFonts w:ascii="Noto Sans" w:hAnsi="Noto Sans"/>
        </w:rPr>
        <w:t>Time: store UTC instants plus explicit timezone/location context for scheduling; never infer historical timezone from current tenant setting.</w:t>
      </w:r>
    </w:p>
    <w:p>
      <w:pPr>
        <w:pStyle w:val="Bullet1"/>
        <w:spacing w:after="80" w:line="252" w:lineRule="auto"/>
      </w:pPr>
      <w:r>
        <w:rPr>
          <w:rFonts w:ascii="Noto Sans" w:hAnsi="Noto Sans"/>
        </w:rPr>
        <w:t>Money: integer minor units + currency_code. JOD stores fils (1 JOD = 1000 minor units). Tax amounts retain resolved rate/jurisdiction snapshot.</w:t>
      </w:r>
    </w:p>
    <w:p>
      <w:pPr>
        <w:pStyle w:val="Bullet1"/>
        <w:spacing w:after="80" w:line="252" w:lineRule="auto"/>
      </w:pPr>
      <w:r>
        <w:rPr>
          <w:rFonts w:ascii="Noto Sans" w:hAnsi="Noto Sans"/>
        </w:rPr>
        <w:t>Effective-dated policy/commercial records use valid_from/valid_to and immutable version references for historical transactions.</w:t>
      </w:r>
    </w:p>
    <w:p>
      <w:pPr>
        <w:pStyle w:val="Bullet1"/>
        <w:spacing w:after="80" w:line="252" w:lineRule="auto"/>
      </w:pPr>
      <w:r>
        <w:rPr>
          <w:rFonts w:ascii="Noto Sans" w:hAnsi="Noto Sans"/>
        </w:rPr>
        <w:t>Soft deletion is not a generic default. Use domain lifecycle state; deletion/tombstone exists only where semantics require it.</w:t>
      </w:r>
    </w:p>
    <w:p>
      <w:pPr>
        <w:pStyle w:val="Bullet1"/>
        <w:spacing w:after="80" w:line="252" w:lineRule="auto"/>
      </w:pPr>
      <w:r>
        <w:rPr>
          <w:rFonts w:ascii="Noto Sans" w:hAnsi="Noto Sans"/>
        </w:rPr>
        <w:t>Restricted fields may use envelope encryption/tokenization and column-level access/masking. Never log raw secrets, card PAN, biometric templates or health notes.</w:t>
      </w:r>
    </w:p>
    <w:p>
      <w:pPr>
        <w:pStyle w:val="Bullet1"/>
        <w:spacing w:after="80" w:line="252" w:lineRule="auto"/>
      </w:pPr>
      <w:r>
        <w:rPr>
          <w:rFonts w:ascii="Noto Sans" w:hAnsi="Noto Sans"/>
        </w:rPr>
        <w:t>Cross-domain references are IDs, not ORM relationships that allow implicit table traversal. Read models may denormalize explicitly.</w:t>
      </w:r>
    </w:p>
    <w:p>
      <w:pPr>
        <w:pStyle w:val="Heading2"/>
        <w:keepNext/>
      </w:pPr>
      <w:r>
        <w:t>9.2 Core Record Shapes</w:t>
      </w:r>
    </w:p>
    <w:p>
      <w:pPr>
        <w:pStyle w:val="Heading2"/>
      </w:pPr>
      <w:r>
        <w:t>9.3 Physical Persistence Contract</w:t>
      </w:r>
    </w:p>
    <w:p>
      <w:pPr>
        <w:pStyle w:val="Bullet1"/>
      </w:pPr>
      <w:r>
        <w:t>The V1 product database uses a small number of schemas (app, iam, ledger, audit) rather than one schema per domain. Domain ownership is enforced by repository/module boundaries and CI SQL-reference linting; module-prefixed table names make ownership explicit.</w:t>
      </w:r>
    </w:p>
    <w:p>
      <w:pPr>
        <w:pStyle w:val="Bullet1"/>
      </w:pPr>
      <w:r>
        <w:t>All mutable aggregate roots carry id UUIDv7, tenant_id, version BIGINT, created_at, updated_at and classification metadata where needed. Optimistic concurrency compares version on consequence-bearing state transitions.</w:t>
      </w:r>
    </w:p>
    <w:p>
      <w:pPr>
        <w:pStyle w:val="Bullet1"/>
      </w:pPr>
      <w:r>
        <w:t>Cross-domain references are stable IDs without database foreign keys across ownership boundaries unless the lifecycle is truly shared. Same-domain referential constraints are enforced in PostgreSQL. Read models may join through controlled projection builders but never become write authority.</w:t>
      </w:r>
    </w:p>
    <w:p>
      <w:pPr>
        <w:pStyle w:val="Bullet1"/>
      </w:pPr>
      <w:r>
        <w:t>High-volume append tables are time-partitioned as described in §22.4; financial, audit and access evidence use append-only semantics with correction/supersession rather than destructive updates.</w:t>
      </w:r>
    </w:p>
    <w:tbl>
      <w:tblPr>
        <w:tblStyle w:val="TableGrid"/>
        <w:tblW w:type="dxa" w:w="9684"/>
        <w:tblLayout w:type="autofit"/>
        <w:tblLook w:firstColumn="1" w:firstRow="1" w:lastColumn="0" w:lastRow="0" w:noHBand="0" w:noVBand="1" w:val="04A0"/>
        <w:jc w:val="center"/>
      </w:tblPr>
      <w:tblGrid>
        <w:gridCol w:w="9684"/>
      </w:tblGrid>
      <w:tr>
        <w:trPr>
          <w:cantSplit/>
          <w:tblHeader w:val="true"/>
        </w:trPr>
        <w:tc>
          <w:tcPr>
            <w:tcW w:type="dxa" w:w="9684"/>
            <w:shd w:fill="F7F8FA"/>
            <w:tcMar>
              <w:top w:w="70" w:type="dxa"/>
              <w:start w:w="150" w:type="dxa"/>
              <w:bottom w:w="70" w:type="dxa"/>
              <w:end w:w="150" w:type="dxa"/>
              <w:left w:w="80" w:type="dxa"/>
              <w:right w:w="80" w:type="dxa"/>
            </w:tcMar>
            <w:vAlign w:val="center"/>
          </w:tcPr>
          <w:p>
            <w:pPr>
              <w:spacing w:line="240" w:lineRule="auto" w:after="0"/>
            </w:pPr>
            <w:r>
              <w:rPr>
                <w:rFonts w:ascii="DejaVu Sans Mono" w:hAnsi="DejaVu Sans Mono"/>
                <w:b/>
                <w:color w:val="263238"/>
                <w:sz w:val="16"/>
              </w:rPr>
              <w:t>Money { minor_units: int64, currency: ISO4217 }</w:t>
              <w:br/>
              <w:t>TenantContext { tenant_id, organization_id?, brand_id?, location_id?, actor, assurance, purpose, correlation_id }</w:t>
              <w:br/>
              <w:t>AggregateMetadata { id: UUIDv7, tenant_id, version: int, created_at, updated_at }</w:t>
              <w:br/>
              <w:t>EffectivePolicy { policy_id, version, valid_from, valid_to?, scope, source, approved_by }</w:t>
              <w:br/>
            </w:r>
          </w:p>
        </w:tc>
      </w:tr>
    </w:tbl>
    <w:p>
      <w:pPr>
        <w:spacing w:after="40"/>
      </w:pPr>
    </w:p>
    <w:p>
      <w:pPr>
        <w:pStyle w:val="Heading1"/>
        <w:keepNext/>
      </w:pPr>
      <w:r>
        <w:t>10. Domain Architecture - 57 Governed Domains</w:t>
      </w:r>
    </w:p>
    <w:p>
      <w:pPr>
        <w:spacing w:after="100" w:line="259" w:lineRule="auto"/>
      </w:pPr>
      <w:r>
        <w:rPr>
          <w:rFonts w:ascii="Noto Sans" w:hAnsi="Noto Sans"/>
        </w:rPr>
        <w:t>The following catalog is the authoritative technical boundary map. It preserves the Blueprint domain ownership, entities, dependencies, key events and controls while adding technical realization rules for storage, APIs, security and failure handling.</w:t>
      </w:r>
    </w:p>
    <w:p>
      <w:pPr>
        <w:pStyle w:val="Heading2"/>
        <w:keepNext/>
      </w:pPr>
      <w:r>
        <w:t>10.1 PLT-01 - Tenant, Organization, Brand &amp; Location Management</w:t>
      </w:r>
    </w:p>
    <w:tbl>
      <w:tblPr>
        <w:tblStyle w:val="TableGrid"/>
        <w:tblW w:type="dxa" w:w="9684"/>
        <w:jc w:val="center"/>
        <w:tblLayout w:type="autofit"/>
        <w:tblLook w:firstColumn="1" w:firstRow="1" w:lastColumn="0" w:lastRow="0" w:noHBand="0" w:noVBand="1" w:val="04A0"/>
      </w:tblPr>
      <w:tblGrid>
        <w:gridCol w:w="4842"/>
        <w:gridCol w:w="4842"/>
      </w:tblGrid>
      <w:tr>
        <w:trPr>
          <w:tblHeader w:val="true"/>
          <w:tblHeader w:val="true"/>
          <w:tblHeader w:val="true"/>
        </w:trPr>
        <w:tc>
          <w:tcPr>
            <w:tcW w:type="dxa" w:w="2198"/>
            <w:shd w:fill="2E6F73"/>
            <w:tcMar>
              <w:top w:w="70" w:type="dxa"/>
              <w:start w:w="90" w:type="dxa"/>
              <w:bottom w:w="70" w:type="dxa"/>
              <w:end w:w="90" w:type="dxa"/>
              <w:left w:w="80" w:type="dxa"/>
              <w:right w:w="80" w:type="dxa"/>
            </w:tcMar>
            <w:vAlign w:val="center"/>
          </w:tcPr>
          <w:p>
            <w:pPr>
              <w:spacing w:before="0" w:after="30"/>
              <w:jc w:val="center"/>
            </w:pPr>
            <w:r>
              <w:rPr>
                <w:rFonts w:ascii="Noto Sans" w:hAnsi="Noto Sans"/>
                <w:b/>
                <w:color w:val="FFFFFF"/>
                <w:sz w:val="16"/>
              </w:rPr>
              <w:t>Attribute</w:t>
            </w:r>
          </w:p>
        </w:tc>
        <w:tc>
          <w:tcPr>
            <w:tcW w:type="dxa" w:w="7588"/>
            <w:shd w:fill="2E6F73"/>
            <w:tcMar>
              <w:top w:w="70" w:type="dxa"/>
              <w:start w:w="90" w:type="dxa"/>
              <w:bottom w:w="70" w:type="dxa"/>
              <w:end w:w="90" w:type="dxa"/>
              <w:left w:w="80" w:type="dxa"/>
              <w:right w:w="80" w:type="dxa"/>
            </w:tcMar>
            <w:vAlign w:val="center"/>
          </w:tcPr>
          <w:p>
            <w:pPr>
              <w:spacing w:before="0" w:after="30"/>
              <w:jc w:val="center"/>
            </w:pPr>
            <w:r>
              <w:rPr>
                <w:rFonts w:ascii="Noto Sans" w:hAnsi="Noto Sans"/>
                <w:b/>
                <w:color w:val="FFFFFF"/>
                <w:sz w:val="16"/>
              </w:rPr>
              <w:t>Technical Design</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Blueprint phase</w:t>
            </w:r>
          </w:p>
        </w:tc>
        <w:tc>
          <w:tcPr>
            <w:tcW w:type="dxa" w:w="758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Foundation</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Primary surfaces</w:t>
            </w:r>
          </w:p>
        </w:tc>
        <w:tc>
          <w:tcPr>
            <w:tcW w:type="dxa" w:w="758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Internal SaaS Console; Admin Web; APIs</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Blueprint dependencies</w:t>
            </w:r>
          </w:p>
        </w:tc>
        <w:tc>
          <w:tcPr>
            <w:tcW w:type="dxa" w:w="758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Platform foundation</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Authoritative entities</w:t>
            </w:r>
          </w:p>
        </w:tc>
        <w:tc>
          <w:tcPr>
            <w:tcW w:type="dxa" w:w="758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Tenant, Organization, LegalEntity, Brand, Region, Location, Department, CostCenter, TenantConfiguration</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Key events</w:t>
            </w:r>
          </w:p>
        </w:tc>
        <w:tc>
          <w:tcPr>
            <w:tcW w:type="dxa" w:w="758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tenant.provisioned, tenant.activated, tenant.suspended, organization.updated, location.opened, brand.created</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Primary store</w:t>
            </w:r>
          </w:p>
        </w:tc>
        <w:tc>
          <w:tcPr>
            <w:tcW w:type="dxa" w:w="7588"/>
            <w:tcMar>
              <w:top w:w="70" w:type="dxa"/>
              <w:start w:w="85" w:type="dxa"/>
              <w:bottom w:w="70" w:type="dxa"/>
              <w:end w:w="85" w:type="dxa"/>
              <w:left w:w="80" w:type="dxa"/>
              <w:right w:w="80" w:type="dxa"/>
            </w:tcMar>
            <w:vAlign w:val="center"/>
          </w:tcPr>
          <w:p>
            <w:pPr>
              <w:spacing w:before="0" w:after="30"/>
            </w:pPr>
            <w:r>
              <w:rPr>
                <w:sz w:val="16"/>
              </w:rPr>
              <w:t>Control-plane PostgreSQL database; module-prefixed tables; separate runtime role from product plane.</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Data classification</w:t>
            </w:r>
          </w:p>
        </w:tc>
        <w:tc>
          <w:tcPr>
            <w:tcW w:type="dxa" w:w="758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Confidential/tenant-scoped</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Continuity tier</w:t>
            </w:r>
          </w:p>
        </w:tc>
        <w:tc>
          <w:tcPr>
            <w:tcW w:type="dxa" w:w="7588"/>
            <w:tcMar>
              <w:top w:w="70" w:type="dxa"/>
              <w:start w:w="85" w:type="dxa"/>
              <w:bottom w:w="70" w:type="dxa"/>
              <w:end w:w="85" w:type="dxa"/>
              <w:left w:w="80" w:type="dxa"/>
              <w:right w:w="80" w:type="dxa"/>
            </w:tcMar>
            <w:vAlign w:val="center"/>
          </w:tcPr>
          <w:p>
            <w:pPr>
              <w:spacing w:before="0" w:after="30"/>
            </w:pPr>
            <w:r>
              <w:rPr>
                <w:sz w:val="16"/>
              </w:rPr>
              <w:t>Tier 1</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Technical interface</w:t>
            </w:r>
          </w:p>
        </w:tc>
        <w:tc>
          <w:tcPr>
            <w:tcW w:type="dxa" w:w="758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Domain command/query interface; no direct table access.</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Async/workflow contract</w:t>
            </w:r>
          </w:p>
        </w:tc>
        <w:tc>
          <w:tcPr>
            <w:tcW w:type="dxa" w:w="758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Transactional outbox for state changes; idempotent consumers. Durable workflow orchestration for multi-step/timer/provider processes.</w:t>
            </w:r>
          </w:p>
        </w:tc>
      </w:tr>
      <w:tr>
        <w:tc>
          <w:tcPr>
            <w:tcW w:type="dxa" w:w="4842"/>
            <w:tcMar>
              <w:top w:w="70" w:type="dxa"/>
              <w:left w:w="80" w:type="dxa"/>
              <w:bottom w:w="70" w:type="dxa"/>
              <w:right w:w="80" w:type="dxa"/>
            </w:tcMar>
            <w:vAlign w:val="center"/>
          </w:tcPr>
          <w:p>
            <w:pPr>
              <w:spacing w:before="0" w:after="30"/>
            </w:pPr>
            <w:r>
              <w:rPr>
                <w:sz w:val="16"/>
              </w:rPr>
              <w:t>Implementation slice</w:t>
            </w:r>
          </w:p>
        </w:tc>
        <w:tc>
          <w:tcPr>
            <w:tcW w:type="dxa" w:w="4842"/>
            <w:tcMar>
              <w:top w:w="70" w:type="dxa"/>
              <w:left w:w="80" w:type="dxa"/>
              <w:bottom w:w="70" w:type="dxa"/>
              <w:right w:w="80" w:type="dxa"/>
            </w:tcMar>
            <w:vAlign w:val="center"/>
          </w:tcPr>
          <w:p>
            <w:pPr>
              <w:spacing w:before="0" w:after="30"/>
            </w:pPr>
            <w:r>
              <w:rPr>
                <w:sz w:val="16"/>
              </w:rPr>
              <w:t>Foundation</w:t>
            </w:r>
          </w:p>
        </w:tc>
      </w:tr>
    </w:tbl>
    <w:p>
      <w:pPr>
        <w:spacing w:after="40"/>
      </w:pPr>
    </w:p>
    <w:p>
      <w:pPr>
        <w:spacing w:after="80" w:line="259" w:lineRule="auto"/>
      </w:pPr>
      <w:r>
        <w:rPr>
          <w:rFonts w:ascii="Noto Sans" w:hAnsi="Noto Sans"/>
        </w:rPr>
        <w:t>Provide the isolation and organizational hierarchy on which every product and SaaS capability depends.</w:t>
      </w:r>
    </w:p>
    <w:p>
      <w:pPr>
        <w:pStyle w:val="Heading3"/>
        <w:keepNext/>
      </w:pPr>
      <w:r>
        <w:t>Required Capabilities Preserved</w:t>
      </w:r>
    </w:p>
    <w:p>
      <w:pPr>
        <w:pStyle w:val="Bullet1"/>
        <w:spacing w:after="40" w:line="252" w:lineRule="auto"/>
      </w:pPr>
      <w:r>
        <w:rPr>
          <w:rFonts w:ascii="Noto Sans" w:hAnsi="Noto Sans"/>
        </w:rPr>
        <w:t>Provision, activate, suspend, archive and delete tenants through a controlled lifecycle.</w:t>
      </w:r>
    </w:p>
    <w:p>
      <w:pPr>
        <w:pStyle w:val="Bullet1"/>
        <w:spacing w:after="40" w:line="252" w:lineRule="auto"/>
      </w:pPr>
      <w:r>
        <w:rPr>
          <w:rFonts w:ascii="Noto Sans" w:hAnsi="Noto Sans"/>
        </w:rPr>
        <w:t>Model organization, legal entity, brand, region, location, department and cost-center hierarchies.</w:t>
      </w:r>
    </w:p>
    <w:p>
      <w:pPr>
        <w:pStyle w:val="Bullet1"/>
        <w:spacing w:after="40" w:line="252" w:lineRule="auto"/>
      </w:pPr>
      <w:r>
        <w:rPr>
          <w:rFonts w:ascii="Noto Sans" w:hAnsi="Noto Sans"/>
        </w:rPr>
        <w:t>Enforce tenant-aware identifiers, storage paths, search indexes, events, caches, logs and background jobs.</w:t>
      </w:r>
    </w:p>
    <w:p>
      <w:pPr>
        <w:pStyle w:val="Bullet1"/>
        <w:spacing w:after="40" w:line="252" w:lineRule="auto"/>
      </w:pPr>
      <w:r>
        <w:rPr>
          <w:rFonts w:ascii="Noto Sans" w:hAnsi="Noto Sans"/>
        </w:rPr>
        <w:t>Support tenant templates, cloning, defaults, regional settings and configuration inheritance.</w:t>
      </w:r>
    </w:p>
    <w:p>
      <w:pPr>
        <w:pStyle w:val="Bullet1"/>
        <w:spacing w:after="40" w:line="252" w:lineRule="auto"/>
      </w:pPr>
      <w:r>
        <w:rPr>
          <w:rFonts w:ascii="Noto Sans" w:hAnsi="Noto Sans"/>
        </w:rPr>
        <w:t>Provide data residency, deployment-region and encryption-key assignment policies.</w:t>
      </w:r>
    </w:p>
    <w:p>
      <w:pPr>
        <w:pStyle w:val="Bullet1"/>
        <w:spacing w:after="40" w:line="252" w:lineRule="auto"/>
      </w:pPr>
      <w:r>
        <w:rPr>
          <w:rFonts w:ascii="Noto Sans" w:hAnsi="Noto Sans"/>
        </w:rPr>
        <w:t>Allow multi-brand ownership with separate branding, catalogs, pricing, domains, applications and policies.</w:t>
      </w:r>
    </w:p>
    <w:p>
      <w:pPr>
        <w:pStyle w:val="Bullet1"/>
        <w:spacing w:after="40" w:line="252" w:lineRule="auto"/>
      </w:pPr>
      <w:r>
        <w:rPr>
          <w:rFonts w:ascii="Noto Sans" w:hAnsi="Noto Sans"/>
        </w:rPr>
        <w:t>Maintain tenant lifecycle history and prevent hard deletion before legal, billing and retention gates pass.</w:t>
      </w:r>
    </w:p>
    <w:p>
      <w:pPr>
        <w:pStyle w:val="Heading3"/>
        <w:keepNext/>
      </w:pPr>
      <w:r>
        <w:t>Critical Controls</w:t>
      </w:r>
    </w:p>
    <w:p>
      <w:pPr>
        <w:pStyle w:val="Bullet1"/>
        <w:spacing w:after="40" w:line="252" w:lineRule="auto"/>
      </w:pPr>
      <w:r>
        <w:rPr>
          <w:rFonts w:ascii="Noto Sans" w:hAnsi="Noto Sans"/>
        </w:rPr>
        <w:t>No cross-tenant query, cache, file, event or search result is permitted.</w:t>
      </w:r>
    </w:p>
    <w:p>
      <w:pPr>
        <w:pStyle w:val="Bullet1"/>
        <w:spacing w:after="40" w:line="252" w:lineRule="auto"/>
      </w:pPr>
      <w:r>
        <w:rPr>
          <w:rFonts w:ascii="Noto Sans" w:hAnsi="Noto Sans"/>
        </w:rPr>
        <w:t>Destructive lifecycle actions require approvals, retention checks and an immutable audit record.</w:t>
      </w:r>
    </w:p>
    <w:p>
      <w:pPr>
        <w:pStyle w:val="Heading3"/>
        <w:keepNext/>
      </w:pPr>
      <w:r>
        <w:t>Required Outcomes</w:t>
      </w:r>
    </w:p>
    <w:p>
      <w:pPr>
        <w:pStyle w:val="Bullet1"/>
        <w:spacing w:after="40" w:line="252" w:lineRule="auto"/>
      </w:pPr>
      <w:r>
        <w:rPr>
          <w:rFonts w:ascii="Noto Sans" w:hAnsi="Noto Sans"/>
        </w:rPr>
        <w:t>New tenant can be ready with secure defaults in minutes.</w:t>
      </w:r>
    </w:p>
    <w:p>
      <w:pPr>
        <w:pStyle w:val="Bullet1"/>
        <w:spacing w:after="40" w:line="252" w:lineRule="auto"/>
      </w:pPr>
      <w:r>
        <w:rPr>
          <w:rFonts w:ascii="Noto Sans" w:hAnsi="Noto Sans"/>
        </w:rPr>
        <w:t>A chain can manage multiple brands and regions without duplicated data or custom code.</w:t>
      </w:r>
    </w:p>
    <w:p>
      <w:pPr>
        <w:pStyle w:val="Heading3"/>
        <w:keepNext/>
      </w:pPr>
      <w:r>
        <w:t>Technical Realization Notes</w:t>
      </w:r>
    </w:p>
    <w:p>
      <w:pPr>
        <w:pStyle w:val="Bullet1"/>
        <w:spacing w:after="40" w:line="252" w:lineRule="auto"/>
      </w:pPr>
      <w:r>
        <w:t>Authority &amp; storage: Control-plane PostgreSQL database; module-prefixed tables; separate runtime role from product plane. Authoritative entities/tables are Tenant, Organization, LegalEntity, Brand, Region, Location, Department, CostCenter, TenantConfiguration.</w:t>
      </w:r>
    </w:p>
    <w:p>
      <w:pPr>
        <w:pStyle w:val="Bullet1"/>
        <w:spacing w:after="40" w:line="252" w:lineRule="auto"/>
      </w:pPr>
      <w:r>
        <w:t>Command inventory: ProvisionTenant, ActivateTenant, SuspendTenant, ChangeOrgHierarchy, AssignRegion, RelocateTenant, ArchiveTenant. Every command declares permission, idempotency, expected aggregate version and transaction boundary.</w:t>
      </w:r>
    </w:p>
    <w:p>
      <w:pPr>
        <w:pStyle w:val="Bullet1"/>
        <w:spacing w:after="40" w:line="252" w:lineRule="auto"/>
      </w:pPr>
      <w:r>
        <w:t>Queries/read models: List/detail and history projections for Tenant, Organization, LegalEntity, Brand; role/surface-specific attention/summary read models for Internal SaaS Console; Admin Web; APIs; every projection exposes freshness/version metadata when asynchronously built.</w:t>
      </w:r>
    </w:p>
    <w:p>
      <w:pPr>
        <w:pStyle w:val="Bullet1"/>
        <w:spacing w:after="40" w:line="252" w:lineRule="auto"/>
      </w:pPr>
      <w:r>
        <w:t>Indexes/concurrency: tenant-leading indexes for primary list/detail paths; unique external/provider identifiers are scoped by tenant/provider; aggregate version supports optimistic concurrency.</w:t>
      </w:r>
    </w:p>
    <w:p>
      <w:pPr>
        <w:pStyle w:val="Bullet1"/>
      </w:pPr>
      <w:r>
        <w:t>Tenant placement/relocation uses the §7.5 epoch-based freeze-copy-verify-switch workflow; runtime DB role is NOBYPASSRLS and every tenant table uses FORCE RLS.</w:t>
      </w:r>
    </w:p>
    <w:p>
      <w:pPr>
        <w:pStyle w:val="Bullet1"/>
      </w:pPr>
      <w:r>
        <w:t>Published events: tenant.provisioned, tenant.activated, tenant.suspended, organization.updated, location.opened, brand.created. Consumed dependencies: Platform foundation; dependencies are accessed by stable contracts/projections, never direct write-table joins.</w:t>
      </w:r>
    </w:p>
    <w:p>
      <w:pPr>
        <w:pStyle w:val="Bullet1"/>
      </w:pPr>
      <w:r>
        <w:t>Failure/degraded behavior: Write commands fail atomically; asynchronous effects retry idempotently; stale read models carry freshness and cannot authorize a consequence-bearing mutation beyond budget.</w:t>
      </w:r>
    </w:p>
    <w:p>
      <w:pPr>
        <w:pStyle w:val="Bullet1"/>
      </w:pPr>
      <w:r>
        <w:t>Security/privacy: classification is enforced at field/resource level; tenant context and authorization are mandatory. Restricted data follows §21 controls; support/break-glass access creates delegated actor evidence.</w:t>
      </w:r>
    </w:p>
    <w:p>
      <w:pPr>
        <w:pStyle w:val="Bullet1"/>
      </w:pPr>
      <w:r>
        <w:t>SLI/SLO: Tier-1 control path 99.95%+; policy/tenant resolution p95 &lt;100 ms in-process/cache where applicable; zero cross-tenant/privileged control breaches.</w:t>
      </w:r>
    </w:p>
    <w:p>
      <w:pPr>
        <w:pStyle w:val="Bullet1"/>
      </w:pPr>
      <w:r>
        <w:t>Tests/runbook: invariant/property tests for each state transition; contract tests for APIs/events; tenant isolation negative test where tenant-owned; runbook RB-PLT-01 covers stuck commands, reconciliation, provider/dependency outage and repair without history rewrite.</w:t>
      </w:r>
    </w:p>
    <w:p>
      <w:pPr>
        <w:pStyle w:val="Heading2"/>
        <w:keepNext/>
      </w:pPr>
      <w:r>
        <w:t>10.2 PLT-02 - Configuration, Feature Flags &amp; Experimentation</w:t>
      </w:r>
    </w:p>
    <w:tbl>
      <w:tblPr>
        <w:tblStyle w:val="TableGrid"/>
        <w:tblW w:type="dxa" w:w="9684"/>
        <w:jc w:val="center"/>
        <w:tblLayout w:type="autofit"/>
        <w:tblLook w:firstColumn="1" w:firstRow="1" w:lastColumn="0" w:lastRow="0" w:noHBand="0" w:noVBand="1" w:val="04A0"/>
      </w:tblPr>
      <w:tblGrid>
        <w:gridCol w:w="4842"/>
        <w:gridCol w:w="4842"/>
      </w:tblGrid>
      <w:tr>
        <w:trPr>
          <w:tblHeader w:val="true"/>
          <w:tblHeader w:val="true"/>
        </w:trPr>
        <w:tc>
          <w:tcPr>
            <w:tcW w:type="dxa" w:w="219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Attribute</w:t>
            </w:r>
          </w:p>
        </w:tc>
        <w:tc>
          <w:tcPr>
            <w:tcW w:type="dxa" w:w="758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Technical Design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phase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Foundation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surfaces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Internal SaaS Console; Admin Web; Mobile Apps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dependencies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PLT-01</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Authoritative entities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ConfigurationDefinition, ConfigurationValue, FeatureFlag, TargetingRule, Experiment, Variant, Exposure</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Key events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configuration.changed, feature_flag.evaluated, experiment.exposed, experiment.completed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store</w:t>
            </w:r>
          </w:p>
        </w:tc>
        <w:tc>
          <w:tcPr>
            <w:tcW w:type="dxa" w:w="7588"/>
            <w:tcMar>
              <w:top w:w="70" w:type="dxa"/>
              <w:start w:w="85" w:type="dxa"/>
              <w:bottom w:w="70" w:type="dxa"/>
              <w:end w:w="85" w:type="dxa"/>
              <w:left w:w="80" w:type="dxa"/>
              <w:right w:w="80" w:type="dxa"/>
            </w:tcMar>
            <w:vAlign w:val="center"/>
          </w:tcPr>
          <w:p>
            <w:r>
              <w:t>Control-plane PostgreSQL database; module-prefixed tables; separate runtime role from product plane.</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Data classification</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Confidential/tenant-scoped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Continuity tier</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Tier 2</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Technical interface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Domain command/query interface; no direct 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Async/workflow contract</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Transactional outbox for state changes; idempotent consumers.</w:t>
            </w:r>
          </w:p>
        </w:tc>
      </w:tr>
      <w:tr>
        <w:tc>
          <w:tcPr>
            <w:tcW w:type="dxa" w:w="4842"/>
            <w:tcMar>
              <w:top w:w="70" w:type="dxa"/>
              <w:left w:w="80" w:type="dxa"/>
              <w:bottom w:w="70" w:type="dxa"/>
              <w:right w:w="80" w:type="dxa"/>
            </w:tcMar>
          </w:tcPr>
          <w:p>
            <w:r>
              <w:t>Implementation slice</w:t>
            </w:r>
          </w:p>
        </w:tc>
        <w:tc>
          <w:tcPr>
            <w:tcW w:type="dxa" w:w="4842"/>
            <w:tcMar>
              <w:top w:w="70" w:type="dxa"/>
              <w:left w:w="80" w:type="dxa"/>
              <w:bottom w:w="70" w:type="dxa"/>
              <w:right w:w="80" w:type="dxa"/>
            </w:tcMar>
          </w:tcPr>
          <w:p>
            <w:r>
              <w:t>Foundation</w:t>
            </w:r>
          </w:p>
        </w:tc>
      </w:tr>
    </w:tbl>
    <w:p>
      <w:pPr>
        <w:spacing w:after="40"/>
      </w:pPr>
    </w:p>
    <w:p>
      <w:pPr>
        <w:spacing w:after="80" w:line="259" w:lineRule="auto"/>
      </w:pPr>
      <w:r>
        <w:rPr>
          <w:rFonts w:ascii="Noto Sans" w:hAnsi="Noto Sans"/>
        </w:rPr>
        <w:t>Allow safe variation by tenant, plan, brand, location, role, cohort and release channel without custom forks.</w:t>
      </w:r>
    </w:p>
    <w:p>
      <w:pPr>
        <w:pStyle w:val="Heading3"/>
        <w:keepNext/>
      </w:pPr>
      <w:r>
        <w:t>Required Capabilities Preserved</w:t>
      </w:r>
    </w:p>
    <w:p>
      <w:pPr>
        <w:pStyle w:val="Bullet1"/>
        <w:spacing w:after="40" w:line="252" w:lineRule="auto"/>
      </w:pPr>
      <w:r>
        <w:rPr>
          <w:rFonts w:ascii="Noto Sans" w:hAnsi="Noto Sans"/>
        </w:rPr>
        <w:t>Typed configuration registry with defaults, validation, ownership, versioning and inheritance.</w:t>
      </w:r>
    </w:p>
    <w:p>
      <w:pPr>
        <w:pStyle w:val="Bullet1"/>
        <w:spacing w:after="40" w:line="252" w:lineRule="auto"/>
      </w:pPr>
      <w:r>
        <w:rPr>
          <w:rFonts w:ascii="Noto Sans" w:hAnsi="Noto Sans"/>
        </w:rPr>
        <w:t>Feature flags targeted by environment, tenant, plan, brand, location, user, role and percentage rollout.</w:t>
      </w:r>
    </w:p>
    <w:p>
      <w:pPr>
        <w:pStyle w:val="Bullet1"/>
        <w:spacing w:after="40" w:line="252" w:lineRule="auto"/>
      </w:pPr>
      <w:r>
        <w:rPr>
          <w:rFonts w:ascii="Noto Sans" w:hAnsi="Noto Sans"/>
        </w:rPr>
        <w:t>Kill switches for risky integrations, AI actions, payments, hardware and communications.</w:t>
      </w:r>
    </w:p>
    <w:p>
      <w:pPr>
        <w:pStyle w:val="Bullet1"/>
        <w:spacing w:after="40" w:line="252" w:lineRule="auto"/>
      </w:pPr>
      <w:r>
        <w:rPr>
          <w:rFonts w:ascii="Noto Sans" w:hAnsi="Noto Sans"/>
        </w:rPr>
        <w:t>Experiment assignment, exposure events, metrics, guardrails and statistical decision records.</w:t>
      </w:r>
    </w:p>
    <w:p>
      <w:pPr>
        <w:pStyle w:val="Bullet1"/>
        <w:spacing w:after="40" w:line="252" w:lineRule="auto"/>
      </w:pPr>
      <w:r>
        <w:rPr>
          <w:rFonts w:ascii="Noto Sans" w:hAnsi="Noto Sans"/>
        </w:rPr>
        <w:t>Configuration preview, impact analysis, approval and rollback.</w:t>
      </w:r>
    </w:p>
    <w:p>
      <w:pPr>
        <w:pStyle w:val="Bullet1"/>
        <w:spacing w:after="40" w:line="252" w:lineRule="auto"/>
      </w:pPr>
      <w:r>
        <w:rPr>
          <w:rFonts w:ascii="Noto Sans" w:hAnsi="Noto Sans"/>
        </w:rPr>
        <w:t>Remote configuration for mobile applications, kiosks and managed devices.</w:t>
      </w:r>
    </w:p>
    <w:p>
      <w:pPr>
        <w:pStyle w:val="Heading3"/>
        <w:keepNext/>
      </w:pPr>
      <w:r>
        <w:t>Critical Controls</w:t>
      </w:r>
    </w:p>
    <w:p>
      <w:pPr>
        <w:pStyle w:val="Bullet1"/>
        <w:spacing w:after="40" w:line="252" w:lineRule="auto"/>
      </w:pPr>
      <w:r>
        <w:rPr>
          <w:rFonts w:ascii="Noto Sans" w:hAnsi="Noto Sans"/>
        </w:rPr>
        <w:t>Financial, security and access-control flags require owner approval and change windows.</w:t>
      </w:r>
    </w:p>
    <w:p>
      <w:pPr>
        <w:pStyle w:val="Bullet1"/>
        <w:spacing w:after="40" w:line="252" w:lineRule="auto"/>
      </w:pPr>
      <w:r>
        <w:rPr>
          <w:rFonts w:ascii="Noto Sans" w:hAnsi="Noto Sans"/>
        </w:rPr>
        <w:t>Every evaluation remains tenant-safe and every change is reversible.</w:t>
      </w:r>
    </w:p>
    <w:p>
      <w:pPr>
        <w:pStyle w:val="Heading3"/>
        <w:keepNext/>
      </w:pPr>
      <w:r>
        <w:t>Required Outcomes</w:t>
      </w:r>
    </w:p>
    <w:p>
      <w:pPr>
        <w:pStyle w:val="Bullet1"/>
        <w:spacing w:after="40" w:line="252" w:lineRule="auto"/>
      </w:pPr>
      <w:r>
        <w:rPr>
          <w:rFonts w:ascii="Noto Sans" w:hAnsi="Noto Sans"/>
        </w:rPr>
        <w:t>Release risk is reduced through controlled rollout and rapid rollback.</w:t>
      </w:r>
    </w:p>
    <w:p>
      <w:pPr>
        <w:pStyle w:val="Bullet1"/>
        <w:spacing w:after="40" w:line="252" w:lineRule="auto"/>
      </w:pPr>
      <w:r>
        <w:rPr>
          <w:rFonts w:ascii="Noto Sans" w:hAnsi="Noto Sans"/>
        </w:rPr>
        <w:t>Enterprise differences are configuration, not code forks.</w:t>
      </w:r>
    </w:p>
    <w:p>
      <w:pPr>
        <w:pStyle w:val="Heading3"/>
        <w:keepNext/>
      </w:pPr>
      <w:r>
        <w:t>Technical Realization Notes</w:t>
      </w:r>
    </w:p>
    <w:p>
      <w:pPr>
        <w:pStyle w:val="Bullet1"/>
        <w:spacing w:after="40" w:line="252" w:lineRule="auto"/>
      </w:pPr>
      <w:r>
        <w:t>Authority &amp; storage: Control-plane PostgreSQL database; module-prefixed tables; separate runtime role from product plane. Authoritative entities/tables are ConfigurationDefinition, ConfigurationValue, FeatureFlag, TargetingRule, Experiment, Variant, Exposure.</w:t>
      </w:r>
    </w:p>
    <w:p>
      <w:pPr>
        <w:pStyle w:val="Bullet1"/>
        <w:spacing w:after="40" w:line="252" w:lineRule="auto"/>
      </w:pPr>
      <w:r>
        <w:t>Command inventory: PublishConfigVersion, SetFeaturePolicy, CreateExperiment, AllocateExperiment, RollbackConfig. Every command declares permission, idempotency, expected aggregate version and transaction boundary.</w:t>
      </w:r>
    </w:p>
    <w:p>
      <w:pPr>
        <w:pStyle w:val="Bullet1"/>
        <w:spacing w:after="40" w:line="252" w:lineRule="auto"/>
      </w:pPr>
      <w:r>
        <w:t>Queries/read models: List/detail and history projections for ConfigurationDefinition, ConfigurationValue, FeatureFlag, TargetingRule; role/surface-specific attention/summary read models for Internal SaaS Console; Admin Web; Mobile Apps; every projection exposes freshness/version metadata when asynchronously built.</w:t>
      </w:r>
    </w:p>
    <w:p>
      <w:pPr>
        <w:pStyle w:val="Bullet1"/>
      </w:pPr>
      <w:r>
        <w:t>Indexes/concurrency: tenant-leading indexes for primary list/detail paths; unique external/provider identifiers are scoped by tenant/provider; aggregate version supports optimistic concurrency.</w:t>
      </w:r>
    </w:p>
    <w:p>
      <w:pPr>
        <w:pStyle w:val="Bullet1"/>
      </w:pPr>
      <w:r>
        <w:t>Published events: configuration.changed, feature_flag.evaluated, experiment.exposed, experiment.completed. Consumed dependencies: PLT-01; dependencies are accessed by stable contracts/projections, never direct write-table joins.</w:t>
      </w:r>
    </w:p>
    <w:p>
      <w:pPr>
        <w:pStyle w:val="Bullet1"/>
      </w:pPr>
      <w:r>
        <w:t>Failure/degraded behavior: Write commands fail atomically; asynchronous effects retry idempotently; stale read models carry freshness and cannot authorize a consequence-bearing mutation beyond budget.</w:t>
      </w:r>
    </w:p>
    <w:p>
      <w:pPr>
        <w:pStyle w:val="Bullet1"/>
      </w:pPr>
      <w:r>
        <w:t>Security/privacy: classification is enforced at field/resource level; tenant context and authorization are mandatory. Restricted data follows §21 controls; support/break-glass access creates delegated actor evidence.</w:t>
      </w:r>
    </w:p>
    <w:p>
      <w:pPr>
        <w:pStyle w:val="Bullet1"/>
      </w:pPr>
      <w:r>
        <w:t>SLI/SLO: Surface/domain API 99.9% initial target; p95 &lt;500-750 ms by workload; queue/projection freshness per §12.5.</w:t>
      </w:r>
    </w:p>
    <w:p>
      <w:pPr>
        <w:pStyle w:val="Bullet1"/>
      </w:pPr>
      <w:r>
        <w:t>Tests/runbook: invariant/property tests for each state transition; contract tests for APIs/events; tenant isolation negative test where tenant-owned; runbook RB-PLT-02 covers stuck commands, reconciliation, provider/dependency outage and repair without history rewrite.</w:t>
      </w:r>
    </w:p>
    <w:p>
      <w:pPr>
        <w:pStyle w:val="Heading2"/>
        <w:keepNext/>
      </w:pPr>
      <w:r>
        <w:t>10.3 PLT-03 - SaaS Plans, Subscription Billing, Metering &amp; Entitlements</w:t>
      </w:r>
    </w:p>
    <w:tbl>
      <w:tblPr>
        <w:tblStyle w:val="TableGrid"/>
        <w:tblW w:type="dxa" w:w="9684"/>
        <w:jc w:val="center"/>
        <w:tblLayout w:type="autofit"/>
        <w:tblLook w:firstColumn="1" w:firstRow="1" w:lastColumn="0" w:lastRow="0" w:noHBand="0" w:noVBand="1" w:val="04A0"/>
      </w:tblPr>
      <w:tblGrid>
        <w:gridCol w:w="4842"/>
        <w:gridCol w:w="4842"/>
      </w:tblGrid>
      <w:tr>
        <w:trPr>
          <w:tblHeader w:val="true"/>
          <w:tblHeader w:val="true"/>
        </w:trPr>
        <w:tc>
          <w:tcPr>
            <w:tcW w:type="dxa" w:w="219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Attribute</w:t>
            </w:r>
          </w:p>
        </w:tc>
        <w:tc>
          <w:tcPr>
            <w:tcW w:type="dxa" w:w="758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Technical Design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phase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Foundation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surfaces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Internal SaaS Console; Tenant Billing Portal; Finance</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dependencies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PLT-01, PLT-02</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Authoritative entities</w:t>
            </w:r>
          </w:p>
        </w:tc>
        <w:tc>
          <w:tcPr>
            <w:tcW w:type="dxa" w:w="7588"/>
            <w:tcMar>
              <w:top w:w="70" w:type="dxa"/>
              <w:start w:w="85" w:type="dxa"/>
              <w:bottom w:w="70" w:type="dxa"/>
              <w:end w:w="85" w:type="dxa"/>
              <w:left w:w="80" w:type="dxa"/>
              <w:right w:w="80" w:type="dxa"/>
            </w:tcMar>
            <w:vAlign w:val="center"/>
          </w:tcPr>
          <w:p>
            <w:r>
              <w:t>SaaSPlan, SaaSPrice, SaaSSubscription, SaaSInvoice, UsageMeter, UsageRecord, PlanEntitlement, Quota</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Key events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saas.subscription.started, saas.subscription.changed, saas.usage.recorded, saas.quota.reached, saas.payment.failed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store</w:t>
            </w:r>
          </w:p>
        </w:tc>
        <w:tc>
          <w:tcPr>
            <w:tcW w:type="dxa" w:w="7588"/>
            <w:tcMar>
              <w:top w:w="70" w:type="dxa"/>
              <w:start w:w="85" w:type="dxa"/>
              <w:bottom w:w="70" w:type="dxa"/>
              <w:end w:w="85" w:type="dxa"/>
              <w:left w:w="80" w:type="dxa"/>
              <w:right w:w="80" w:type="dxa"/>
            </w:tcMar>
            <w:vAlign w:val="center"/>
          </w:tcPr>
          <w:p>
            <w:r>
              <w:t>Control-plane PostgreSQL database; module-prefixed tables; separate runtime role from product plane.</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Data classification</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Confidential/tenant-scoped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Continuity tier</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Tier 2</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Technical interface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Domain command/query interface; no direct 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Async/workflow contract</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Transactional outbox for state changes; idempotent consumers. Durable workflow orchestration for multi-step/timer/provider processes.</w:t>
            </w:r>
          </w:p>
        </w:tc>
      </w:tr>
      <w:tr>
        <w:tc>
          <w:tcPr>
            <w:tcW w:type="dxa" w:w="4842"/>
            <w:tcMar>
              <w:top w:w="70" w:type="dxa"/>
              <w:left w:w="80" w:type="dxa"/>
              <w:bottom w:w="70" w:type="dxa"/>
              <w:right w:w="80" w:type="dxa"/>
            </w:tcMar>
          </w:tcPr>
          <w:p>
            <w:r>
              <w:t>Implementation slice</w:t>
            </w:r>
          </w:p>
        </w:tc>
        <w:tc>
          <w:tcPr>
            <w:tcW w:type="dxa" w:w="4842"/>
            <w:tcMar>
              <w:top w:w="70" w:type="dxa"/>
              <w:left w:w="80" w:type="dxa"/>
              <w:bottom w:w="70" w:type="dxa"/>
              <w:right w:w="80" w:type="dxa"/>
            </w:tcMar>
          </w:tcPr>
          <w:p>
            <w:r>
              <w:t>Foundation</w:t>
            </w:r>
          </w:p>
        </w:tc>
      </w:tr>
    </w:tbl>
    <w:p>
      <w:pPr>
        <w:spacing w:after="40"/>
      </w:pPr>
    </w:p>
    <w:p>
      <w:pPr>
        <w:spacing w:after="80" w:line="259" w:lineRule="auto"/>
      </w:pPr>
      <w:r>
        <w:rPr>
          <w:rFonts w:ascii="Noto Sans" w:hAnsi="Noto Sans"/>
        </w:rPr>
        <w:t>Commercialize Veyro itself with transparent plans, usage controls, invoicing and revenue protection.</w:t>
      </w:r>
    </w:p>
    <w:p>
      <w:pPr>
        <w:pStyle w:val="Heading3"/>
        <w:keepNext/>
      </w:pPr>
      <w:r>
        <w:t>Required Capabilities Preserved</w:t>
      </w:r>
    </w:p>
    <w:p>
      <w:pPr>
        <w:pStyle w:val="Bullet1"/>
        <w:spacing w:after="40" w:line="252" w:lineRule="auto"/>
      </w:pPr>
      <w:r>
        <w:rPr>
          <w:rFonts w:ascii="Noto Sans" w:hAnsi="Noto Sans"/>
        </w:rPr>
        <w:t>Plan catalog with editions, add-ons, trial policies, contract terms, currencies and regions.</w:t>
      </w:r>
    </w:p>
    <w:p>
      <w:pPr>
        <w:pStyle w:val="Bullet1"/>
        <w:spacing w:after="40" w:line="252" w:lineRule="auto"/>
      </w:pPr>
      <w:r>
        <w:rPr>
          <w:rFonts w:ascii="Noto Sans" w:hAnsi="Noto Sans"/>
        </w:rPr>
        <w:t>Monthly, annual and contractual subscriptions with upgrades, downgrades, proration and scheduled changes.</w:t>
      </w:r>
    </w:p>
    <w:p>
      <w:pPr>
        <w:pStyle w:val="Bullet1"/>
        <w:spacing w:after="40" w:line="252" w:lineRule="auto"/>
      </w:pPr>
      <w:r>
        <w:rPr>
          <w:rFonts w:ascii="Noto Sans" w:hAnsi="Noto Sans"/>
        </w:rPr>
        <w:t>Entitlements for locations, active members, staff, white-label apps, AI, storage, messages, API and integrations.</w:t>
      </w:r>
    </w:p>
    <w:p>
      <w:pPr>
        <w:pStyle w:val="Bullet1"/>
        <w:spacing w:after="40" w:line="252" w:lineRule="auto"/>
      </w:pPr>
      <w:r>
        <w:rPr>
          <w:rFonts w:ascii="Noto Sans" w:hAnsi="Noto Sans"/>
        </w:rPr>
        <w:t>Usage metering, aggregation, late-event handling, corrections, quotas, overages and fair-use rules.</w:t>
      </w:r>
    </w:p>
    <w:p>
      <w:pPr>
        <w:pStyle w:val="Bullet1"/>
        <w:spacing w:after="40" w:line="252" w:lineRule="auto"/>
      </w:pPr>
      <w:r>
        <w:rPr>
          <w:rFonts w:ascii="Noto Sans" w:hAnsi="Noto Sans"/>
        </w:rPr>
        <w:t>Trial conversion, dunning, grace periods, suspension, reactivation and offboarding coordination.</w:t>
      </w:r>
    </w:p>
    <w:p>
      <w:pPr>
        <w:pStyle w:val="Bullet1"/>
        <w:spacing w:after="40" w:line="252" w:lineRule="auto"/>
      </w:pPr>
      <w:r>
        <w:rPr>
          <w:rFonts w:ascii="Noto Sans" w:hAnsi="Noto Sans"/>
        </w:rPr>
        <w:t>SaaS invoices, tax, credit notes, payment methods, partner/reseller attribution and revenue share.</w:t>
      </w:r>
    </w:p>
    <w:p>
      <w:pPr>
        <w:pStyle w:val="Bullet1"/>
        <w:spacing w:after="40" w:line="252" w:lineRule="auto"/>
      </w:pPr>
      <w:r>
        <w:rPr>
          <w:rFonts w:ascii="Noto Sans" w:hAnsi="Noto Sans"/>
        </w:rPr>
        <w:t>Tenant cost and gross-margin view across cloud, AI, messaging, storage, support and third parties.</w:t>
      </w:r>
    </w:p>
    <w:p>
      <w:pPr>
        <w:pStyle w:val="Heading3"/>
        <w:keepNext/>
      </w:pPr>
      <w:r>
        <w:t>Critical Controls</w:t>
      </w:r>
    </w:p>
    <w:p>
      <w:pPr>
        <w:pStyle w:val="Bullet1"/>
        <w:spacing w:after="40" w:line="252" w:lineRule="auto"/>
      </w:pPr>
      <w:r>
        <w:rPr>
          <w:rFonts w:ascii="Noto Sans" w:hAnsi="Noto Sans"/>
        </w:rPr>
        <w:t>Metering records are idempotent, attributable and auditable.</w:t>
      </w:r>
    </w:p>
    <w:p>
      <w:pPr>
        <w:pStyle w:val="Bullet1"/>
        <w:spacing w:after="40" w:line="252" w:lineRule="auto"/>
      </w:pPr>
      <w:r>
        <w:rPr>
          <w:rFonts w:ascii="Noto Sans" w:hAnsi="Noto Sans"/>
        </w:rPr>
        <w:t>A plan change may never silently remove operationally critical tenant data.</w:t>
      </w:r>
    </w:p>
    <w:p>
      <w:pPr>
        <w:pStyle w:val="Heading3"/>
        <w:keepNext/>
      </w:pPr>
      <w:r>
        <w:t>Required Outcomes</w:t>
      </w:r>
    </w:p>
    <w:p>
      <w:pPr>
        <w:pStyle w:val="Bullet1"/>
        <w:spacing w:after="40" w:line="252" w:lineRule="auto"/>
      </w:pPr>
      <w:r>
        <w:rPr>
          <w:rFonts w:ascii="Noto Sans" w:hAnsi="Noto Sans"/>
        </w:rPr>
        <w:t>Pricing aligns revenue with customer value and controllable cost.</w:t>
      </w:r>
    </w:p>
    <w:p>
      <w:pPr>
        <w:pStyle w:val="Bullet1"/>
        <w:spacing w:after="40" w:line="252" w:lineRule="auto"/>
      </w:pPr>
      <w:r>
        <w:rPr>
          <w:rFonts w:ascii="Noto Sans" w:hAnsi="Noto Sans"/>
        </w:rPr>
        <w:t>Tenants understand limits before reaching them and receive safe upgrade paths.</w:t>
      </w:r>
    </w:p>
    <w:p>
      <w:pPr>
        <w:pStyle w:val="Heading3"/>
        <w:keepNext/>
      </w:pPr>
      <w:r>
        <w:t>Technical Realization Notes</w:t>
      </w:r>
    </w:p>
    <w:p>
      <w:pPr>
        <w:pStyle w:val="Bullet1"/>
        <w:spacing w:after="40" w:line="252" w:lineRule="auto"/>
      </w:pPr>
      <w:r>
        <w:t>Authority &amp; storage: Control-plane PostgreSQL database; module-prefixed tables; separate runtime role from product plane. Authoritative entities/tables are SaaSPlan, SaaSPrice, SaaSSubscription, SaaSInvoice, UsageMeter, UsageRecord, EntitlementGrant, Quota.</w:t>
      </w:r>
    </w:p>
    <w:p>
      <w:pPr>
        <w:pStyle w:val="Bullet1"/>
        <w:spacing w:after="40" w:line="252" w:lineRule="auto"/>
      </w:pPr>
      <w:r>
        <w:t>Command inventory: CreateSaaSPlan, StartTenantSubscription, ChangeTenantPlan, RecordUsage, GrantPlanEntitlement, SuspendForBilling. Every command declares permission, idempotency, expected aggregate version and transaction boundary.</w:t>
      </w:r>
    </w:p>
    <w:p>
      <w:pPr>
        <w:pStyle w:val="Bullet1"/>
        <w:spacing w:after="40" w:line="252" w:lineRule="auto"/>
      </w:pPr>
      <w:r>
        <w:t>Queries/read models: List/detail and history projections for SaaSPlan, SaaSPrice, SaaSSubscription, SaaSInvoice; role/surface-specific attention/summary read models for Internal SaaS Console; Tenant Billing Portal; Finance; every projection exposes freshness/version metadata when asynchronously built.</w:t>
      </w:r>
    </w:p>
    <w:p>
      <w:pPr>
        <w:pStyle w:val="Bullet1"/>
        <w:spacing w:after="40" w:line="252" w:lineRule="auto"/>
      </w:pPr>
      <w:r>
        <w:t>Indexes/concurrency: tenant-leading indexes for primary list/detail paths; unique external/provider identifiers are scoped by tenant/provider; aggregate version supports optimistic concurrency.</w:t>
      </w:r>
    </w:p>
    <w:p>
      <w:pPr>
        <w:pStyle w:val="Bullet1"/>
      </w:pPr>
      <w:r>
        <w:t>Published events: saas.subscription.started, saas.subscription.changed, saas.usage.recorded, saas.quota.reached, saas.payment.failed. Consumed dependencies: PLT-01, PLT-02; dependencies are accessed by stable contracts/projections, never direct write-table joins.</w:t>
      </w:r>
    </w:p>
    <w:p>
      <w:pPr>
        <w:pStyle w:val="Bullet1"/>
      </w:pPr>
      <w:r>
        <w:t>Failure/degraded behavior: Write commands fail atomically; asynchronous effects retry idempotently; stale read models carry freshness and cannot authorize a consequence-bearing mutation beyond budget.</w:t>
      </w:r>
    </w:p>
    <w:p>
      <w:pPr>
        <w:pStyle w:val="Bullet1"/>
      </w:pPr>
      <w:r>
        <w:t>Security/privacy: classification is enforced at field/resource level; tenant context and authorization are mandatory. Restricted data follows §21 controls; support/break-glass access creates delegated actor evidence.</w:t>
      </w:r>
    </w:p>
    <w:p>
      <w:pPr>
        <w:pStyle w:val="Bullet1"/>
      </w:pPr>
      <w:r>
        <w:t>SLI/SLO: Surface/domain API 99.9% initial target; p95 &lt;500-750 ms by workload; queue/projection freshness per §12.5.</w:t>
      </w:r>
    </w:p>
    <w:p>
      <w:pPr>
        <w:pStyle w:val="Bullet1"/>
      </w:pPr>
      <w:r>
        <w:t>Tests/runbook: invariant/property tests for each state transition; contract tests for APIs/events; tenant isolation negative test where tenant-owned; runbook RB-PLT-03 covers stuck commands, reconciliation, provider/dependency outage and repair without history rewrite.</w:t>
      </w:r>
    </w:p>
    <w:p>
      <w:pPr>
        <w:pStyle w:val="Heading2"/>
        <w:keepNext/>
      </w:pPr>
      <w:r>
        <w:t>10.4 PLT-04 - Internal Administration, Support &amp; Customer Success</w:t>
      </w:r>
    </w:p>
    <w:tbl>
      <w:tblPr>
        <w:tblStyle w:val="TableGrid"/>
        <w:tblW w:type="dxa" w:w="9684"/>
        <w:jc w:val="center"/>
        <w:tblLayout w:type="autofit"/>
        <w:tblLook w:firstColumn="1" w:firstRow="1" w:lastColumn="0" w:lastRow="0" w:noHBand="0" w:noVBand="1" w:val="04A0"/>
      </w:tblPr>
      <w:tblGrid>
        <w:gridCol w:w="4842"/>
        <w:gridCol w:w="4842"/>
      </w:tblGrid>
      <w:tr>
        <w:trPr>
          <w:tblHeader w:val="true"/>
          <w:tblHeader w:val="true"/>
        </w:trPr>
        <w:tc>
          <w:tcPr>
            <w:tcW w:type="dxa" w:w="219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Attribute</w:t>
            </w:r>
          </w:p>
        </w:tc>
        <w:tc>
          <w:tcPr>
            <w:tcW w:type="dxa" w:w="758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Technical Design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phase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Pilot</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surfaces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Internal SaaS Console</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dependencies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PLT-01, PLT-02, PLT-03, SEC-01</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Authoritative entities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TenantHealth, SupportSession, SupportTicket, SuccessPlan, ImplementationProject, Renewal, Risk, TenantDiagnostic</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Key events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tenant.health.changed, support.session.started, support.ticket.escalated, renewal.risk.detected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store</w:t>
            </w:r>
          </w:p>
        </w:tc>
        <w:tc>
          <w:tcPr>
            <w:tcW w:type="dxa" w:w="7588"/>
            <w:tcMar>
              <w:top w:w="70" w:type="dxa"/>
              <w:start w:w="85" w:type="dxa"/>
              <w:bottom w:w="70" w:type="dxa"/>
              <w:end w:w="85" w:type="dxa"/>
              <w:left w:w="80" w:type="dxa"/>
              <w:right w:w="80" w:type="dxa"/>
            </w:tcMar>
            <w:vAlign w:val="center"/>
          </w:tcPr>
          <w:p>
            <w:r>
              <w:t>Control-plane PostgreSQL database; module-prefixed tables; separate runtime role from product plane.</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Data classification</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Confidential/tenant-scoped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Continuity tier</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Tier 2</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Technical interface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Domain command/query interface; no direct table access. Publishes permission-safe search projection.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Async/workflow contract</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Transactional outbox for state changes; idempotent consumers. Durable workflow orchestration for multi-step/timer/provider processes.</w:t>
            </w:r>
          </w:p>
        </w:tc>
      </w:tr>
      <w:tr>
        <w:tc>
          <w:tcPr>
            <w:tcW w:type="dxa" w:w="4842"/>
            <w:tcMar>
              <w:top w:w="70" w:type="dxa"/>
              <w:left w:w="80" w:type="dxa"/>
              <w:bottom w:w="70" w:type="dxa"/>
              <w:right w:w="80" w:type="dxa"/>
            </w:tcMar>
          </w:tcPr>
          <w:p>
            <w:r>
              <w:t>Implementation slice</w:t>
            </w:r>
          </w:p>
        </w:tc>
        <w:tc>
          <w:tcPr>
            <w:tcW w:type="dxa" w:w="4842"/>
            <w:tcMar>
              <w:top w:w="70" w:type="dxa"/>
              <w:left w:w="80" w:type="dxa"/>
              <w:bottom w:w="70" w:type="dxa"/>
              <w:right w:w="80" w:type="dxa"/>
            </w:tcMar>
          </w:tcPr>
          <w:p>
            <w:r>
              <w:t>Pilot</w:t>
            </w:r>
          </w:p>
        </w:tc>
      </w:tr>
    </w:tbl>
    <w:p>
      <w:pPr>
        <w:spacing w:after="40"/>
      </w:pPr>
    </w:p>
    <w:p>
      <w:pPr>
        <w:spacing w:after="80" w:line="259" w:lineRule="auto"/>
      </w:pPr>
      <w:r>
        <w:rPr>
          <w:rFonts w:ascii="Noto Sans" w:hAnsi="Noto Sans"/>
        </w:rPr>
        <w:t>Operate thousands of tenants safely with diagnostics, support controls, adoption insight and lifecycle tooling.</w:t>
      </w:r>
    </w:p>
    <w:p>
      <w:pPr>
        <w:pStyle w:val="Heading3"/>
        <w:keepNext/>
      </w:pPr>
      <w:r>
        <w:t>Required Capabilities Preserved</w:t>
      </w:r>
    </w:p>
    <w:p>
      <w:pPr>
        <w:pStyle w:val="Bullet1"/>
        <w:spacing w:after="40" w:line="252" w:lineRule="auto"/>
      </w:pPr>
      <w:r>
        <w:rPr>
          <w:rFonts w:ascii="Noto Sans" w:hAnsi="Noto Sans"/>
        </w:rPr>
        <w:t>Global tenant search and 360 view covering plan, usage, health, incidents, integrations, adoption and contacts.</w:t>
      </w:r>
    </w:p>
    <w:p>
      <w:pPr>
        <w:pStyle w:val="Bullet1"/>
        <w:spacing w:after="40" w:line="252" w:lineRule="auto"/>
      </w:pPr>
      <w:r>
        <w:rPr>
          <w:rFonts w:ascii="Noto Sans" w:hAnsi="Noto Sans"/>
        </w:rPr>
        <w:t>Permission-safe support impersonation with reason, approval, time limit, visible banner and full audit.</w:t>
      </w:r>
    </w:p>
    <w:p>
      <w:pPr>
        <w:pStyle w:val="Bullet1"/>
        <w:spacing w:after="40" w:line="252" w:lineRule="auto"/>
      </w:pPr>
      <w:r>
        <w:rPr>
          <w:rFonts w:ascii="Noto Sans" w:hAnsi="Noto Sans"/>
        </w:rPr>
        <w:t>Tenant diagnostics for jobs, webhooks, devices, payments, messaging, storage, mobile versions and configuration.</w:t>
      </w:r>
    </w:p>
    <w:p>
      <w:pPr>
        <w:pStyle w:val="Bullet1"/>
        <w:spacing w:after="40" w:line="252" w:lineRule="auto"/>
      </w:pPr>
      <w:r>
        <w:rPr>
          <w:rFonts w:ascii="Noto Sans" w:hAnsi="Noto Sans"/>
        </w:rPr>
        <w:t>Customer health score using activation, adoption, support, usage, billing, sentiment and risk signals.</w:t>
      </w:r>
    </w:p>
    <w:p>
      <w:pPr>
        <w:pStyle w:val="Bullet1"/>
        <w:spacing w:after="40" w:line="252" w:lineRule="auto"/>
      </w:pPr>
      <w:r>
        <w:rPr>
          <w:rFonts w:ascii="Noto Sans" w:hAnsi="Noto Sans"/>
        </w:rPr>
        <w:t>Implementation, success-plan, renewal, expansion, risk and executive-review workspaces.</w:t>
      </w:r>
    </w:p>
    <w:p>
      <w:pPr>
        <w:pStyle w:val="Bullet1"/>
        <w:spacing w:after="40" w:line="252" w:lineRule="auto"/>
      </w:pPr>
      <w:r>
        <w:rPr>
          <w:rFonts w:ascii="Noto Sans" w:hAnsi="Noto Sans"/>
        </w:rPr>
        <w:t>Support tickets, SLAs, escalation, knowledge links, incident linkage and post-resolution feedback.</w:t>
      </w:r>
    </w:p>
    <w:p>
      <w:pPr>
        <w:pStyle w:val="Bullet1"/>
        <w:spacing w:after="40" w:line="252" w:lineRule="auto"/>
      </w:pPr>
      <w:r>
        <w:rPr>
          <w:rFonts w:ascii="Noto Sans" w:hAnsi="Noto Sans"/>
        </w:rPr>
        <w:t>Bulk tenant communication, maintenance notices, release notes and deprecation notices.</w:t>
      </w:r>
    </w:p>
    <w:p>
      <w:pPr>
        <w:pStyle w:val="Heading3"/>
        <w:keepNext/>
      </w:pPr>
      <w:r>
        <w:t>Critical Controls</w:t>
      </w:r>
    </w:p>
    <w:p>
      <w:pPr>
        <w:pStyle w:val="Bullet1"/>
        <w:spacing w:after="40" w:line="252" w:lineRule="auto"/>
      </w:pPr>
      <w:r>
        <w:rPr>
          <w:rFonts w:ascii="Noto Sans" w:hAnsi="Noto Sans"/>
        </w:rPr>
        <w:t>Support staff never receive standing access to customer data.</w:t>
      </w:r>
    </w:p>
    <w:p>
      <w:pPr>
        <w:pStyle w:val="Bullet1"/>
        <w:spacing w:after="40" w:line="252" w:lineRule="auto"/>
      </w:pPr>
      <w:r>
        <w:rPr>
          <w:rFonts w:ascii="Noto Sans" w:hAnsi="Noto Sans"/>
        </w:rPr>
        <w:t>Sensitive actions require explicit tenant consent or documented emergency procedure.</w:t>
      </w:r>
    </w:p>
    <w:p>
      <w:pPr>
        <w:pStyle w:val="Heading3"/>
        <w:keepNext/>
      </w:pPr>
      <w:r>
        <w:t>Required Outcomes</w:t>
      </w:r>
    </w:p>
    <w:p>
      <w:pPr>
        <w:pStyle w:val="Bullet1"/>
        <w:spacing w:after="40" w:line="252" w:lineRule="auto"/>
      </w:pPr>
      <w:r>
        <w:rPr>
          <w:rFonts w:ascii="Noto Sans" w:hAnsi="Noto Sans"/>
        </w:rPr>
        <w:t>Lower support cost per tenant and faster resolution.</w:t>
      </w:r>
    </w:p>
    <w:p>
      <w:pPr>
        <w:pStyle w:val="Bullet1"/>
        <w:spacing w:after="40" w:line="252" w:lineRule="auto"/>
      </w:pPr>
      <w:r>
        <w:rPr>
          <w:rFonts w:ascii="Noto Sans" w:hAnsi="Noto Sans"/>
        </w:rPr>
        <w:t>Customer success acts before adoption or renewal risk becomes churn.</w:t>
      </w:r>
    </w:p>
    <w:p>
      <w:pPr>
        <w:pStyle w:val="Heading3"/>
        <w:keepNext/>
      </w:pPr>
      <w:r>
        <w:t>Technical Realization Notes</w:t>
      </w:r>
    </w:p>
    <w:p>
      <w:pPr>
        <w:pStyle w:val="Bullet1"/>
        <w:spacing w:after="40" w:line="252" w:lineRule="auto"/>
      </w:pPr>
      <w:r>
        <w:t>Authority &amp; storage: Control-plane PostgreSQL database; module-prefixed tables; separate runtime role from product plane. Authoritative entities/tables are TenantHealth, SupportSession, SupportTicket, SuccessPlan, ImplementationProject, Renewal, Risk, TenantDiagnostic.</w:t>
      </w:r>
    </w:p>
    <w:p>
      <w:pPr>
        <w:pStyle w:val="Bullet1"/>
        <w:spacing w:after="40" w:line="252" w:lineRule="auto"/>
      </w:pPr>
      <w:r>
        <w:t>Command inventory: OpenSupportCase, GrantSupportSession, RevokeSupportSession, UpdateTenantHealth, ApplyPlatformOverride. Every command declares permission, idempotency, expected aggregate version and transaction boundary.</w:t>
      </w:r>
    </w:p>
    <w:p>
      <w:pPr>
        <w:pStyle w:val="Bullet1"/>
        <w:spacing w:after="40" w:line="252" w:lineRule="auto"/>
      </w:pPr>
      <w:r>
        <w:t>Queries/read models: List/detail and history projections for TenantHealth, SupportSession, SupportTicket, SuccessPlan; role/surface-specific attention/summary read models for Internal SaaS Console; every projection exposes freshness/version metadata when asynchronously built.</w:t>
      </w:r>
    </w:p>
    <w:p>
      <w:pPr>
        <w:pStyle w:val="Bullet1"/>
      </w:pPr>
      <w:r>
        <w:t>Indexes/concurrency: tenant-leading indexes for primary list/detail paths; unique external/provider identifiers are scoped by tenant/provider; aggregate version supports optimistic concurrency.</w:t>
      </w:r>
    </w:p>
    <w:p>
      <w:pPr>
        <w:pStyle w:val="Bullet1"/>
      </w:pPr>
      <w:r>
        <w:t>Published events: tenant.health.changed, support.session.started, support.ticket.escalated, renewal.risk.detected, support.session.ended. Consumed dependencies: PLT-01, PLT-02, PLT-03, SEC-01; dependencies are accessed by stable contracts/projections, never direct write-table joins.</w:t>
      </w:r>
    </w:p>
    <w:p>
      <w:pPr>
        <w:pStyle w:val="Bullet1"/>
      </w:pPr>
      <w:r>
        <w:t>Failure/degraded behavior: Write commands fail atomically; asynchronous effects retry idempotently; stale read models carry freshness and cannot authorize a consequence-bearing mutation beyond budget.</w:t>
      </w:r>
    </w:p>
    <w:p>
      <w:pPr>
        <w:pStyle w:val="Bullet1"/>
      </w:pPr>
      <w:r>
        <w:t>Security/privacy: classification is enforced at field/resource level; tenant context and authorization are mandatory. Restricted data follows §21 controls; support/break-glass access creates delegated actor evidence.</w:t>
      </w:r>
    </w:p>
    <w:p>
      <w:pPr>
        <w:pStyle w:val="Bullet1"/>
      </w:pPr>
      <w:r>
        <w:t>SLI/SLO: Surface/domain API 99.9% initial target; p95 &lt;500-750 ms by workload; queue/projection freshness per §12.5.</w:t>
      </w:r>
    </w:p>
    <w:p>
      <w:pPr>
        <w:pStyle w:val="Bullet1"/>
      </w:pPr>
      <w:r>
        <w:t>Tests/runbook: invariant/property tests for each state transition; contract tests for APIs/events; tenant isolation negative test where tenant-owned; runbook RB-PLT-04 covers stuck commands, reconciliation, provider/dependency outage and repair without history rewrite.</w:t>
      </w:r>
    </w:p>
    <w:p>
      <w:pPr>
        <w:pStyle w:val="Heading2"/>
        <w:keepNext/>
      </w:pPr>
      <w:r>
        <w:t>10.5 IAM-01 - Identity, Authentication, Passkeys &amp; Device Sessions</w:t>
      </w:r>
    </w:p>
    <w:tbl>
      <w:tblPr>
        <w:tblStyle w:val="TableGrid"/>
        <w:tblW w:type="dxa" w:w="9684"/>
        <w:jc w:val="center"/>
        <w:tblLayout w:type="autofit"/>
        <w:tblLook w:firstColumn="1" w:firstRow="1" w:lastColumn="0" w:lastRow="0" w:noHBand="0" w:noVBand="1" w:val="04A0"/>
      </w:tblPr>
      <w:tblGrid>
        <w:gridCol w:w="4842"/>
        <w:gridCol w:w="4842"/>
      </w:tblGrid>
      <w:tr>
        <w:trPr>
          <w:tblHeader w:val="true"/>
          <w:tblHeader w:val="true"/>
          <w:tblHeader w:val="true"/>
        </w:trPr>
        <w:tc>
          <w:tcPr>
            <w:tcW w:type="dxa" w:w="2198"/>
            <w:shd w:fill="2E6F73"/>
            <w:tcMar>
              <w:top w:w="70" w:type="dxa"/>
              <w:start w:w="90" w:type="dxa"/>
              <w:bottom w:w="70" w:type="dxa"/>
              <w:end w:w="90" w:type="dxa"/>
              <w:left w:w="80" w:type="dxa"/>
              <w:right w:w="80" w:type="dxa"/>
            </w:tcMar>
            <w:vAlign w:val="center"/>
          </w:tcPr>
          <w:p>
            <w:pPr>
              <w:spacing w:before="0" w:after="30"/>
              <w:jc w:val="center"/>
            </w:pPr>
            <w:r>
              <w:rPr>
                <w:rFonts w:ascii="Noto Sans" w:hAnsi="Noto Sans"/>
                <w:b/>
                <w:color w:val="FFFFFF"/>
                <w:sz w:val="16"/>
              </w:rPr>
              <w:t>Attribute</w:t>
            </w:r>
          </w:p>
        </w:tc>
        <w:tc>
          <w:tcPr>
            <w:tcW w:type="dxa" w:w="7588"/>
            <w:shd w:fill="2E6F73"/>
            <w:tcMar>
              <w:top w:w="70" w:type="dxa"/>
              <w:start w:w="90" w:type="dxa"/>
              <w:bottom w:w="70" w:type="dxa"/>
              <w:end w:w="90" w:type="dxa"/>
              <w:left w:w="80" w:type="dxa"/>
              <w:right w:w="80" w:type="dxa"/>
            </w:tcMar>
            <w:vAlign w:val="center"/>
          </w:tcPr>
          <w:p>
            <w:pPr>
              <w:spacing w:before="0" w:after="30"/>
              <w:jc w:val="center"/>
            </w:pPr>
            <w:r>
              <w:rPr>
                <w:rFonts w:ascii="Noto Sans" w:hAnsi="Noto Sans"/>
                <w:b/>
                <w:color w:val="FFFFFF"/>
                <w:sz w:val="16"/>
              </w:rPr>
              <w:t>Technical Design</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Blueprint phase</w:t>
            </w:r>
          </w:p>
        </w:tc>
        <w:tc>
          <w:tcPr>
            <w:tcW w:type="dxa" w:w="758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Foundation</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Primary surfaces</w:t>
            </w:r>
          </w:p>
        </w:tc>
        <w:tc>
          <w:tcPr>
            <w:tcW w:type="dxa" w:w="758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All Apps; Admin Web; Developer Portal</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Blueprint dependencies</w:t>
            </w:r>
          </w:p>
        </w:tc>
        <w:tc>
          <w:tcPr>
            <w:tcW w:type="dxa" w:w="758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PLT-01</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Authoritative entities</w:t>
            </w:r>
          </w:p>
        </w:tc>
        <w:tc>
          <w:tcPr>
            <w:tcW w:type="dxa" w:w="758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Identity, Credential, Passkey, MFAFactor, Session, Device, FederationConnection, RecoveryMethod</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Key events</w:t>
            </w:r>
          </w:p>
        </w:tc>
        <w:tc>
          <w:tcPr>
            <w:tcW w:type="dxa" w:w="758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identity.created, authentication.succeeded, authentication.failed, session.revoked, passkey.registered, risk.challenge.required</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Primary store</w:t>
            </w:r>
          </w:p>
        </w:tc>
        <w:tc>
          <w:tcPr>
            <w:tcW w:type="dxa" w:w="7588"/>
            <w:tcMar>
              <w:top w:w="70" w:type="dxa"/>
              <w:start w:w="85" w:type="dxa"/>
              <w:bottom w:w="70" w:type="dxa"/>
              <w:end w:w="85" w:type="dxa"/>
              <w:left w:w="80" w:type="dxa"/>
              <w:right w:w="80" w:type="dxa"/>
            </w:tcMar>
            <w:vAlign w:val="center"/>
          </w:tcPr>
          <w:p>
            <w:pPr>
              <w:spacing w:before="0" w:after="30"/>
            </w:pPr>
            <w:r>
              <w:rPr>
                <w:sz w:val="16"/>
              </w:rPr>
              <w:t>Product PostgreSQL iam schema; FORCE RLS on tenant-bound rows; authentication provider secrets remain external/secure vault.</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Data classification</w:t>
            </w:r>
          </w:p>
        </w:tc>
        <w:tc>
          <w:tcPr>
            <w:tcW w:type="dxa" w:w="758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Restricted</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Continuity tier</w:t>
            </w:r>
          </w:p>
        </w:tc>
        <w:tc>
          <w:tcPr>
            <w:tcW w:type="dxa" w:w="7588"/>
            <w:tcMar>
              <w:top w:w="70" w:type="dxa"/>
              <w:start w:w="85" w:type="dxa"/>
              <w:bottom w:w="70" w:type="dxa"/>
              <w:end w:w="85" w:type="dxa"/>
              <w:left w:w="80" w:type="dxa"/>
              <w:right w:w="80" w:type="dxa"/>
            </w:tcMar>
            <w:vAlign w:val="center"/>
          </w:tcPr>
          <w:p>
            <w:pPr>
              <w:spacing w:before="0" w:after="30"/>
            </w:pPr>
            <w:r>
              <w:rPr>
                <w:sz w:val="16"/>
              </w:rPr>
              <w:t>Tier 1</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Technical interface</w:t>
            </w:r>
          </w:p>
        </w:tc>
        <w:tc>
          <w:tcPr>
            <w:tcW w:type="dxa" w:w="758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Domain command/query interface; no direct table access.</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Async/workflow contract</w:t>
            </w:r>
          </w:p>
        </w:tc>
        <w:tc>
          <w:tcPr>
            <w:tcW w:type="dxa" w:w="758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Transactional outbox for state changes; idempotent consumers.</w:t>
            </w:r>
          </w:p>
        </w:tc>
      </w:tr>
      <w:tr>
        <w:tc>
          <w:tcPr>
            <w:tcW w:type="dxa" w:w="4842"/>
            <w:tcMar>
              <w:top w:w="70" w:type="dxa"/>
              <w:left w:w="80" w:type="dxa"/>
              <w:bottom w:w="70" w:type="dxa"/>
              <w:right w:w="80" w:type="dxa"/>
            </w:tcMar>
            <w:vAlign w:val="center"/>
          </w:tcPr>
          <w:p>
            <w:pPr>
              <w:spacing w:before="0" w:after="30"/>
            </w:pPr>
            <w:r>
              <w:rPr>
                <w:sz w:val="16"/>
              </w:rPr>
              <w:t>Implementation slice</w:t>
            </w:r>
          </w:p>
        </w:tc>
        <w:tc>
          <w:tcPr>
            <w:tcW w:type="dxa" w:w="4842"/>
            <w:tcMar>
              <w:top w:w="70" w:type="dxa"/>
              <w:left w:w="80" w:type="dxa"/>
              <w:bottom w:w="70" w:type="dxa"/>
              <w:right w:w="80" w:type="dxa"/>
            </w:tcMar>
            <w:vAlign w:val="center"/>
          </w:tcPr>
          <w:p>
            <w:pPr>
              <w:spacing w:before="0" w:after="30"/>
            </w:pPr>
            <w:r>
              <w:rPr>
                <w:sz w:val="16"/>
              </w:rPr>
              <w:t>Foundation</w:t>
            </w:r>
          </w:p>
        </w:tc>
      </w:tr>
    </w:tbl>
    <w:p>
      <w:pPr>
        <w:spacing w:after="40"/>
      </w:pPr>
    </w:p>
    <w:p>
      <w:pPr>
        <w:spacing w:after="80" w:line="259" w:lineRule="auto"/>
      </w:pPr>
      <w:r>
        <w:rPr>
          <w:rFonts w:ascii="Noto Sans" w:hAnsi="Noto Sans"/>
        </w:rPr>
        <w:t>Provide secure, low-friction authentication for members, staff, tenant administrators, partners and internal users.</w:t>
      </w:r>
    </w:p>
    <w:p>
      <w:pPr>
        <w:pStyle w:val="Heading3"/>
        <w:keepNext/>
      </w:pPr>
      <w:r>
        <w:t>Required Capabilities Preserved</w:t>
      </w:r>
    </w:p>
    <w:p>
      <w:pPr>
        <w:pStyle w:val="Bullet1"/>
        <w:spacing w:after="40" w:line="252" w:lineRule="auto"/>
      </w:pPr>
      <w:r>
        <w:rPr>
          <w:rFonts w:ascii="Noto Sans" w:hAnsi="Noto Sans"/>
        </w:rPr>
        <w:t>Identity model that can link one person to multiple tenant roles without identity duplication.</w:t>
      </w:r>
    </w:p>
    <w:p>
      <w:pPr>
        <w:pStyle w:val="Bullet1"/>
        <w:spacing w:after="40" w:line="252" w:lineRule="auto"/>
      </w:pPr>
      <w:r>
        <w:rPr>
          <w:rFonts w:ascii="Noto Sans" w:hAnsi="Noto Sans"/>
        </w:rPr>
        <w:t>Email/phone login, OTP, password, passkeys and platform biometric unlock through operating-system APIs.</w:t>
      </w:r>
    </w:p>
    <w:p>
      <w:pPr>
        <w:pStyle w:val="Bullet1"/>
        <w:spacing w:after="40" w:line="252" w:lineRule="auto"/>
      </w:pPr>
      <w:r>
        <w:rPr>
          <w:rFonts w:ascii="Noto Sans" w:hAnsi="Noto Sans"/>
        </w:rPr>
        <w:t>MFA, step-up authentication, recovery codes, trusted devices and risk-based challenges.</w:t>
      </w:r>
    </w:p>
    <w:p>
      <w:pPr>
        <w:pStyle w:val="Bullet1"/>
        <w:spacing w:after="40" w:line="252" w:lineRule="auto"/>
      </w:pPr>
      <w:r>
        <w:rPr>
          <w:rFonts w:ascii="Noto Sans" w:hAnsi="Noto Sans"/>
        </w:rPr>
        <w:t>Enterprise federation through OIDC/SAML and lifecycle provisioning through SCIM.</w:t>
      </w:r>
    </w:p>
    <w:p>
      <w:pPr>
        <w:pStyle w:val="Bullet1"/>
        <w:spacing w:after="40" w:line="252" w:lineRule="auto"/>
      </w:pPr>
      <w:r>
        <w:rPr>
          <w:rFonts w:ascii="Noto Sans" w:hAnsi="Noto Sans"/>
        </w:rPr>
        <w:t>Session inventory, device binding, remote revocation, token rotation and suspicious-login detection.</w:t>
      </w:r>
    </w:p>
    <w:p>
      <w:pPr>
        <w:pStyle w:val="Bullet1"/>
        <w:spacing w:after="40" w:line="252" w:lineRule="auto"/>
      </w:pPr>
      <w:r>
        <w:rPr>
          <w:rFonts w:ascii="Noto Sans" w:hAnsi="Noto Sans"/>
        </w:rPr>
        <w:t>Separate authentication assurance levels for routine, financial, privileged and biometric-sensitive actions.</w:t>
      </w:r>
    </w:p>
    <w:p>
      <w:pPr>
        <w:pStyle w:val="Bullet1"/>
        <w:spacing w:after="40" w:line="252" w:lineRule="auto"/>
      </w:pPr>
      <w:r>
        <w:rPr>
          <w:rFonts w:ascii="Noto Sans" w:hAnsi="Noto Sans"/>
        </w:rPr>
        <w:t>Account linking, duplicate detection, merge review and identity recovery without losing tenant data.</w:t>
      </w:r>
    </w:p>
    <w:p>
      <w:pPr>
        <w:pStyle w:val="Heading3"/>
        <w:keepNext/>
      </w:pPr>
      <w:r>
        <w:t>Critical Controls</w:t>
      </w:r>
    </w:p>
    <w:p>
      <w:pPr>
        <w:pStyle w:val="Bullet1"/>
        <w:spacing w:after="40" w:line="252" w:lineRule="auto"/>
      </w:pPr>
      <w:r>
        <w:rPr>
          <w:rFonts w:ascii="Noto Sans" w:hAnsi="Noto Sans"/>
        </w:rPr>
        <w:t>Biometric templates from Apple Face ID/Touch ID never leave the user device.</w:t>
      </w:r>
    </w:p>
    <w:p>
      <w:pPr>
        <w:pStyle w:val="Bullet1"/>
        <w:spacing w:after="40" w:line="252" w:lineRule="auto"/>
      </w:pPr>
      <w:r>
        <w:rPr>
          <w:rFonts w:ascii="Noto Sans" w:hAnsi="Noto Sans"/>
        </w:rPr>
        <w:t>Recovery and support procedures cannot bypass tenant authorization without exceptional audit.</w:t>
      </w:r>
    </w:p>
    <w:p>
      <w:pPr>
        <w:pStyle w:val="Heading3"/>
        <w:keepNext/>
      </w:pPr>
      <w:r>
        <w:t>Required Outcomes</w:t>
      </w:r>
    </w:p>
    <w:p>
      <w:pPr>
        <w:pStyle w:val="Bullet1"/>
        <w:spacing w:after="40" w:line="252" w:lineRule="auto"/>
      </w:pPr>
      <w:r>
        <w:rPr>
          <w:rFonts w:ascii="Noto Sans" w:hAnsi="Noto Sans"/>
        </w:rPr>
        <w:t>Fast daily access with reduced password dependence.</w:t>
      </w:r>
    </w:p>
    <w:p>
      <w:pPr>
        <w:pStyle w:val="Bullet1"/>
        <w:spacing w:after="40" w:line="252" w:lineRule="auto"/>
      </w:pPr>
      <w:r>
        <w:rPr>
          <w:rFonts w:ascii="Noto Sans" w:hAnsi="Noto Sans"/>
        </w:rPr>
        <w:t>Enterprise identity requirements are supported without separate products.</w:t>
      </w:r>
    </w:p>
    <w:p>
      <w:pPr>
        <w:pStyle w:val="Heading3"/>
        <w:keepNext/>
      </w:pPr>
      <w:r>
        <w:t>Technical Realization Notes</w:t>
      </w:r>
    </w:p>
    <w:p>
      <w:pPr>
        <w:pStyle w:val="Bullet1"/>
        <w:spacing w:after="40" w:line="252" w:lineRule="auto"/>
      </w:pPr>
      <w:r>
        <w:t>Authority &amp; storage: Product PostgreSQL iam schema; FORCE RLS on tenant-bound rows; authentication provider secrets remain external/secure vault. Authoritative entities/tables are Identity, Credential, Passkey, MFAFactor, Session, Device, FederationConnection, RecoveryMethod.</w:t>
      </w:r>
    </w:p>
    <w:p>
      <w:pPr>
        <w:pStyle w:val="Bullet1"/>
        <w:spacing w:after="40" w:line="252" w:lineRule="auto"/>
      </w:pPr>
      <w:r>
        <w:t>Command inventory: RegisterIdentity, Authenticate, EnrollPasskey, StepUp, RotateSession, RevokeDevice, RecoverIdentity, LinkIdentity. Every command declares permission, idempotency, expected aggregate version and transaction boundary.</w:t>
      </w:r>
    </w:p>
    <w:p>
      <w:pPr>
        <w:pStyle w:val="Bullet1"/>
        <w:spacing w:after="40" w:line="252" w:lineRule="auto"/>
      </w:pPr>
      <w:r>
        <w:t>Queries/read models: List/detail and history projections for Identity, Credential, Passkey, MFAFactor; role/surface-specific attention/summary read models for All Apps; Admin Web; Developer Portal; every projection exposes freshness/version metadata when asynchronously built.</w:t>
      </w:r>
    </w:p>
    <w:p>
      <w:pPr>
        <w:pStyle w:val="Bullet1"/>
      </w:pPr>
      <w:r>
        <w:t>Indexes/concurrency: tenant-leading indexes for primary list/detail paths; unique external/provider identifiers are scoped by tenant/provider; aggregate version supports optimistic concurrency.</w:t>
      </w:r>
    </w:p>
    <w:p>
      <w:pPr>
        <w:pStyle w:val="Bullet1"/>
      </w:pPr>
      <w:r>
        <w:t>Published events: identity.created, authentication.succeeded, authentication.failed, session.revoked, passkey.registered, risk.challenge.required. Consumed dependencies: PLT-01; dependencies are accessed by stable contracts/projections, never direct write-table joins.</w:t>
      </w:r>
    </w:p>
    <w:p>
      <w:pPr>
        <w:pStyle w:val="Bullet1"/>
      </w:pPr>
      <w:r>
        <w:t>Failure/degraded behavior: Write commands fail atomically; asynchronous effects retry idempotently; stale read models carry freshness and cannot authorize a consequence-bearing mutation beyond budget.</w:t>
      </w:r>
    </w:p>
    <w:p>
      <w:pPr>
        <w:pStyle w:val="Bullet1"/>
      </w:pPr>
      <w:r>
        <w:t>Security/privacy: classification is enforced at field/resource level; tenant context and authorization are mandatory. Restricted data follows §21 controls; support/break-glass access creates delegated actor evidence.</w:t>
      </w:r>
    </w:p>
    <w:p>
      <w:pPr>
        <w:pStyle w:val="Bullet1"/>
      </w:pPr>
      <w:r>
        <w:t>SLI/SLO: Tier-1 control path 99.95%+; policy/tenant resolution p95 &lt;100 ms in-process/cache where applicable; zero cross-tenant/privileged control breaches.</w:t>
      </w:r>
    </w:p>
    <w:p>
      <w:pPr>
        <w:pStyle w:val="Bullet1"/>
      </w:pPr>
      <w:r>
        <w:t>Tests/runbook: invariant/property tests for each state transition; contract tests for APIs/events; tenant isolation negative test where tenant-owned; runbook RB-IAM-01 covers stuck commands, reconciliation, provider/dependency outage and repair without history rewrite.</w:t>
      </w:r>
    </w:p>
    <w:p>
      <w:pPr>
        <w:pStyle w:val="Heading2"/>
        <w:keepNext/>
      </w:pPr>
      <w:r>
        <w:t>10.6 IAM-02 - Biometric Identity &amp; Physical Access Methods</w:t>
      </w:r>
    </w:p>
    <w:tbl>
      <w:tblPr>
        <w:tblStyle w:val="TableGrid"/>
        <w:tblW w:type="dxa" w:w="9684"/>
        <w:jc w:val="center"/>
        <w:tblLayout w:type="autofit"/>
        <w:tblLook w:firstColumn="1" w:firstRow="1" w:lastColumn="0" w:lastRow="0" w:noHBand="0" w:noVBand="1" w:val="04A0"/>
      </w:tblPr>
      <w:tblGrid>
        <w:gridCol w:w="4842"/>
        <w:gridCol w:w="4842"/>
      </w:tblGrid>
      <w:tr>
        <w:trPr>
          <w:tblHeader w:val="true"/>
          <w:tblHeader w:val="true"/>
        </w:trPr>
        <w:tc>
          <w:tcPr>
            <w:tcW w:type="dxa" w:w="219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Attribute</w:t>
            </w:r>
          </w:p>
        </w:tc>
        <w:tc>
          <w:tcPr>
            <w:tcW w:type="dxa" w:w="758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Technical Design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phase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V2 Platform</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surfaces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Member App; Front Desk; Access Device; Admin Web</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dependencies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IAM-01, OPS-03, SEC-01, ECO-03</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Authoritative entities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BiometricEnrollment, BiometricTemplateRef, AccessCredential, WalletPass, LivenessCheck, ConsentRecord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Key events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biometric.enrolled, biometric.revoked, liveness.failed, access_credential.issued, wallet_pass.updated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store</w:t>
            </w:r>
          </w:p>
        </w:tc>
        <w:tc>
          <w:tcPr>
            <w:tcW w:type="dxa" w:w="7588"/>
            <w:tcMar>
              <w:top w:w="70" w:type="dxa"/>
              <w:start w:w="85" w:type="dxa"/>
              <w:bottom w:w="70" w:type="dxa"/>
              <w:end w:w="85" w:type="dxa"/>
              <w:left w:w="80" w:type="dxa"/>
              <w:right w:w="80" w:type="dxa"/>
            </w:tcMar>
            <w:vAlign w:val="center"/>
          </w:tcPr>
          <w:p>
            <w:r>
              <w:t>Product PostgreSQL app schema with module-prefixed authoritative tables; no cross-domain write-table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Data classification</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Restricted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Continuity tier</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Tier 2</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Technical interface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Domain command/query interface; no direct 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Async/workflow contract</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Transactional outbox for state changes; idempotent consumers.</w:t>
            </w:r>
          </w:p>
        </w:tc>
      </w:tr>
      <w:tr>
        <w:tc>
          <w:tcPr>
            <w:tcW w:type="dxa" w:w="4842"/>
            <w:tcMar>
              <w:top w:w="70" w:type="dxa"/>
              <w:left w:w="80" w:type="dxa"/>
              <w:bottom w:w="70" w:type="dxa"/>
              <w:right w:w="80" w:type="dxa"/>
            </w:tcMar>
          </w:tcPr>
          <w:p>
            <w:r>
              <w:t>Implementation slice</w:t>
            </w:r>
          </w:p>
        </w:tc>
        <w:tc>
          <w:tcPr>
            <w:tcW w:type="dxa" w:w="4842"/>
            <w:tcMar>
              <w:top w:w="70" w:type="dxa"/>
              <w:left w:w="80" w:type="dxa"/>
              <w:bottom w:w="70" w:type="dxa"/>
              <w:right w:w="80" w:type="dxa"/>
            </w:tcMar>
          </w:tcPr>
          <w:p>
            <w:r>
              <w:t>V2 Platform</w:t>
            </w:r>
          </w:p>
        </w:tc>
      </w:tr>
    </w:tbl>
    <w:p>
      <w:pPr>
        <w:spacing w:after="40"/>
      </w:pPr>
    </w:p>
    <w:p>
      <w:pPr>
        <w:spacing w:after="80" w:line="259" w:lineRule="auto"/>
      </w:pPr>
      <w:r>
        <w:rPr>
          <w:rFonts w:ascii="Noto Sans" w:hAnsi="Noto Sans"/>
        </w:rPr>
        <w:t>Support optional biometric gym entry and alternative access methods with consent, liveness and privacy controls.</w:t>
      </w:r>
    </w:p>
    <w:p>
      <w:pPr>
        <w:pStyle w:val="Heading3"/>
        <w:keepNext/>
      </w:pPr>
      <w:r>
        <w:t>Required Capabilities Preserved</w:t>
      </w:r>
    </w:p>
    <w:p>
      <w:pPr>
        <w:pStyle w:val="Bullet1"/>
        <w:spacing w:after="40" w:line="252" w:lineRule="auto"/>
      </w:pPr>
      <w:r>
        <w:rPr>
          <w:rFonts w:ascii="Noto Sans" w:hAnsi="Noto Sans"/>
        </w:rPr>
        <w:t>Member-controlled enrollment for facial entry with explicit informed consent and clear alternatives.</w:t>
      </w:r>
    </w:p>
    <w:p>
      <w:pPr>
        <w:pStyle w:val="Bullet1"/>
        <w:spacing w:after="40" w:line="252" w:lineRule="auto"/>
      </w:pPr>
      <w:r>
        <w:rPr>
          <w:rFonts w:ascii="Noto Sans" w:hAnsi="Noto Sans"/>
        </w:rPr>
        <w:t>Vendor-neutral biometric templates, encrypted storage, retention policy, revocation and deletion workflow.</w:t>
      </w:r>
    </w:p>
    <w:p>
      <w:pPr>
        <w:pStyle w:val="Bullet1"/>
        <w:spacing w:after="40" w:line="252" w:lineRule="auto"/>
      </w:pPr>
      <w:r>
        <w:rPr>
          <w:rFonts w:ascii="Noto Sans" w:hAnsi="Noto Sans"/>
        </w:rPr>
        <w:t>Liveness detection, match thresholds, anti-spoofing, retry limits and manual fallback.</w:t>
      </w:r>
    </w:p>
    <w:p>
      <w:pPr>
        <w:pStyle w:val="Bullet1"/>
        <w:spacing w:after="40" w:line="252" w:lineRule="auto"/>
      </w:pPr>
      <w:r>
        <w:rPr>
          <w:rFonts w:ascii="Noto Sans" w:hAnsi="Noto Sans"/>
        </w:rPr>
        <w:t>QR, NFC, Apple Wallet, Google Wallet, physical card and temporary credential support.</w:t>
      </w:r>
    </w:p>
    <w:p>
      <w:pPr>
        <w:pStyle w:val="Bullet1"/>
        <w:spacing w:after="40" w:line="252" w:lineRule="auto"/>
      </w:pPr>
      <w:r>
        <w:rPr>
          <w:rFonts w:ascii="Noto Sans" w:hAnsi="Noto Sans"/>
        </w:rPr>
        <w:t>Separate enrollment and policies for member access, staff attendance and high-security zones.</w:t>
      </w:r>
    </w:p>
    <w:p>
      <w:pPr>
        <w:pStyle w:val="Bullet1"/>
        <w:spacing w:after="40" w:line="252" w:lineRule="auto"/>
      </w:pPr>
      <w:r>
        <w:rPr>
          <w:rFonts w:ascii="Noto Sans" w:hAnsi="Noto Sans"/>
        </w:rPr>
        <w:t>Identity Center showing methods, devices, consent, recent access and the ability to revoke.</w:t>
      </w:r>
    </w:p>
    <w:p>
      <w:pPr>
        <w:pStyle w:val="Bullet1"/>
        <w:spacing w:after="40" w:line="252" w:lineRule="auto"/>
      </w:pPr>
      <w:r>
        <w:rPr>
          <w:rFonts w:ascii="Noto Sans" w:hAnsi="Noto Sans"/>
        </w:rPr>
        <w:t>Edge decision support for low-latency entry with secure synchronization and central policy validation.</w:t>
      </w:r>
    </w:p>
    <w:p>
      <w:pPr>
        <w:pStyle w:val="Heading3"/>
        <w:keepNext/>
      </w:pPr>
      <w:r>
        <w:t>Critical Controls</w:t>
      </w:r>
    </w:p>
    <w:p>
      <w:pPr>
        <w:pStyle w:val="Bullet1"/>
        <w:spacing w:after="40" w:line="252" w:lineRule="auto"/>
      </w:pPr>
      <w:r>
        <w:rPr>
          <w:rFonts w:ascii="Noto Sans" w:hAnsi="Noto Sans"/>
        </w:rPr>
        <w:t>Biometric access is opt-in and never the only access method.</w:t>
      </w:r>
    </w:p>
    <w:p>
      <w:pPr>
        <w:pStyle w:val="Bullet1"/>
        <w:spacing w:after="40" w:line="252" w:lineRule="auto"/>
      </w:pPr>
      <w:r>
        <w:rPr>
          <w:rFonts w:ascii="Noto Sans" w:hAnsi="Noto Sans"/>
        </w:rPr>
        <w:t>Raw enrollment imagery is minimized and deleted according to documented policy.</w:t>
      </w:r>
    </w:p>
    <w:p>
      <w:pPr>
        <w:pStyle w:val="Heading3"/>
        <w:keepNext/>
      </w:pPr>
      <w:r>
        <w:t>Required Outcomes</w:t>
      </w:r>
    </w:p>
    <w:p>
      <w:pPr>
        <w:pStyle w:val="Bullet1"/>
        <w:spacing w:after="40" w:line="252" w:lineRule="auto"/>
      </w:pPr>
      <w:r>
        <w:rPr>
          <w:rFonts w:ascii="Noto Sans" w:hAnsi="Noto Sans"/>
        </w:rPr>
        <w:t>Hands-free, fast and secure entry for consenting members.</w:t>
      </w:r>
    </w:p>
    <w:p>
      <w:pPr>
        <w:pStyle w:val="Bullet1"/>
        <w:spacing w:after="40" w:line="252" w:lineRule="auto"/>
      </w:pPr>
      <w:r>
        <w:rPr>
          <w:rFonts w:ascii="Noto Sans" w:hAnsi="Noto Sans"/>
        </w:rPr>
        <w:t>Privacy expectations and regional biometric laws remain enforceable.</w:t>
      </w:r>
    </w:p>
    <w:p>
      <w:pPr>
        <w:pStyle w:val="Heading3"/>
        <w:keepNext/>
      </w:pPr>
      <w:r>
        <w:t>Technical Realization Notes</w:t>
      </w:r>
    </w:p>
    <w:p>
      <w:pPr>
        <w:pStyle w:val="Bullet1"/>
        <w:spacing w:after="40" w:line="252" w:lineRule="auto"/>
      </w:pPr>
      <w:r>
        <w:t>Authority &amp; storage: Product PostgreSQL app schema with module-prefixed authoritative tables; no cross-domain write-table access. Authoritative entities/tables are BiometricEnrollment, BiometricTemplateRef, AccessCredential, WalletPass, LivenessCheck, ConsentRecord.</w:t>
      </w:r>
    </w:p>
    <w:p>
      <w:pPr>
        <w:pStyle w:val="Bullet1"/>
        <w:spacing w:after="40" w:line="252" w:lineRule="auto"/>
      </w:pPr>
      <w:r>
        <w:t>Command inventory: EnrollAccessMethod, RevokeAccessMethod, EnrollBiometric, VerifyBiometricSignal, IssueMobileCredential, DeleteBiometricTemplate. Every command declares permission, idempotency, expected aggregate version and transaction boundary.</w:t>
      </w:r>
    </w:p>
    <w:p>
      <w:pPr>
        <w:pStyle w:val="Bullet1"/>
        <w:spacing w:after="40" w:line="252" w:lineRule="auto"/>
      </w:pPr>
      <w:r>
        <w:t>Queries/read models: List/detail and history projections for BiometricEnrollment, BiometricTemplateRef, AccessCredential, WalletPass; role/surface-specific attention/summary read models for Member App; Front Desk; Access Device; Admin Web; every projection exposes freshness/version metadata when asynchronously built.</w:t>
      </w:r>
    </w:p>
    <w:p>
      <w:pPr>
        <w:pStyle w:val="Bullet1"/>
      </w:pPr>
      <w:r>
        <w:t>Indexes/concurrency: tenant-leading indexes for primary list/detail paths; unique external/provider identifiers are scoped by tenant/provider; aggregate version supports optimistic concurrency.</w:t>
      </w:r>
    </w:p>
    <w:p>
      <w:pPr>
        <w:pStyle w:val="Bullet1"/>
      </w:pPr>
      <w:r>
        <w:t>Published events: biometric.enrolled, biometric.revoked, liveness.failed, access_credential.issued, wallet_pass.updated. Consumed dependencies: IAM-01, OPS-03, SEC-01, ECO-03; dependencies are accessed by stable contracts/projections, never direct write-table joins.</w:t>
      </w:r>
    </w:p>
    <w:p>
      <w:pPr>
        <w:pStyle w:val="Bullet1"/>
      </w:pPr>
      <w:r>
        <w:t>Failure/degraded behavior: Write commands fail atomically; asynchronous effects retry idempotently; stale read models carry freshness and cannot authorize a consequence-bearing mutation beyond budget.</w:t>
      </w:r>
    </w:p>
    <w:p>
      <w:pPr>
        <w:pStyle w:val="Bullet1"/>
      </w:pPr>
      <w:r>
        <w:t>Security/privacy: classification is enforced at field/resource level; tenant context and authorization are mandatory. Restricted data follows §21 controls; support/break-glass access creates delegated actor evidence.</w:t>
      </w:r>
    </w:p>
    <w:p>
      <w:pPr>
        <w:pStyle w:val="Bullet1"/>
      </w:pPr>
      <w:r>
        <w:t>SLI/SLO: Surface/domain API 99.9% initial target; p95 &lt;500-750 ms by workload; queue/projection freshness per §12.5.</w:t>
      </w:r>
    </w:p>
    <w:p>
      <w:pPr>
        <w:pStyle w:val="Bullet1"/>
      </w:pPr>
      <w:r>
        <w:t>Tests/runbook: invariant/property tests for each state transition; contract tests for APIs/events; tenant isolation negative test where tenant-owned; runbook RB-IAM-02 covers stuck commands, reconciliation, provider/dependency outage and repair without history rewrite.</w:t>
      </w:r>
    </w:p>
    <w:p>
      <w:pPr>
        <w:pStyle w:val="Heading2"/>
        <w:keepNext/>
      </w:pPr>
      <w:r>
        <w:t>10.7 IAM-03 - Authorization, Roles, Permissions, Approvals &amp; Audit</w:t>
      </w:r>
    </w:p>
    <w:tbl>
      <w:tblPr>
        <w:tblStyle w:val="TableGrid"/>
        <w:tblW w:type="dxa" w:w="9684"/>
        <w:jc w:val="center"/>
        <w:tblLayout w:type="autofit"/>
        <w:tblLook w:firstColumn="1" w:firstRow="1" w:lastColumn="0" w:lastRow="0" w:noHBand="0" w:noVBand="1" w:val="04A0"/>
      </w:tblPr>
      <w:tblGrid>
        <w:gridCol w:w="4842"/>
        <w:gridCol w:w="4842"/>
      </w:tblGrid>
      <w:tr>
        <w:trPr>
          <w:tblHeader w:val="true"/>
          <w:tblHeader w:val="true"/>
          <w:tblHeader w:val="true"/>
        </w:trPr>
        <w:tc>
          <w:tcPr>
            <w:tcW w:type="dxa" w:w="2198"/>
            <w:shd w:fill="2E6F73"/>
            <w:tcMar>
              <w:top w:w="70" w:type="dxa"/>
              <w:start w:w="90" w:type="dxa"/>
              <w:bottom w:w="70" w:type="dxa"/>
              <w:end w:w="90" w:type="dxa"/>
              <w:left w:w="80" w:type="dxa"/>
              <w:right w:w="80" w:type="dxa"/>
            </w:tcMar>
            <w:vAlign w:val="center"/>
          </w:tcPr>
          <w:p>
            <w:pPr>
              <w:spacing w:before="0" w:after="30"/>
              <w:jc w:val="center"/>
            </w:pPr>
            <w:r>
              <w:rPr>
                <w:rFonts w:ascii="Noto Sans" w:hAnsi="Noto Sans"/>
                <w:b/>
                <w:color w:val="FFFFFF"/>
                <w:sz w:val="16"/>
              </w:rPr>
              <w:t>Attribute</w:t>
            </w:r>
          </w:p>
        </w:tc>
        <w:tc>
          <w:tcPr>
            <w:tcW w:type="dxa" w:w="7588"/>
            <w:shd w:fill="2E6F73"/>
            <w:tcMar>
              <w:top w:w="70" w:type="dxa"/>
              <w:start w:w="90" w:type="dxa"/>
              <w:bottom w:w="70" w:type="dxa"/>
              <w:end w:w="90" w:type="dxa"/>
              <w:left w:w="80" w:type="dxa"/>
              <w:right w:w="80" w:type="dxa"/>
            </w:tcMar>
            <w:vAlign w:val="center"/>
          </w:tcPr>
          <w:p>
            <w:pPr>
              <w:spacing w:before="0" w:after="30"/>
              <w:jc w:val="center"/>
            </w:pPr>
            <w:r>
              <w:rPr>
                <w:rFonts w:ascii="Noto Sans" w:hAnsi="Noto Sans"/>
                <w:b/>
                <w:color w:val="FFFFFF"/>
                <w:sz w:val="16"/>
              </w:rPr>
              <w:t>Technical Design</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Blueprint phase</w:t>
            </w:r>
          </w:p>
        </w:tc>
        <w:tc>
          <w:tcPr>
            <w:tcW w:type="dxa" w:w="758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Foundation</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Primary surfaces</w:t>
            </w:r>
          </w:p>
        </w:tc>
        <w:tc>
          <w:tcPr>
            <w:tcW w:type="dxa" w:w="758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All Surfaces</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Blueprint dependencies</w:t>
            </w:r>
          </w:p>
        </w:tc>
        <w:tc>
          <w:tcPr>
            <w:tcW w:type="dxa" w:w="758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PLT-01, IAM-01</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Authoritative entities</w:t>
            </w:r>
          </w:p>
        </w:tc>
        <w:tc>
          <w:tcPr>
            <w:tcW w:type="dxa" w:w="758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Role, Permission, Policy, Scope, Assignment, ApprovalRequest, AuditEvent, AccessReview</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Key events</w:t>
            </w:r>
          </w:p>
        </w:tc>
        <w:tc>
          <w:tcPr>
            <w:tcW w:type="dxa" w:w="758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role.assigned, permission.denied, approval.requested, approval.completed, audit_event.recorded</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Primary store</w:t>
            </w:r>
          </w:p>
        </w:tc>
        <w:tc>
          <w:tcPr>
            <w:tcW w:type="dxa" w:w="7588"/>
            <w:tcMar>
              <w:top w:w="70" w:type="dxa"/>
              <w:start w:w="85" w:type="dxa"/>
              <w:bottom w:w="70" w:type="dxa"/>
              <w:end w:w="85" w:type="dxa"/>
              <w:left w:w="80" w:type="dxa"/>
              <w:right w:w="80" w:type="dxa"/>
            </w:tcMar>
            <w:vAlign w:val="center"/>
          </w:tcPr>
          <w:p>
            <w:pPr>
              <w:spacing w:before="0" w:after="30"/>
            </w:pPr>
            <w:r>
              <w:rPr>
                <w:sz w:val="16"/>
              </w:rPr>
              <w:t>Product PostgreSQL iam schema; FORCE RLS on tenant-bound rows; authentication provider secrets remain external/secure vault.</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Data classification</w:t>
            </w:r>
          </w:p>
        </w:tc>
        <w:tc>
          <w:tcPr>
            <w:tcW w:type="dxa" w:w="758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Restricted</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Continuity tier</w:t>
            </w:r>
          </w:p>
        </w:tc>
        <w:tc>
          <w:tcPr>
            <w:tcW w:type="dxa" w:w="7588"/>
            <w:tcMar>
              <w:top w:w="70" w:type="dxa"/>
              <w:start w:w="85" w:type="dxa"/>
              <w:bottom w:w="70" w:type="dxa"/>
              <w:end w:w="85" w:type="dxa"/>
              <w:left w:w="80" w:type="dxa"/>
              <w:right w:w="80" w:type="dxa"/>
            </w:tcMar>
            <w:vAlign w:val="center"/>
          </w:tcPr>
          <w:p>
            <w:pPr>
              <w:spacing w:before="0" w:after="30"/>
            </w:pPr>
            <w:r>
              <w:rPr>
                <w:sz w:val="16"/>
              </w:rPr>
              <w:t>Tier 1</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Technical interface</w:t>
            </w:r>
          </w:p>
        </w:tc>
        <w:tc>
          <w:tcPr>
            <w:tcW w:type="dxa" w:w="758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Domain command/query interface; no direct table access.</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Async/workflow contract</w:t>
            </w:r>
          </w:p>
        </w:tc>
        <w:tc>
          <w:tcPr>
            <w:tcW w:type="dxa" w:w="758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Transactional outbox for state changes; idempotent consumers.</w:t>
            </w:r>
          </w:p>
        </w:tc>
      </w:tr>
      <w:tr>
        <w:tc>
          <w:tcPr>
            <w:tcW w:type="dxa" w:w="4842"/>
            <w:tcMar>
              <w:top w:w="70" w:type="dxa"/>
              <w:left w:w="80" w:type="dxa"/>
              <w:bottom w:w="70" w:type="dxa"/>
              <w:right w:w="80" w:type="dxa"/>
            </w:tcMar>
            <w:vAlign w:val="center"/>
          </w:tcPr>
          <w:p>
            <w:pPr>
              <w:spacing w:before="0" w:after="30"/>
            </w:pPr>
            <w:r>
              <w:rPr>
                <w:sz w:val="16"/>
              </w:rPr>
              <w:t>Implementation slice</w:t>
            </w:r>
          </w:p>
        </w:tc>
        <w:tc>
          <w:tcPr>
            <w:tcW w:type="dxa" w:w="4842"/>
            <w:tcMar>
              <w:top w:w="70" w:type="dxa"/>
              <w:left w:w="80" w:type="dxa"/>
              <w:bottom w:w="70" w:type="dxa"/>
              <w:right w:w="80" w:type="dxa"/>
            </w:tcMar>
            <w:vAlign w:val="center"/>
          </w:tcPr>
          <w:p>
            <w:pPr>
              <w:spacing w:before="0" w:after="30"/>
            </w:pPr>
            <w:r>
              <w:rPr>
                <w:sz w:val="16"/>
              </w:rPr>
              <w:t>Foundation</w:t>
            </w:r>
          </w:p>
        </w:tc>
      </w:tr>
    </w:tbl>
    <w:p>
      <w:pPr>
        <w:spacing w:after="40"/>
      </w:pPr>
    </w:p>
    <w:p>
      <w:pPr>
        <w:spacing w:after="80" w:line="259" w:lineRule="auto"/>
      </w:pPr>
      <w:r>
        <w:rPr>
          <w:rFonts w:ascii="Noto Sans" w:hAnsi="Noto Sans"/>
        </w:rPr>
        <w:t>Ensure every read, write, search result, AI action and support operation follows explicit policy and traceability.</w:t>
      </w:r>
    </w:p>
    <w:p>
      <w:pPr>
        <w:pStyle w:val="Heading3"/>
        <w:keepNext/>
      </w:pPr>
      <w:r>
        <w:t>Required Capabilities Preserved</w:t>
      </w:r>
    </w:p>
    <w:p>
      <w:pPr>
        <w:pStyle w:val="Bullet1"/>
        <w:spacing w:after="40" w:line="252" w:lineRule="auto"/>
      </w:pPr>
      <w:r>
        <w:rPr>
          <w:rFonts w:ascii="Noto Sans" w:hAnsi="Noto Sans"/>
        </w:rPr>
        <w:t>Tenant-scoped RBAC with custom roles, permission bundles and location/brand scope.</w:t>
      </w:r>
    </w:p>
    <w:p>
      <w:pPr>
        <w:pStyle w:val="Bullet1"/>
        <w:spacing w:after="40" w:line="252" w:lineRule="auto"/>
      </w:pPr>
      <w:r>
        <w:rPr>
          <w:rFonts w:ascii="Noto Sans" w:hAnsi="Noto Sans"/>
        </w:rPr>
        <w:t>Attribute- and relationship-based policies for assigned clients, sensitive notes, minors and health data.</w:t>
      </w:r>
    </w:p>
    <w:p>
      <w:pPr>
        <w:pStyle w:val="Bullet1"/>
        <w:spacing w:after="40" w:line="252" w:lineRule="auto"/>
      </w:pPr>
      <w:r>
        <w:rPr>
          <w:rFonts w:ascii="Noto Sans" w:hAnsi="Noto Sans"/>
        </w:rPr>
        <w:t>Field-level masking for financial, biometric, health, identity and contact attributes.</w:t>
      </w:r>
    </w:p>
    <w:p>
      <w:pPr>
        <w:pStyle w:val="Bullet1"/>
        <w:spacing w:after="40" w:line="252" w:lineRule="auto"/>
      </w:pPr>
      <w:r>
        <w:rPr>
          <w:rFonts w:ascii="Noto Sans" w:hAnsi="Noto Sans"/>
        </w:rPr>
        <w:t>Delegation, temporary access, break-glass access and separation-of-duties policies.</w:t>
      </w:r>
    </w:p>
    <w:p>
      <w:pPr>
        <w:pStyle w:val="Bullet1"/>
        <w:spacing w:after="40" w:line="252" w:lineRule="auto"/>
      </w:pPr>
      <w:r>
        <w:rPr>
          <w:rFonts w:ascii="Noto Sans" w:hAnsi="Noto Sans"/>
        </w:rPr>
        <w:t>Approval policies by amount, risk, role, location and action type.</w:t>
      </w:r>
    </w:p>
    <w:p>
      <w:pPr>
        <w:pStyle w:val="Bullet1"/>
        <w:spacing w:after="40" w:line="252" w:lineRule="auto"/>
      </w:pPr>
      <w:r>
        <w:rPr>
          <w:rFonts w:ascii="Noto Sans" w:hAnsi="Noto Sans"/>
        </w:rPr>
        <w:t>Immutable audit for authentication, data access, configuration, finance, access, AI and support.</w:t>
      </w:r>
    </w:p>
    <w:p>
      <w:pPr>
        <w:pStyle w:val="Bullet1"/>
        <w:spacing w:after="40" w:line="252" w:lineRule="auto"/>
      </w:pPr>
      <w:r>
        <w:rPr>
          <w:rFonts w:ascii="Noto Sans" w:hAnsi="Noto Sans"/>
        </w:rPr>
        <w:t>Permission simulator and access review/certification for enterprise administrators.</w:t>
      </w:r>
    </w:p>
    <w:p>
      <w:pPr>
        <w:pStyle w:val="Heading3"/>
        <w:keepNext/>
      </w:pPr>
      <w:r>
        <w:t>Critical Controls</w:t>
      </w:r>
    </w:p>
    <w:p>
      <w:pPr>
        <w:pStyle w:val="Bullet1"/>
        <w:spacing w:after="40" w:line="252" w:lineRule="auto"/>
      </w:pPr>
      <w:r>
        <w:rPr>
          <w:rFonts w:ascii="Noto Sans" w:hAnsi="Noto Sans"/>
        </w:rPr>
        <w:t>Default deny and least privilege are mandatory.</w:t>
      </w:r>
    </w:p>
    <w:p>
      <w:pPr>
        <w:pStyle w:val="Bullet1"/>
        <w:spacing w:after="40" w:line="252" w:lineRule="auto"/>
      </w:pPr>
      <w:r>
        <w:rPr>
          <w:rFonts w:ascii="Noto Sans" w:hAnsi="Noto Sans"/>
        </w:rPr>
        <w:t>Audit records are write-once, integrity-protected and retention-controlled.</w:t>
      </w:r>
    </w:p>
    <w:p>
      <w:pPr>
        <w:pStyle w:val="Heading3"/>
        <w:keepNext/>
      </w:pPr>
      <w:r>
        <w:t>Required Outcomes</w:t>
      </w:r>
    </w:p>
    <w:p>
      <w:pPr>
        <w:pStyle w:val="Bullet1"/>
        <w:spacing w:after="40" w:line="252" w:lineRule="auto"/>
      </w:pPr>
      <w:r>
        <w:rPr>
          <w:rFonts w:ascii="Noto Sans" w:hAnsi="Noto Sans"/>
        </w:rPr>
        <w:t>Sensitive data and actions remain appropriately separated.</w:t>
      </w:r>
    </w:p>
    <w:p>
      <w:pPr>
        <w:pStyle w:val="Bullet1"/>
        <w:spacing w:after="40" w:line="252" w:lineRule="auto"/>
      </w:pPr>
      <w:r>
        <w:rPr>
          <w:rFonts w:ascii="Noto Sans" w:hAnsi="Noto Sans"/>
        </w:rPr>
        <w:t>Enterprise customers can prove and review access governance.</w:t>
      </w:r>
    </w:p>
    <w:p>
      <w:pPr>
        <w:pStyle w:val="Heading3"/>
        <w:keepNext/>
      </w:pPr>
      <w:r>
        <w:t>Technical Realization Notes</w:t>
      </w:r>
    </w:p>
    <w:p>
      <w:pPr>
        <w:pStyle w:val="Bullet1"/>
        <w:spacing w:after="40" w:line="252" w:lineRule="auto"/>
      </w:pPr>
      <w:r>
        <w:t>Authority &amp; storage: Product PostgreSQL iam schema; FORCE RLS on tenant-bound rows; authentication provider secrets remain external/secure vault. Authoritative entities/tables are Role, Permission, Policy, Scope, Assignment, ApprovalRequest, AuditEvent, AccessReview.</w:t>
      </w:r>
    </w:p>
    <w:p>
      <w:pPr>
        <w:pStyle w:val="Bullet1"/>
        <w:spacing w:after="40" w:line="252" w:lineRule="auto"/>
      </w:pPr>
      <w:r>
        <w:t>Command inventory: CreateRole, GrantRole, DefinePermissionPolicy, AuthorizeAction, RequestApproval, DecideApproval, RecordPrivilegedAction. Every command declares permission, idempotency, expected aggregate version and transaction boundary.</w:t>
      </w:r>
    </w:p>
    <w:p>
      <w:pPr>
        <w:pStyle w:val="Bullet1"/>
        <w:spacing w:after="40" w:line="252" w:lineRule="auto"/>
      </w:pPr>
      <w:r>
        <w:t>Queries/read models: List/detail and history projections for Role, Permission, Policy, Scope; role/surface-specific attention/summary read models for All Surfaces; every projection exposes freshness/version metadata when asynchronously built.</w:t>
      </w:r>
    </w:p>
    <w:p>
      <w:pPr>
        <w:pStyle w:val="Bullet1"/>
        <w:spacing w:after="40" w:line="252" w:lineRule="auto"/>
      </w:pPr>
      <w:r>
        <w:t>Indexes/concurrency: tenant-leading indexes for primary list/detail paths; unique external/provider identifiers are scoped by tenant/provider; aggregate version supports optimistic concurrency.</w:t>
      </w:r>
    </w:p>
    <w:p>
      <w:pPr>
        <w:pStyle w:val="Bullet1"/>
      </w:pPr>
      <w:r>
        <w:t>Published events: role.assigned, permission.denied, approval.requested, approval.completed, audit_event.recorded. Consumed dependencies: PLT-01, IAM-01; dependencies are accessed by stable contracts/projections, never direct write-table joins.</w:t>
      </w:r>
    </w:p>
    <w:p>
      <w:pPr>
        <w:pStyle w:val="Bullet1"/>
      </w:pPr>
      <w:r>
        <w:t>Failure/degraded behavior: Write commands fail atomically; asynchronous effects retry idempotently; stale read models carry freshness and cannot authorize a consequence-bearing mutation beyond budget.</w:t>
      </w:r>
    </w:p>
    <w:p>
      <w:pPr>
        <w:pStyle w:val="Bullet1"/>
      </w:pPr>
      <w:r>
        <w:t>Security/privacy: classification is enforced at field/resource level; tenant context and authorization are mandatory. Restricted data follows §21 controls; support/break-glass access creates delegated actor evidence.</w:t>
      </w:r>
    </w:p>
    <w:p>
      <w:pPr>
        <w:pStyle w:val="Bullet1"/>
      </w:pPr>
      <w:r>
        <w:t>SLI/SLO: Tier-1 control path 99.95%+; policy/tenant resolution p95 &lt;100 ms in-process/cache where applicable; zero cross-tenant/privileged control breaches.</w:t>
      </w:r>
    </w:p>
    <w:p>
      <w:pPr>
        <w:pStyle w:val="Bullet1"/>
      </w:pPr>
      <w:r>
        <w:t>Tests/runbook: invariant/property tests for each state transition; contract tests for APIs/events; tenant isolation negative test where tenant-owned; runbook RB-IAM-03 covers stuck commands, reconciliation, provider/dependency outage and repair without history rewrite.</w:t>
      </w:r>
    </w:p>
    <w:p>
      <w:pPr>
        <w:pStyle w:val="Heading2"/>
        <w:keepNext/>
      </w:pPr>
      <w:r>
        <w:t>10.8 PPL-01 - People, Profiles &amp; Member 360</w:t>
      </w:r>
    </w:p>
    <w:tbl>
      <w:tblPr>
        <w:tblStyle w:val="TableGrid"/>
        <w:tblW w:type="dxa" w:w="9684"/>
        <w:jc w:val="center"/>
        <w:tblLayout w:type="autofit"/>
        <w:tblLook w:firstColumn="1" w:firstRow="1" w:lastColumn="0" w:lastRow="0" w:noHBand="0" w:noVBand="1" w:val="04A0"/>
      </w:tblPr>
      <w:tblGrid>
        <w:gridCol w:w="4842"/>
        <w:gridCol w:w="4842"/>
      </w:tblGrid>
      <w:tr>
        <w:trPr>
          <w:tblHeader w:val="true"/>
          <w:tblHeader w:val="true"/>
        </w:trPr>
        <w:tc>
          <w:tcPr>
            <w:tcW w:type="dxa" w:w="219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Attribute</w:t>
            </w:r>
          </w:p>
        </w:tc>
        <w:tc>
          <w:tcPr>
            <w:tcW w:type="dxa" w:w="758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Technical Design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phase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Foundation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surfaces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Admin Web; Coach App; Member App; Front Desk</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dependencies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PLT-01, IAM-01, IAM-03, DAT-01</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Authoritative entities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Person, TenantProfile, MemberProfile, StaffProfile, Relationship, ContactPoint, TimelineEntry, Tag, CustomField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Key events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person.created, profile.updated, member.lifecycle.changed, person.merged, relationship.created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store</w:t>
            </w:r>
          </w:p>
        </w:tc>
        <w:tc>
          <w:tcPr>
            <w:tcW w:type="dxa" w:w="7588"/>
            <w:tcMar>
              <w:top w:w="70" w:type="dxa"/>
              <w:start w:w="85" w:type="dxa"/>
              <w:bottom w:w="70" w:type="dxa"/>
              <w:end w:w="85" w:type="dxa"/>
              <w:left w:w="80" w:type="dxa"/>
              <w:right w:w="80" w:type="dxa"/>
            </w:tcMar>
            <w:vAlign w:val="center"/>
          </w:tcPr>
          <w:p>
            <w:r>
              <w:t>Product PostgreSQL app schema with module-prefixed authoritative tables; no cross-domain write-table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Data classification</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Restricted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Continuity tier</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Tier 2</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Technical interface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Domain command/query interface; no direct table access. Publishes permission-safe search projection.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Async/workflow contract</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Transactional outbox for state changes; idempotent consumers.</w:t>
            </w:r>
          </w:p>
        </w:tc>
      </w:tr>
      <w:tr>
        <w:tc>
          <w:tcPr>
            <w:tcW w:type="dxa" w:w="4842"/>
            <w:tcMar>
              <w:top w:w="70" w:type="dxa"/>
              <w:left w:w="80" w:type="dxa"/>
              <w:bottom w:w="70" w:type="dxa"/>
              <w:right w:w="80" w:type="dxa"/>
            </w:tcMar>
          </w:tcPr>
          <w:p>
            <w:r>
              <w:t>Implementation slice</w:t>
            </w:r>
          </w:p>
        </w:tc>
        <w:tc>
          <w:tcPr>
            <w:tcW w:type="dxa" w:w="4842"/>
            <w:tcMar>
              <w:top w:w="70" w:type="dxa"/>
              <w:left w:w="80" w:type="dxa"/>
              <w:bottom w:w="70" w:type="dxa"/>
              <w:right w:w="80" w:type="dxa"/>
            </w:tcMar>
          </w:tcPr>
          <w:p>
            <w:r>
              <w:t>Foundation</w:t>
            </w:r>
          </w:p>
        </w:tc>
      </w:tr>
    </w:tbl>
    <w:p>
      <w:pPr>
        <w:spacing w:after="40"/>
      </w:pPr>
    </w:p>
    <w:p>
      <w:pPr>
        <w:spacing w:after="80" w:line="259" w:lineRule="auto"/>
      </w:pPr>
      <w:r>
        <w:rPr>
          <w:rFonts w:ascii="Noto Sans" w:hAnsi="Noto Sans"/>
        </w:rPr>
        <w:t>Create the canonical person and relationship model that unifies lead, member, staff, coach, dependent and contact history.</w:t>
      </w:r>
    </w:p>
    <w:p>
      <w:pPr>
        <w:pStyle w:val="Heading3"/>
        <w:keepNext/>
      </w:pPr>
      <w:r>
        <w:t>Required Capabilities Preserved</w:t>
      </w:r>
    </w:p>
    <w:p>
      <w:pPr>
        <w:pStyle w:val="Bullet1"/>
        <w:spacing w:after="40" w:line="252" w:lineRule="auto"/>
      </w:pPr>
      <w:r>
        <w:rPr>
          <w:rFonts w:ascii="Noto Sans" w:hAnsi="Noto Sans"/>
        </w:rPr>
        <w:t>Canonical person record with tenant-specific profiles and role relationships.</w:t>
      </w:r>
    </w:p>
    <w:p>
      <w:pPr>
        <w:pStyle w:val="Bullet1"/>
        <w:spacing w:after="40" w:line="252" w:lineRule="auto"/>
      </w:pPr>
      <w:r>
        <w:rPr>
          <w:rFonts w:ascii="Noto Sans" w:hAnsi="Noto Sans"/>
        </w:rPr>
        <w:t>Member 360 covering lifecycle, membership, entitlements, attendance, bookings, coaching, nutrition, progress, finance, messages, consent and support.</w:t>
      </w:r>
    </w:p>
    <w:p>
      <w:pPr>
        <w:pStyle w:val="Bullet1"/>
        <w:spacing w:after="40" w:line="252" w:lineRule="auto"/>
      </w:pPr>
      <w:r>
        <w:rPr>
          <w:rFonts w:ascii="Noto Sans" w:hAnsi="Noto Sans"/>
        </w:rPr>
        <w:t>Unified chronological timeline built from domain events with permission-aware visibility.</w:t>
      </w:r>
    </w:p>
    <w:p>
      <w:pPr>
        <w:pStyle w:val="Bullet1"/>
        <w:spacing w:after="40" w:line="252" w:lineRule="auto"/>
      </w:pPr>
      <w:r>
        <w:rPr>
          <w:rFonts w:ascii="Noto Sans" w:hAnsi="Noto Sans"/>
        </w:rPr>
        <w:t>Duplicate detection and merge workflow using identity, contact and contextual signals.</w:t>
      </w:r>
    </w:p>
    <w:p>
      <w:pPr>
        <w:pStyle w:val="Bullet1"/>
        <w:spacing w:after="40" w:line="252" w:lineRule="auto"/>
      </w:pPr>
      <w:r>
        <w:rPr>
          <w:rFonts w:ascii="Noto Sans" w:hAnsi="Noto Sans"/>
        </w:rPr>
        <w:t>Tags, segments, custom fields and data-quality indicators governed by schema and permissions.</w:t>
      </w:r>
    </w:p>
    <w:p>
      <w:pPr>
        <w:pStyle w:val="Bullet1"/>
        <w:spacing w:after="40" w:line="252" w:lineRule="auto"/>
      </w:pPr>
      <w:r>
        <w:rPr>
          <w:rFonts w:ascii="Noto Sans" w:hAnsi="Noto Sans"/>
        </w:rPr>
        <w:t>Relationship graph for coach-client, guardian-dependent, company-employee, referrer-referred and household.</w:t>
      </w:r>
    </w:p>
    <w:p>
      <w:pPr>
        <w:pStyle w:val="Bullet1"/>
        <w:spacing w:after="40" w:line="252" w:lineRule="auto"/>
      </w:pPr>
      <w:r>
        <w:rPr>
          <w:rFonts w:ascii="Noto Sans" w:hAnsi="Noto Sans"/>
        </w:rPr>
        <w:t>Privacy controls for preferred name, contact channels, sensitive notes, progress media and minors.</w:t>
      </w:r>
    </w:p>
    <w:p>
      <w:pPr>
        <w:pStyle w:val="Heading3"/>
        <w:keepNext/>
      </w:pPr>
      <w:r>
        <w:t>Critical Controls</w:t>
      </w:r>
    </w:p>
    <w:p>
      <w:pPr>
        <w:pStyle w:val="Bullet1"/>
        <w:spacing w:after="40" w:line="252" w:lineRule="auto"/>
      </w:pPr>
      <w:r>
        <w:rPr>
          <w:rFonts w:ascii="Noto Sans" w:hAnsi="Noto Sans"/>
        </w:rPr>
        <w:t>Each data attribute has one authoritative owner and defined visibility.</w:t>
      </w:r>
    </w:p>
    <w:p>
      <w:pPr>
        <w:pStyle w:val="Bullet1"/>
        <w:spacing w:after="40" w:line="252" w:lineRule="auto"/>
      </w:pPr>
      <w:r>
        <w:rPr>
          <w:rFonts w:ascii="Noto Sans" w:hAnsi="Noto Sans"/>
        </w:rPr>
        <w:t>Merges are reviewable, reversible where feasible and fully audited.</w:t>
      </w:r>
    </w:p>
    <w:p>
      <w:pPr>
        <w:pStyle w:val="Heading3"/>
        <w:keepNext/>
      </w:pPr>
      <w:r>
        <w:t>Required Outcomes</w:t>
      </w:r>
    </w:p>
    <w:p>
      <w:pPr>
        <w:pStyle w:val="Bullet1"/>
        <w:spacing w:after="40" w:line="252" w:lineRule="auto"/>
      </w:pPr>
      <w:r>
        <w:rPr>
          <w:rFonts w:ascii="Noto Sans" w:hAnsi="Noto Sans"/>
        </w:rPr>
        <w:t>Every team sees the right context without duplicate records.</w:t>
      </w:r>
    </w:p>
    <w:p>
      <w:pPr>
        <w:pStyle w:val="Bullet1"/>
        <w:spacing w:after="40" w:line="252" w:lineRule="auto"/>
      </w:pPr>
      <w:r>
        <w:rPr>
          <w:rFonts w:ascii="Noto Sans" w:hAnsi="Noto Sans"/>
        </w:rPr>
        <w:t>Member service becomes faster and more personal across channels.</w:t>
      </w:r>
    </w:p>
    <w:p>
      <w:pPr>
        <w:pStyle w:val="Heading3"/>
        <w:keepNext/>
      </w:pPr>
      <w:r>
        <w:t>Technical Realization Notes</w:t>
      </w:r>
    </w:p>
    <w:p>
      <w:pPr>
        <w:pStyle w:val="Bullet1"/>
        <w:spacing w:after="40" w:line="252" w:lineRule="auto"/>
      </w:pPr>
      <w:r>
        <w:t>Authority &amp; storage: Product PostgreSQL app schema with module-prefixed authoritative tables; no cross-domain write-table access. Authoritative entities/tables are Person, TenantProfile, MemberProfile, StaffProfile, Relationship, ContactPoint, TimelineEntry, Tag, CustomField.</w:t>
      </w:r>
    </w:p>
    <w:p>
      <w:pPr>
        <w:pStyle w:val="Bullet1"/>
        <w:spacing w:after="40" w:line="252" w:lineRule="auto"/>
      </w:pPr>
      <w:r>
        <w:t>Command inventory: CreatePerson, UpdateProfile, CreateMemberProfile, MergePerson, LinkIdentity, AddRelationship, RecordMemberNote. Every command declares permission, idempotency, expected aggregate version and transaction boundary.</w:t>
      </w:r>
    </w:p>
    <w:p>
      <w:pPr>
        <w:pStyle w:val="Bullet1"/>
        <w:spacing w:after="40" w:line="252" w:lineRule="auto"/>
      </w:pPr>
      <w:r>
        <w:t>Queries/read models: List/detail and history projections for Person, TenantProfile, MemberProfile, StaffProfile; role/surface-specific attention/summary read models for Admin Web; Coach App; Member App; Front Desk; every projection exposes freshness/version metadata when asynchronously built.</w:t>
      </w:r>
    </w:p>
    <w:p>
      <w:pPr>
        <w:pStyle w:val="Bullet1"/>
      </w:pPr>
      <w:r>
        <w:t>Indexes/concurrency: tenant-leading indexes for primary list/detail paths; unique external/provider identifiers are scoped by tenant/provider; aggregate version supports optimistic concurrency.</w:t>
      </w:r>
    </w:p>
    <w:p>
      <w:pPr>
        <w:pStyle w:val="Bullet1"/>
      </w:pPr>
      <w:r>
        <w:t>Published events: person.created, profile.updated, member.lifecycle.changed, person.merged, relationship.created. Consumed dependencies: PLT-01, IAM-01, IAM-03, DAT-01; dependencies are accessed by stable contracts/projections, never direct write-table joins.</w:t>
      </w:r>
    </w:p>
    <w:p>
      <w:pPr>
        <w:pStyle w:val="Bullet1"/>
      </w:pPr>
      <w:r>
        <w:t>Failure/degraded behavior: Write commands fail atomically; asynchronous effects retry idempotently; stale read models carry freshness and cannot authorize a consequence-bearing mutation beyond budget.</w:t>
      </w:r>
    </w:p>
    <w:p>
      <w:pPr>
        <w:pStyle w:val="Bullet1"/>
      </w:pPr>
      <w:r>
        <w:t>Security/privacy: classification is enforced at field/resource level; tenant context and authorization are mandatory. Restricted data follows §21 controls; support/break-glass access creates delegated actor evidence.</w:t>
      </w:r>
    </w:p>
    <w:p>
      <w:pPr>
        <w:pStyle w:val="Bullet1"/>
      </w:pPr>
      <w:r>
        <w:t>SLI/SLO: Surface/domain API 99.9% initial target; p95 &lt;500-750 ms by workload; queue/projection freshness per §12.5.</w:t>
      </w:r>
    </w:p>
    <w:p>
      <w:pPr>
        <w:pStyle w:val="Bullet1"/>
      </w:pPr>
      <w:r>
        <w:t>Tests/runbook: invariant/property tests for each state transition; contract tests for APIs/events; tenant isolation negative test where tenant-owned; runbook RB-PPL-01 covers stuck commands, reconciliation, provider/dependency outage and repair without history rewrite.</w:t>
      </w:r>
    </w:p>
    <w:p>
      <w:pPr>
        <w:pStyle w:val="Heading2"/>
        <w:keepNext/>
      </w:pPr>
      <w:r>
        <w:t>10.9 PPL-02 - Households, Dependents, Guests &amp; Eligibility</w:t>
      </w:r>
    </w:p>
    <w:tbl>
      <w:tblPr>
        <w:tblStyle w:val="TableGrid"/>
        <w:tblW w:type="dxa" w:w="9684"/>
        <w:jc w:val="center"/>
        <w:tblLayout w:type="autofit"/>
        <w:tblLook w:firstColumn="1" w:firstRow="1" w:lastColumn="0" w:lastRow="0" w:noHBand="0" w:noVBand="1" w:val="04A0"/>
      </w:tblPr>
      <w:tblGrid>
        <w:gridCol w:w="4842"/>
        <w:gridCol w:w="4842"/>
      </w:tblGrid>
      <w:tr>
        <w:trPr>
          <w:tblHeader w:val="true"/>
          <w:tblHeader w:val="true"/>
        </w:trPr>
        <w:tc>
          <w:tcPr>
            <w:tcW w:type="dxa" w:w="219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Attribute</w:t>
            </w:r>
          </w:p>
        </w:tc>
        <w:tc>
          <w:tcPr>
            <w:tcW w:type="dxa" w:w="758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Technical Design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phase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V1 General Availability</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surfaces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Member App; Admin Web; Front Desk; Corporate Portal</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dependencies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PPL-01, IAM-03, COM-01, OPS-03</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Authoritative entities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Household, HouseholdMember, GuardianGrant, Dependent, Eligibility, GuestPass, TrialVisit, Sponsor</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Key events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household.created, dependent.added, eligibility.verified, guest_pass.issued, trial.converted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store</w:t>
            </w:r>
          </w:p>
        </w:tc>
        <w:tc>
          <w:tcPr>
            <w:tcW w:type="dxa" w:w="7588"/>
            <w:tcMar>
              <w:top w:w="70" w:type="dxa"/>
              <w:start w:w="85" w:type="dxa"/>
              <w:bottom w:w="70" w:type="dxa"/>
              <w:end w:w="85" w:type="dxa"/>
              <w:left w:w="80" w:type="dxa"/>
              <w:right w:w="80" w:type="dxa"/>
            </w:tcMar>
            <w:vAlign w:val="center"/>
          </w:tcPr>
          <w:p>
            <w:r>
              <w:t>Product PostgreSQL app schema with module-prefixed authoritative tables; no cross-domain write-table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Data classification</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Restricted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Continuity tier</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Tier 2</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Technical interface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Domain command/query interface; no direct 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Async/workflow contract</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Transactional outbox for state changes; idempotent consumers.</w:t>
            </w:r>
          </w:p>
        </w:tc>
      </w:tr>
      <w:tr>
        <w:tc>
          <w:tcPr>
            <w:tcW w:type="dxa" w:w="4842"/>
            <w:tcMar>
              <w:top w:w="70" w:type="dxa"/>
              <w:left w:w="80" w:type="dxa"/>
              <w:bottom w:w="70" w:type="dxa"/>
              <w:right w:w="80" w:type="dxa"/>
            </w:tcMar>
          </w:tcPr>
          <w:p>
            <w:r>
              <w:t>Implementation slice</w:t>
            </w:r>
          </w:p>
        </w:tc>
        <w:tc>
          <w:tcPr>
            <w:tcW w:type="dxa" w:w="4842"/>
            <w:tcMar>
              <w:top w:w="70" w:type="dxa"/>
              <w:left w:w="80" w:type="dxa"/>
              <w:bottom w:w="70" w:type="dxa"/>
              <w:right w:w="80" w:type="dxa"/>
            </w:tcMar>
          </w:tcPr>
          <w:p>
            <w:r>
              <w:t>V1 General Availability</w:t>
            </w:r>
          </w:p>
        </w:tc>
      </w:tr>
    </w:tbl>
    <w:p>
      <w:pPr>
        <w:spacing w:after="40"/>
      </w:pPr>
    </w:p>
    <w:p>
      <w:pPr>
        <w:spacing w:after="80" w:line="259" w:lineRule="auto"/>
      </w:pPr>
      <w:r>
        <w:rPr>
          <w:rFonts w:ascii="Noto Sans" w:hAnsi="Noto Sans"/>
        </w:rPr>
        <w:t>Support real-world membership relationships including families, minors, guardians, corporate eligibility and temporary visitors.</w:t>
      </w:r>
    </w:p>
    <w:p>
      <w:pPr>
        <w:pStyle w:val="Heading3"/>
        <w:keepNext/>
      </w:pPr>
      <w:r>
        <w:t>Required Capabilities Preserved</w:t>
      </w:r>
    </w:p>
    <w:p>
      <w:pPr>
        <w:pStyle w:val="Bullet1"/>
        <w:spacing w:after="40" w:line="252" w:lineRule="auto"/>
      </w:pPr>
      <w:r>
        <w:rPr>
          <w:rFonts w:ascii="Noto Sans" w:hAnsi="Noto Sans"/>
        </w:rPr>
        <w:t>Household account with shared payment methods, wallet rules, family plan and consolidated statements.</w:t>
      </w:r>
    </w:p>
    <w:p>
      <w:pPr>
        <w:pStyle w:val="Bullet1"/>
        <w:spacing w:after="40" w:line="252" w:lineRule="auto"/>
      </w:pPr>
      <w:r>
        <w:rPr>
          <w:rFonts w:ascii="Noto Sans" w:hAnsi="Noto Sans"/>
        </w:rPr>
        <w:t>Guardian permissions, consent, pickup rules and booking controls for minors and dependents.</w:t>
      </w:r>
    </w:p>
    <w:p>
      <w:pPr>
        <w:pStyle w:val="Bullet1"/>
        <w:spacing w:after="40" w:line="252" w:lineRule="auto"/>
      </w:pPr>
      <w:r>
        <w:rPr>
          <w:rFonts w:ascii="Noto Sans" w:hAnsi="Noto Sans"/>
        </w:rPr>
        <w:t>Corporate eligibility verification by roster, code, domain, API or identity provider.</w:t>
      </w:r>
    </w:p>
    <w:p>
      <w:pPr>
        <w:pStyle w:val="Bullet1"/>
        <w:spacing w:after="40" w:line="252" w:lineRule="auto"/>
      </w:pPr>
      <w:r>
        <w:rPr>
          <w:rFonts w:ascii="Noto Sans" w:hAnsi="Noto Sans"/>
        </w:rPr>
        <w:t>Guest, trial and day-pass profiles with sponsor, access window, waiver, lead conversion and abuse limits.</w:t>
      </w:r>
    </w:p>
    <w:p>
      <w:pPr>
        <w:pStyle w:val="Bullet1"/>
        <w:spacing w:after="40" w:line="252" w:lineRule="auto"/>
      </w:pPr>
      <w:r>
        <w:rPr>
          <w:rFonts w:ascii="Noto Sans" w:hAnsi="Noto Sans"/>
        </w:rPr>
        <w:t>Relationship-specific communication, privacy and financial permissions.</w:t>
      </w:r>
    </w:p>
    <w:p>
      <w:pPr>
        <w:pStyle w:val="Bullet1"/>
        <w:spacing w:after="40" w:line="252" w:lineRule="auto"/>
      </w:pPr>
      <w:r>
        <w:rPr>
          <w:rFonts w:ascii="Noto Sans" w:hAnsi="Noto Sans"/>
        </w:rPr>
        <w:t>Dependent aging and eligibility-change workflows without losing history.</w:t>
      </w:r>
    </w:p>
    <w:p>
      <w:pPr>
        <w:pStyle w:val="Heading3"/>
        <w:keepNext/>
      </w:pPr>
      <w:r>
        <w:t>Critical Controls</w:t>
      </w:r>
    </w:p>
    <w:p>
      <w:pPr>
        <w:pStyle w:val="Bullet1"/>
        <w:spacing w:after="40" w:line="252" w:lineRule="auto"/>
      </w:pPr>
      <w:r>
        <w:rPr>
          <w:rFonts w:ascii="Noto Sans" w:hAnsi="Noto Sans"/>
        </w:rPr>
        <w:t>Guardianship and consent must be validated before exposing minor data.</w:t>
      </w:r>
    </w:p>
    <w:p>
      <w:pPr>
        <w:pStyle w:val="Bullet1"/>
        <w:spacing w:after="40" w:line="252" w:lineRule="auto"/>
      </w:pPr>
      <w:r>
        <w:rPr>
          <w:rFonts w:ascii="Noto Sans" w:hAnsi="Noto Sans"/>
        </w:rPr>
        <w:t>Temporary access expires automatically and cannot silently become permanent.</w:t>
      </w:r>
    </w:p>
    <w:p>
      <w:pPr>
        <w:pStyle w:val="Heading3"/>
        <w:keepNext/>
      </w:pPr>
      <w:r>
        <w:t>Required Outcomes</w:t>
      </w:r>
    </w:p>
    <w:p>
      <w:pPr>
        <w:pStyle w:val="Bullet1"/>
        <w:spacing w:after="40" w:line="252" w:lineRule="auto"/>
      </w:pPr>
      <w:r>
        <w:rPr>
          <w:rFonts w:ascii="Noto Sans" w:hAnsi="Noto Sans"/>
        </w:rPr>
        <w:t>Family and youth programs operate without manual workarounds.</w:t>
      </w:r>
    </w:p>
    <w:p>
      <w:pPr>
        <w:pStyle w:val="Bullet1"/>
        <w:spacing w:after="40" w:line="252" w:lineRule="auto"/>
      </w:pPr>
      <w:r>
        <w:rPr>
          <w:rFonts w:ascii="Noto Sans" w:hAnsi="Noto Sans"/>
        </w:rPr>
        <w:t>Guests and corporate users enter through controlled, measurable funnels.</w:t>
      </w:r>
    </w:p>
    <w:p>
      <w:pPr>
        <w:pStyle w:val="Heading3"/>
        <w:keepNext/>
      </w:pPr>
      <w:r>
        <w:t>Technical Realization Notes</w:t>
      </w:r>
    </w:p>
    <w:p>
      <w:pPr>
        <w:pStyle w:val="Bullet1"/>
        <w:spacing w:after="40" w:line="252" w:lineRule="auto"/>
      </w:pPr>
      <w:r>
        <w:t>Authority &amp; storage: Product PostgreSQL app schema with module-prefixed authoritative tables; no cross-domain write-table access. Authoritative entities/tables are Household, HouseholdMember, GuardianGrant, Dependent, Eligibility, GuestPass, TrialVisit, Sponsor.</w:t>
      </w:r>
    </w:p>
    <w:p>
      <w:pPr>
        <w:pStyle w:val="Bullet1"/>
        <w:spacing w:after="40" w:line="252" w:lineRule="auto"/>
      </w:pPr>
      <w:r>
        <w:t>Command inventory: CreateHousehold, AddDependent, GrantGuardianAuthority, RegisterGuest, ValidateEligibility, ExpireGuest. Every command declares permission, idempotency, expected aggregate version and transaction boundary.</w:t>
      </w:r>
    </w:p>
    <w:p>
      <w:pPr>
        <w:pStyle w:val="Bullet1"/>
        <w:spacing w:after="40" w:line="252" w:lineRule="auto"/>
      </w:pPr>
      <w:r>
        <w:t>Queries/read models: List/detail and history projections for Household, HouseholdMember, GuardianGrant, Dependent; role/surface-specific attention/summary read models for Member App; Admin Web; Front Desk; Corporate Portal; every projection exposes freshness/version metadata when asynchronously built.</w:t>
      </w:r>
    </w:p>
    <w:p>
      <w:pPr>
        <w:pStyle w:val="Bullet1"/>
      </w:pPr>
      <w:r>
        <w:t>Indexes/concurrency: tenant-leading indexes for primary list/detail paths; unique external/provider identifiers are scoped by tenant/provider; aggregate version supports optimistic concurrency.</w:t>
      </w:r>
    </w:p>
    <w:p>
      <w:pPr>
        <w:pStyle w:val="Bullet1"/>
      </w:pPr>
      <w:r>
        <w:t>Published events: household.created, dependent.added, eligibility.verified, guest_pass.issued, trial.converted. Consumed dependencies: PPL-01, IAM-03, COM-01, OPS-03; dependencies are accessed by stable contracts/projections, never direct write-table joins.</w:t>
      </w:r>
    </w:p>
    <w:p>
      <w:pPr>
        <w:pStyle w:val="Bullet1"/>
      </w:pPr>
      <w:r>
        <w:t>Failure/degraded behavior: Write commands fail atomically; asynchronous effects retry idempotently; stale read models carry freshness and cannot authorize a consequence-bearing mutation beyond budget.</w:t>
      </w:r>
    </w:p>
    <w:p>
      <w:pPr>
        <w:pStyle w:val="Bullet1"/>
      </w:pPr>
      <w:r>
        <w:t>Security/privacy: classification is enforced at field/resource level; tenant context and authorization are mandatory. Restricted data follows §21 controls; support/break-glass access creates delegated actor evidence.</w:t>
      </w:r>
    </w:p>
    <w:p>
      <w:pPr>
        <w:pStyle w:val="Bullet1"/>
      </w:pPr>
      <w:r>
        <w:t>SLI/SLO: Surface/domain API 99.9% initial target; p95 &lt;500-750 ms by workload; queue/projection freshness per §12.5.</w:t>
      </w:r>
    </w:p>
    <w:p>
      <w:pPr>
        <w:pStyle w:val="Bullet1"/>
      </w:pPr>
      <w:r>
        <w:t>Tests/runbook: invariant/property tests for each state transition; contract tests for APIs/events; tenant isolation negative test where tenant-owned; runbook RB-PPL-02 covers stuck commands, reconciliation, provider/dependency outage and repair without history rewrite.</w:t>
      </w:r>
    </w:p>
    <w:p>
      <w:pPr>
        <w:pStyle w:val="Heading2"/>
        <w:keepNext/>
      </w:pPr>
      <w:r>
        <w:t>10.10 GRO-01 - CRM, Leads, Sales Pipeline &amp; Trials</w:t>
      </w:r>
    </w:p>
    <w:tbl>
      <w:tblPr>
        <w:tblStyle w:val="TableGrid"/>
        <w:tblW w:type="dxa" w:w="9684"/>
        <w:jc w:val="center"/>
        <w:tblLayout w:type="autofit"/>
        <w:tblLook w:firstColumn="1" w:firstRow="1" w:lastColumn="0" w:lastRow="0" w:noHBand="0" w:noVBand="1" w:val="04A0"/>
      </w:tblPr>
      <w:tblGrid>
        <w:gridCol w:w="4842"/>
        <w:gridCol w:w="4842"/>
      </w:tblGrid>
      <w:tr>
        <w:trPr>
          <w:tblHeader w:val="true"/>
          <w:tblHeader w:val="true"/>
        </w:trPr>
        <w:tc>
          <w:tcPr>
            <w:tcW w:type="dxa" w:w="219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Attribute</w:t>
            </w:r>
          </w:p>
        </w:tc>
        <w:tc>
          <w:tcPr>
            <w:tcW w:type="dxa" w:w="758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Technical Design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phase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V1 General Availability</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surfaces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Admin Web; Front Desk; Mobile Staff</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dependencies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PPL-01, ENG-01, OPS-01, COM-02</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Authoritative entities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Lead, Opportunity, Pipeline, Stage, SalesActivity, Trial, Offer, LossReason, Attribution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Key events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lead.created, lead.assigned, trial.booked, trial.attended, offer.sent, opportunity.won, opportunity.lost</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store</w:t>
            </w:r>
          </w:p>
        </w:tc>
        <w:tc>
          <w:tcPr>
            <w:tcW w:type="dxa" w:w="7588"/>
            <w:tcMar>
              <w:top w:w="70" w:type="dxa"/>
              <w:start w:w="85" w:type="dxa"/>
              <w:bottom w:w="70" w:type="dxa"/>
              <w:end w:w="85" w:type="dxa"/>
              <w:left w:w="80" w:type="dxa"/>
              <w:right w:w="80" w:type="dxa"/>
            </w:tcMar>
            <w:vAlign w:val="center"/>
          </w:tcPr>
          <w:p>
            <w:r>
              <w:t>Product PostgreSQL app schema with module-prefixed authoritative tables; no cross-domain write-table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Data classification</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Confidential/tenant-scoped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Continuity tier</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Tier 2</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Technical interface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Domain command/query interface; no direct table access. Publishes permission-safe search projection.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Async/workflow contract</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Transactional outbox for state changes; idempotent consumers.</w:t>
            </w:r>
          </w:p>
        </w:tc>
      </w:tr>
      <w:tr>
        <w:tc>
          <w:tcPr>
            <w:tcW w:type="dxa" w:w="4842"/>
            <w:tcMar>
              <w:top w:w="70" w:type="dxa"/>
              <w:left w:w="80" w:type="dxa"/>
              <w:bottom w:w="70" w:type="dxa"/>
              <w:right w:w="80" w:type="dxa"/>
            </w:tcMar>
          </w:tcPr>
          <w:p>
            <w:r>
              <w:t>Implementation slice</w:t>
            </w:r>
          </w:p>
        </w:tc>
        <w:tc>
          <w:tcPr>
            <w:tcW w:type="dxa" w:w="4842"/>
            <w:tcMar>
              <w:top w:w="70" w:type="dxa"/>
              <w:left w:w="80" w:type="dxa"/>
              <w:bottom w:w="70" w:type="dxa"/>
              <w:right w:w="80" w:type="dxa"/>
            </w:tcMar>
          </w:tcPr>
          <w:p>
            <w:r>
              <w:t>V1 General Availability</w:t>
            </w:r>
          </w:p>
        </w:tc>
      </w:tr>
    </w:tbl>
    <w:p>
      <w:pPr>
        <w:spacing w:after="40"/>
      </w:pPr>
    </w:p>
    <w:p>
      <w:pPr>
        <w:spacing w:after="80" w:line="259" w:lineRule="auto"/>
      </w:pPr>
      <w:r>
        <w:rPr>
          <w:rFonts w:ascii="Noto Sans" w:hAnsi="Noto Sans"/>
        </w:rPr>
        <w:t>Turn acquisition into a measurable, prioritized and omnichannel sales workflow embedded in the core product.</w:t>
      </w:r>
    </w:p>
    <w:p>
      <w:pPr>
        <w:pStyle w:val="Heading3"/>
        <w:keepNext/>
      </w:pPr>
      <w:r>
        <w:t>Required Capabilities Preserved</w:t>
      </w:r>
    </w:p>
    <w:p>
      <w:pPr>
        <w:pStyle w:val="Bullet1"/>
        <w:spacing w:after="40" w:line="252" w:lineRule="auto"/>
      </w:pPr>
      <w:r>
        <w:rPr>
          <w:rFonts w:ascii="Noto Sans" w:hAnsi="Noto Sans"/>
        </w:rPr>
        <w:t>Lead capture from forms, ads, referrals, walk-ins, imports, APIs, partners and corporate lists.</w:t>
      </w:r>
    </w:p>
    <w:p>
      <w:pPr>
        <w:pStyle w:val="Bullet1"/>
        <w:spacing w:after="40" w:line="252" w:lineRule="auto"/>
      </w:pPr>
      <w:r>
        <w:rPr>
          <w:rFonts w:ascii="Noto Sans" w:hAnsi="Noto Sans"/>
        </w:rPr>
        <w:t>Configurable pipelines and stages with required fields, probability, ownership and service-level timers.</w:t>
      </w:r>
    </w:p>
    <w:p>
      <w:pPr>
        <w:pStyle w:val="Bullet1"/>
        <w:spacing w:after="40" w:line="252" w:lineRule="auto"/>
      </w:pPr>
      <w:r>
        <w:rPr>
          <w:rFonts w:ascii="Noto Sans" w:hAnsi="Noto Sans"/>
        </w:rPr>
        <w:t>Lead scoring using source, intent, engagement, demographics, response and historical conversion.</w:t>
      </w:r>
    </w:p>
    <w:p>
      <w:pPr>
        <w:pStyle w:val="Bullet1"/>
        <w:spacing w:after="40" w:line="252" w:lineRule="auto"/>
      </w:pPr>
      <w:r>
        <w:rPr>
          <w:rFonts w:ascii="Noto Sans" w:hAnsi="Noto Sans"/>
        </w:rPr>
        <w:t>Unified calls, WhatsApp, SMS, email, notes, tasks and appointment history.</w:t>
      </w:r>
    </w:p>
    <w:p>
      <w:pPr>
        <w:pStyle w:val="Bullet1"/>
        <w:spacing w:after="40" w:line="252" w:lineRule="auto"/>
      </w:pPr>
      <w:r>
        <w:rPr>
          <w:rFonts w:ascii="Noto Sans" w:hAnsi="Noto Sans"/>
        </w:rPr>
        <w:t>Trial, tour and assessment booking with reminders, attendance and conversion follow-up.</w:t>
      </w:r>
    </w:p>
    <w:p>
      <w:pPr>
        <w:pStyle w:val="Bullet1"/>
        <w:spacing w:after="40" w:line="252" w:lineRule="auto"/>
      </w:pPr>
      <w:r>
        <w:rPr>
          <w:rFonts w:ascii="Noto Sans" w:hAnsi="Noto Sans"/>
        </w:rPr>
        <w:t>Offers, quotes, proposal expiry, objection/loss reason and membership conversion.</w:t>
      </w:r>
    </w:p>
    <w:p>
      <w:pPr>
        <w:pStyle w:val="Bullet1"/>
        <w:spacing w:after="40" w:line="252" w:lineRule="auto"/>
      </w:pPr>
      <w:r>
        <w:rPr>
          <w:rFonts w:ascii="Noto Sans" w:hAnsi="Noto Sans"/>
        </w:rPr>
        <w:t>Duplicate prevention and lead-to-member merge preserving attribution and history.</w:t>
      </w:r>
    </w:p>
    <w:p>
      <w:pPr>
        <w:pStyle w:val="Bullet1"/>
        <w:spacing w:after="40" w:line="252" w:lineRule="auto"/>
      </w:pPr>
      <w:r>
        <w:rPr>
          <w:rFonts w:ascii="Noto Sans" w:hAnsi="Noto Sans"/>
        </w:rPr>
        <w:t>Sales dashboards for response time, stage aging, conversion, source ROI and representative performance.</w:t>
      </w:r>
    </w:p>
    <w:p>
      <w:pPr>
        <w:pStyle w:val="Heading3"/>
        <w:keepNext/>
      </w:pPr>
      <w:r>
        <w:t>Critical Controls</w:t>
      </w:r>
    </w:p>
    <w:p>
      <w:pPr>
        <w:pStyle w:val="Bullet1"/>
        <w:spacing w:after="40" w:line="252" w:lineRule="auto"/>
      </w:pPr>
      <w:r>
        <w:rPr>
          <w:rFonts w:ascii="Noto Sans" w:hAnsi="Noto Sans"/>
        </w:rPr>
        <w:t>Marketing consent and channel opt-in are evaluated before outreach.</w:t>
      </w:r>
    </w:p>
    <w:p>
      <w:pPr>
        <w:pStyle w:val="Bullet1"/>
        <w:spacing w:after="40" w:line="252" w:lineRule="auto"/>
      </w:pPr>
      <w:r>
        <w:rPr>
          <w:rFonts w:ascii="Noto Sans" w:hAnsi="Noto Sans"/>
        </w:rPr>
        <w:t>Automated scoring informs prioritization but never hides leads from authorized review.</w:t>
      </w:r>
    </w:p>
    <w:p>
      <w:pPr>
        <w:pStyle w:val="Heading3"/>
        <w:keepNext/>
      </w:pPr>
      <w:r>
        <w:t>Required Outcomes</w:t>
      </w:r>
    </w:p>
    <w:p>
      <w:pPr>
        <w:pStyle w:val="Bullet1"/>
        <w:spacing w:after="40" w:line="252" w:lineRule="auto"/>
      </w:pPr>
      <w:r>
        <w:rPr>
          <w:rFonts w:ascii="Noto Sans" w:hAnsi="Noto Sans"/>
        </w:rPr>
        <w:t>Faster first response and higher trial-to-membership conversion.</w:t>
      </w:r>
    </w:p>
    <w:p>
      <w:pPr>
        <w:pStyle w:val="Bullet1"/>
        <w:spacing w:after="40" w:line="252" w:lineRule="auto"/>
      </w:pPr>
      <w:r>
        <w:rPr>
          <w:rFonts w:ascii="Noto Sans" w:hAnsi="Noto Sans"/>
        </w:rPr>
        <w:t>Every membership sale retains source and campaign attribution.</w:t>
      </w:r>
    </w:p>
    <w:p>
      <w:pPr>
        <w:pStyle w:val="Heading3"/>
        <w:keepNext/>
      </w:pPr>
      <w:r>
        <w:t>Technical Realization Notes</w:t>
      </w:r>
    </w:p>
    <w:p>
      <w:pPr>
        <w:pStyle w:val="Bullet1"/>
        <w:spacing w:after="40" w:line="252" w:lineRule="auto"/>
      </w:pPr>
      <w:r>
        <w:t>Authority &amp; storage: Product PostgreSQL app schema with module-prefixed authoritative tables; no cross-domain write-table access. Authoritative entities/tables are Lead, Opportunity, Pipeline, Stage, SalesActivity, Trial, Offer, LossReason, Attribution.</w:t>
      </w:r>
    </w:p>
    <w:p>
      <w:pPr>
        <w:pStyle w:val="Bullet1"/>
        <w:spacing w:after="40" w:line="252" w:lineRule="auto"/>
      </w:pPr>
      <w:r>
        <w:t>Command inventory: CreateLead, AssignLead, AdvanceOpportunity, ScheduleTrial, RecordActivity, CreateOffer, ConvertLeadToMember, MarkLost. Every command declares permission, idempotency, expected aggregate version and transaction boundary.</w:t>
      </w:r>
    </w:p>
    <w:p>
      <w:pPr>
        <w:pStyle w:val="Bullet1"/>
        <w:spacing w:after="40" w:line="252" w:lineRule="auto"/>
      </w:pPr>
      <w:r>
        <w:t>Queries/read models: List/detail and history projections for Lead, Opportunity, Pipeline, Stage; role/surface-specific attention/summary read models for Admin Web; Front Desk; Mobile Staff; every projection exposes freshness/version metadata when asynchronously built.</w:t>
      </w:r>
    </w:p>
    <w:p>
      <w:pPr>
        <w:pStyle w:val="Bullet1"/>
      </w:pPr>
      <w:r>
        <w:t>Indexes/concurrency: tenant-leading indexes for primary list/detail paths; unique external/provider identifiers are scoped by tenant/provider; aggregate version supports optimistic concurrency.</w:t>
      </w:r>
    </w:p>
    <w:p>
      <w:pPr>
        <w:pStyle w:val="Bullet1"/>
      </w:pPr>
      <w:r>
        <w:t>Published events: lead.created, lead.assigned, trial.booked, trial.attended, offer.sent, opportunity.won, opportunity.lost. Consumed dependencies: PPL-01, ENG-01, OPS-01, COM-02; dependencies are accessed by stable contracts/projections, never direct write-table joins. Direction for this intentional bidirectional pair (GRO-01 &lt;-&gt; ENG-01) is normative in §6.3.</w:t>
      </w:r>
    </w:p>
    <w:p>
      <w:pPr>
        <w:pStyle w:val="Bullet1"/>
      </w:pPr>
      <w:r>
        <w:t>Failure/degraded behavior: Write commands fail atomically; asynchronous effects retry idempotently; stale read models carry freshness and cannot authorize a consequence-bearing mutation beyond budget.</w:t>
      </w:r>
    </w:p>
    <w:p>
      <w:pPr>
        <w:pStyle w:val="Bullet1"/>
      </w:pPr>
      <w:r>
        <w:t>Security/privacy: classification is enforced at field/resource level; tenant context and authorization are mandatory. Restricted data follows §21 controls; support/break-glass access creates delegated actor evidence.</w:t>
      </w:r>
    </w:p>
    <w:p>
      <w:pPr>
        <w:pStyle w:val="Bullet1"/>
      </w:pPr>
      <w:r>
        <w:t>SLI/SLO: Surface/domain API 99.9% initial target; p95 &lt;500-750 ms by workload; queue/projection freshness per §12.5.</w:t>
      </w:r>
    </w:p>
    <w:p>
      <w:pPr>
        <w:pStyle w:val="Bullet1"/>
      </w:pPr>
      <w:r>
        <w:t>Tests/runbook: invariant/property tests for each state transition; contract tests for APIs/events; tenant isolation negative test where tenant-owned; runbook RB-GRO-01 covers stuck commands, reconciliation, provider/dependency outage and repair without history rewrite.</w:t>
      </w:r>
    </w:p>
    <w:p>
      <w:pPr>
        <w:pStyle w:val="Heading2"/>
        <w:keepNext/>
      </w:pPr>
      <w:r>
        <w:t>10.11 GRO-02 - Marketing, Referrals, Offers &amp; Growth Journeys</w:t>
      </w:r>
    </w:p>
    <w:tbl>
      <w:tblPr>
        <w:tblStyle w:val="TableGrid"/>
        <w:tblW w:type="dxa" w:w="9684"/>
        <w:jc w:val="center"/>
        <w:tblLayout w:type="autofit"/>
        <w:tblLook w:firstColumn="1" w:firstRow="1" w:lastColumn="0" w:lastRow="0" w:noHBand="0" w:noVBand="1" w:val="04A0"/>
      </w:tblPr>
      <w:tblGrid>
        <w:gridCol w:w="4842"/>
        <w:gridCol w:w="4842"/>
      </w:tblGrid>
      <w:tr>
        <w:trPr>
          <w:tblHeader w:val="true"/>
          <w:tblHeader w:val="true"/>
        </w:trPr>
        <w:tc>
          <w:tcPr>
            <w:tcW w:type="dxa" w:w="219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Attribute</w:t>
            </w:r>
          </w:p>
        </w:tc>
        <w:tc>
          <w:tcPr>
            <w:tcW w:type="dxa" w:w="758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Technical Design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phase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V1.5 Growth</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surfaces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Admin Web; Member App; Communication Channels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dependencies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GRO-01, ENG-02, AUT-01, COM-02, SEC-02</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Authoritative entities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Audience, Segment, Campaign, Journey, Referral, ReferralReward, Offer, AttributionWindow, ConsentSuppression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Key events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campaign.launched, message.delivered, referral.created, referral.qualified, offer.redeemed, journey.completed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store</w:t>
            </w:r>
          </w:p>
        </w:tc>
        <w:tc>
          <w:tcPr>
            <w:tcW w:type="dxa" w:w="7588"/>
            <w:tcMar>
              <w:top w:w="70" w:type="dxa"/>
              <w:start w:w="85" w:type="dxa"/>
              <w:bottom w:w="70" w:type="dxa"/>
              <w:end w:w="85" w:type="dxa"/>
              <w:left w:w="80" w:type="dxa"/>
              <w:right w:w="80" w:type="dxa"/>
            </w:tcMar>
            <w:vAlign w:val="center"/>
          </w:tcPr>
          <w:p>
            <w:r>
              <w:t>Product PostgreSQL app schema with module-prefixed authoritative tables; no cross-domain write-table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Data classification</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Confidential/tenant-scoped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Continuity tier</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Tier 2</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Technical interface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Domain command/query interface; no direct 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Async/workflow contract</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Transactional outbox for state changes; idempotent consumers.</w:t>
            </w:r>
          </w:p>
        </w:tc>
      </w:tr>
      <w:tr>
        <w:tc>
          <w:tcPr>
            <w:tcW w:type="dxa" w:w="4842"/>
            <w:tcMar>
              <w:top w:w="70" w:type="dxa"/>
              <w:left w:w="80" w:type="dxa"/>
              <w:bottom w:w="70" w:type="dxa"/>
              <w:right w:w="80" w:type="dxa"/>
            </w:tcMar>
          </w:tcPr>
          <w:p>
            <w:r>
              <w:t>Implementation slice</w:t>
            </w:r>
          </w:p>
        </w:tc>
        <w:tc>
          <w:tcPr>
            <w:tcW w:type="dxa" w:w="4842"/>
            <w:tcMar>
              <w:top w:w="70" w:type="dxa"/>
              <w:left w:w="80" w:type="dxa"/>
              <w:bottom w:w="70" w:type="dxa"/>
              <w:right w:w="80" w:type="dxa"/>
            </w:tcMar>
          </w:tcPr>
          <w:p>
            <w:r>
              <w:t>V1.5 Growth</w:t>
            </w:r>
          </w:p>
        </w:tc>
      </w:tr>
    </w:tbl>
    <w:p>
      <w:pPr>
        <w:spacing w:after="40"/>
      </w:pPr>
    </w:p>
    <w:p>
      <w:pPr>
        <w:spacing w:after="80" w:line="259" w:lineRule="auto"/>
      </w:pPr>
      <w:r>
        <w:rPr>
          <w:rFonts w:ascii="Noto Sans" w:hAnsi="Noto Sans"/>
        </w:rPr>
        <w:t>Coordinate permission-aware acquisition, activation, referral, upsell and win-back journeys across channels.</w:t>
      </w:r>
    </w:p>
    <w:p>
      <w:pPr>
        <w:pStyle w:val="Heading3"/>
        <w:keepNext/>
      </w:pPr>
      <w:r>
        <w:t>Required Capabilities Preserved</w:t>
      </w:r>
    </w:p>
    <w:p>
      <w:pPr>
        <w:pStyle w:val="Bullet1"/>
        <w:spacing w:after="40" w:line="252" w:lineRule="auto"/>
      </w:pPr>
      <w:r>
        <w:rPr>
          <w:rFonts w:ascii="Noto Sans" w:hAnsi="Noto Sans"/>
        </w:rPr>
        <w:t>Audience builder using lifecycle, membership, attendance, spending, coaching, engagement, location and risk.</w:t>
      </w:r>
    </w:p>
    <w:p>
      <w:pPr>
        <w:pStyle w:val="Bullet1"/>
        <w:spacing w:after="40" w:line="252" w:lineRule="auto"/>
      </w:pPr>
      <w:r>
        <w:rPr>
          <w:rFonts w:ascii="Noto Sans" w:hAnsi="Noto Sans"/>
        </w:rPr>
        <w:t>Campaign orchestration across email, push, SMS, WhatsApp and in-app placements.</w:t>
      </w:r>
    </w:p>
    <w:p>
      <w:pPr>
        <w:pStyle w:val="Bullet1"/>
        <w:spacing w:after="40" w:line="252" w:lineRule="auto"/>
      </w:pPr>
      <w:r>
        <w:rPr>
          <w:rFonts w:ascii="Noto Sans" w:hAnsi="Noto Sans"/>
        </w:rPr>
        <w:t>Referral links, codes and QR with sponsor tracking, fraud checks, qualification and rewards.</w:t>
      </w:r>
    </w:p>
    <w:p>
      <w:pPr>
        <w:pStyle w:val="Bullet1"/>
        <w:spacing w:after="40" w:line="252" w:lineRule="auto"/>
      </w:pPr>
      <w:r>
        <w:rPr>
          <w:rFonts w:ascii="Noto Sans" w:hAnsi="Noto Sans"/>
        </w:rPr>
        <w:t>Lifecycle journeys for onboarding, first visit, inactivity, expiration, birthday, milestone and win-back.</w:t>
      </w:r>
    </w:p>
    <w:p>
      <w:pPr>
        <w:pStyle w:val="Bullet1"/>
        <w:spacing w:after="40" w:line="252" w:lineRule="auto"/>
      </w:pPr>
      <w:r>
        <w:rPr>
          <w:rFonts w:ascii="Noto Sans" w:hAnsi="Noto Sans"/>
        </w:rPr>
        <w:t>Offer eligibility, frequency caps, suppression, holdout groups and attribution windows.</w:t>
      </w:r>
    </w:p>
    <w:p>
      <w:pPr>
        <w:pStyle w:val="Bullet1"/>
        <w:spacing w:after="40" w:line="252" w:lineRule="auto"/>
      </w:pPr>
      <w:r>
        <w:rPr>
          <w:rFonts w:ascii="Noto Sans" w:hAnsi="Noto Sans"/>
        </w:rPr>
        <w:t>Landing pages and lead forms governed by brand and localization settings.</w:t>
      </w:r>
    </w:p>
    <w:p>
      <w:pPr>
        <w:pStyle w:val="Bullet1"/>
        <w:spacing w:after="40" w:line="252" w:lineRule="auto"/>
      </w:pPr>
      <w:r>
        <w:rPr>
          <w:rFonts w:ascii="Noto Sans" w:hAnsi="Noto Sans"/>
        </w:rPr>
        <w:t>Incrementality and conversion reporting instead of message-open metrics alone.</w:t>
      </w:r>
    </w:p>
    <w:p>
      <w:pPr>
        <w:pStyle w:val="Heading3"/>
        <w:keepNext/>
      </w:pPr>
      <w:r>
        <w:t>Critical Controls</w:t>
      </w:r>
    </w:p>
    <w:p>
      <w:pPr>
        <w:pStyle w:val="Bullet1"/>
        <w:spacing w:after="40" w:line="252" w:lineRule="auto"/>
      </w:pPr>
      <w:r>
        <w:rPr>
          <w:rFonts w:ascii="Noto Sans" w:hAnsi="Noto Sans"/>
        </w:rPr>
        <w:t>Channel preferences, quiet hours and regulatory consent are mandatory.</w:t>
      </w:r>
    </w:p>
    <w:p>
      <w:pPr>
        <w:pStyle w:val="Bullet1"/>
        <w:spacing w:after="40" w:line="252" w:lineRule="auto"/>
      </w:pPr>
      <w:r>
        <w:rPr>
          <w:rFonts w:ascii="Noto Sans" w:hAnsi="Noto Sans"/>
        </w:rPr>
        <w:t>Referral and promotion abuse is detected before reward settlement.</w:t>
      </w:r>
    </w:p>
    <w:p>
      <w:pPr>
        <w:pStyle w:val="Heading3"/>
        <w:keepNext/>
      </w:pPr>
      <w:r>
        <w:t>Required Outcomes</w:t>
      </w:r>
    </w:p>
    <w:p>
      <w:pPr>
        <w:pStyle w:val="Bullet1"/>
        <w:spacing w:after="40" w:line="252" w:lineRule="auto"/>
      </w:pPr>
      <w:r>
        <w:rPr>
          <w:rFonts w:ascii="Noto Sans" w:hAnsi="Noto Sans"/>
        </w:rPr>
        <w:t>Lower acquisition cost and measurable member-led growth.</w:t>
      </w:r>
    </w:p>
    <w:p>
      <w:pPr>
        <w:pStyle w:val="Bullet1"/>
        <w:spacing w:after="40" w:line="252" w:lineRule="auto"/>
      </w:pPr>
      <w:r>
        <w:rPr>
          <w:rFonts w:ascii="Noto Sans" w:hAnsi="Noto Sans"/>
        </w:rPr>
        <w:t>Campaigns optimize business outcomes, not notification volume.</w:t>
      </w:r>
    </w:p>
    <w:p>
      <w:pPr>
        <w:pStyle w:val="Heading3"/>
        <w:keepNext/>
      </w:pPr>
      <w:r>
        <w:t>Technical Realization Notes</w:t>
      </w:r>
    </w:p>
    <w:p>
      <w:pPr>
        <w:pStyle w:val="Bullet1"/>
        <w:spacing w:after="40" w:line="252" w:lineRule="auto"/>
      </w:pPr>
      <w:r>
        <w:t>Authority &amp; storage: Product PostgreSQL app schema with module-prefixed authoritative tables; no cross-domain write-table access. Authoritative entities/tables are Audience, Segment, Campaign, Journey, Referral, ReferralReward, Offer, AttributionWindow, ConsentSuppression.</w:t>
      </w:r>
    </w:p>
    <w:p>
      <w:pPr>
        <w:pStyle w:val="Bullet1"/>
        <w:spacing w:after="40" w:line="252" w:lineRule="auto"/>
      </w:pPr>
      <w:r>
        <w:t>Command inventory: CreateCampaign, CreateReferral, PublishOffer, QualifyAudience, RedeemOffer, AdvanceJourney, AttributeConversion. Every command declares permission, idempotency, expected aggregate version and transaction boundary.</w:t>
      </w:r>
    </w:p>
    <w:p>
      <w:pPr>
        <w:pStyle w:val="Bullet1"/>
        <w:spacing w:after="40" w:line="252" w:lineRule="auto"/>
      </w:pPr>
      <w:r>
        <w:t>Queries/read models: List/detail and history projections for Audience, Segment, Campaign, Journey; role/surface-specific attention/summary read models for Admin Web; Member App; Communication Channels; every projection exposes freshness/version metadata when asynchronously built.</w:t>
      </w:r>
    </w:p>
    <w:p>
      <w:pPr>
        <w:pStyle w:val="Bullet1"/>
      </w:pPr>
      <w:r>
        <w:t>Indexes/concurrency: tenant-leading indexes for primary list/detail paths; unique external/provider identifiers are scoped by tenant/provider; aggregate version supports optimistic concurrency.</w:t>
      </w:r>
    </w:p>
    <w:p>
      <w:pPr>
        <w:pStyle w:val="Bullet1"/>
      </w:pPr>
      <w:r>
        <w:t>Published events: campaign.launched, message.delivered, referral.created, referral.qualified, offer.redeemed, journey.completed. Consumed dependencies: GRO-01, ENG-02, AUT-01, COM-02, SEC-02; dependencies are accessed by stable contracts/projections, never direct write-table joins.</w:t>
      </w:r>
    </w:p>
    <w:p>
      <w:pPr>
        <w:pStyle w:val="Bullet1"/>
      </w:pPr>
      <w:r>
        <w:t>Failure/degraded behavior: Write commands fail atomically; asynchronous effects retry idempotently; stale read models carry freshness and cannot authorize a consequence-bearing mutation beyond budget.</w:t>
      </w:r>
    </w:p>
    <w:p>
      <w:pPr>
        <w:pStyle w:val="Bullet1"/>
      </w:pPr>
      <w:r>
        <w:t>Security/privacy: classification is enforced at field/resource level; tenant context and authorization are mandatory. Restricted data follows §21 controls; support/break-glass access creates delegated actor evidence.</w:t>
      </w:r>
    </w:p>
    <w:p>
      <w:pPr>
        <w:pStyle w:val="Bullet1"/>
      </w:pPr>
      <w:r>
        <w:t>SLI/SLO: Surface/domain API 99.9% initial target; p95 &lt;500-750 ms by workload; queue/projection freshness per §12.5.</w:t>
      </w:r>
    </w:p>
    <w:p>
      <w:pPr>
        <w:pStyle w:val="Bullet1"/>
      </w:pPr>
      <w:r>
        <w:t>Tests/runbook: invariant/property tests for each state transition; contract tests for APIs/events; tenant isolation negative test where tenant-owned; runbook RB-GRO-02 covers stuck commands, reconciliation, provider/dependency outage and repair without history rewrite.</w:t>
      </w:r>
    </w:p>
    <w:p>
      <w:pPr>
        <w:pStyle w:val="Heading2"/>
        <w:keepNext/>
      </w:pPr>
      <w:r>
        <w:t>10.12 COM-01 - Memberships, Contracts, Entitlements &amp; Lifecycle</w:t>
      </w:r>
    </w:p>
    <w:tbl>
      <w:tblPr>
        <w:tblStyle w:val="TableGrid"/>
        <w:tblW w:type="dxa" w:w="9684"/>
        <w:jc w:val="center"/>
        <w:tblLayout w:type="autofit"/>
        <w:tblLook w:firstColumn="1" w:firstRow="1" w:lastColumn="0" w:lastRow="0" w:noHBand="0" w:noVBand="1" w:val="04A0"/>
      </w:tblPr>
      <w:tblGrid>
        <w:gridCol w:w="4842"/>
        <w:gridCol w:w="4842"/>
      </w:tblGrid>
      <w:tr>
        <w:trPr>
          <w:tblHeader w:val="true"/>
          <w:tblHeader w:val="true"/>
        </w:trPr>
        <w:tc>
          <w:tcPr>
            <w:tcW w:type="dxa" w:w="219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Attribute</w:t>
            </w:r>
          </w:p>
        </w:tc>
        <w:tc>
          <w:tcPr>
            <w:tcW w:type="dxa" w:w="758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Technical Design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phase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V1 General Availability</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surfaces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Admin Web; Member App; Front Desk; Access Control</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dependencies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PPL-01, COM-02, COM-03, IAM-03</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Authoritative entities</w:t>
            </w:r>
          </w:p>
        </w:tc>
        <w:tc>
          <w:tcPr>
            <w:tcW w:type="dxa" w:w="7588"/>
            <w:tcMar>
              <w:top w:w="70" w:type="dxa"/>
              <w:start w:w="85" w:type="dxa"/>
              <w:bottom w:w="70" w:type="dxa"/>
              <w:end w:w="85" w:type="dxa"/>
              <w:left w:w="80" w:type="dxa"/>
              <w:right w:w="80" w:type="dxa"/>
            </w:tcMar>
            <w:vAlign w:val="center"/>
          </w:tcPr>
          <w:p>
            <w:r>
              <w:t>MembershipProduct, MembershipAgreement, Membership, MemberEntitlementGrant, EntitlementReservation, EntitlementPolicy, Freeze, LifecycleChange, ContractVersion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Key events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membership.created, membership.activated, membership.frozen, membership.changed, membership.renewed, membership.cancelled, entitlement.changed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store</w:t>
            </w:r>
          </w:p>
        </w:tc>
        <w:tc>
          <w:tcPr>
            <w:tcW w:type="dxa" w:w="7588"/>
            <w:tcMar>
              <w:top w:w="70" w:type="dxa"/>
              <w:start w:w="85" w:type="dxa"/>
              <w:bottom w:w="70" w:type="dxa"/>
              <w:end w:w="85" w:type="dxa"/>
              <w:left w:w="80" w:type="dxa"/>
              <w:right w:w="80" w:type="dxa"/>
            </w:tcMar>
            <w:vAlign w:val="center"/>
          </w:tcPr>
          <w:p>
            <w:r>
              <w:t>Product PostgreSQL app schema with module-prefixed authoritative tables; no cross-domain write-table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Data classification</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Confidential/tenant-scoped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Continuity tier</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Tier 2</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Technical interface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Domain command/query interface; no direct 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Async/workflow contract</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Transactional outbox for state changes; idempotent consumers. Durable workflow orchestration for multi-step/timer/provider processes.</w:t>
            </w:r>
          </w:p>
        </w:tc>
      </w:tr>
      <w:tr>
        <w:tc>
          <w:tcPr>
            <w:tcW w:type="dxa" w:w="4842"/>
            <w:tcMar>
              <w:top w:w="70" w:type="dxa"/>
              <w:left w:w="80" w:type="dxa"/>
              <w:bottom w:w="70" w:type="dxa"/>
              <w:right w:w="80" w:type="dxa"/>
            </w:tcMar>
          </w:tcPr>
          <w:p>
            <w:r>
              <w:t>Implementation slice</w:t>
            </w:r>
          </w:p>
        </w:tc>
        <w:tc>
          <w:tcPr>
            <w:tcW w:type="dxa" w:w="4842"/>
            <w:tcMar>
              <w:top w:w="70" w:type="dxa"/>
              <w:left w:w="80" w:type="dxa"/>
              <w:bottom w:w="70" w:type="dxa"/>
              <w:right w:w="80" w:type="dxa"/>
            </w:tcMar>
          </w:tcPr>
          <w:p>
            <w:r>
              <w:t>Pilot core slice; complete domain depth by V1 GA</w:t>
            </w:r>
          </w:p>
        </w:tc>
      </w:tr>
    </w:tbl>
    <w:p>
      <w:pPr>
        <w:spacing w:after="40"/>
      </w:pPr>
    </w:p>
    <w:p>
      <w:pPr>
        <w:spacing w:after="80" w:line="259" w:lineRule="auto"/>
      </w:pPr>
      <w:r>
        <w:rPr>
          <w:rFonts w:ascii="Noto Sans" w:hAnsi="Noto Sans"/>
        </w:rPr>
        <w:t>Model the commercial agreement and the operational rights a member receives throughout its lifecycle.</w:t>
      </w:r>
    </w:p>
    <w:p>
      <w:pPr>
        <w:pStyle w:val="Heading3"/>
        <w:keepNext/>
      </w:pPr>
      <w:r>
        <w:t>Required Capabilities Preserved</w:t>
      </w:r>
    </w:p>
    <w:p>
      <w:pPr>
        <w:pStyle w:val="Bullet1"/>
        <w:spacing w:after="40" w:line="252" w:lineRule="auto"/>
      </w:pPr>
      <w:r>
        <w:rPr>
          <w:rFonts w:ascii="Noto Sans" w:hAnsi="Noto Sans"/>
        </w:rPr>
        <w:t>Fixed-term, recurring, installment, prepaid, off-peak, family, student, corporate, class-credit and unlimited memberships.</w:t>
      </w:r>
    </w:p>
    <w:p>
      <w:pPr>
        <w:pStyle w:val="Bullet1"/>
        <w:spacing w:after="40" w:line="252" w:lineRule="auto"/>
      </w:pPr>
      <w:r>
        <w:rPr>
          <w:rFonts w:ascii="Noto Sans" w:hAnsi="Noto Sans"/>
        </w:rPr>
        <w:t>Contract version, signature, start/end, minimum term, notice, renewal and cancellation policy.</w:t>
      </w:r>
    </w:p>
    <w:p>
      <w:pPr>
        <w:pStyle w:val="Bullet1"/>
        <w:spacing w:after="40" w:line="252" w:lineRule="auto"/>
      </w:pPr>
      <w:r>
        <w:rPr>
          <w:rFonts w:ascii="Noto Sans" w:hAnsi="Noto Sans"/>
        </w:rPr>
        <w:t>Entitlements for locations, schedules, zones, classes, facilities, services, guest passes, discounts and digital content.</w:t>
      </w:r>
    </w:p>
    <w:p>
      <w:pPr>
        <w:pStyle w:val="Bullet1"/>
        <w:spacing w:after="40" w:line="252" w:lineRule="auto"/>
      </w:pPr>
      <w:r>
        <w:rPr>
          <w:rFonts w:ascii="Noto Sans" w:hAnsi="Noto Sans"/>
        </w:rPr>
        <w:t>Freeze, pause, medical hold, upgrade, downgrade, transfer, renewal, cancellation and reinstatement with effective dating.</w:t>
      </w:r>
    </w:p>
    <w:p>
      <w:pPr>
        <w:pStyle w:val="Bullet1"/>
        <w:spacing w:after="40" w:line="252" w:lineRule="auto"/>
      </w:pPr>
      <w:r>
        <w:rPr>
          <w:rFonts w:ascii="Noto Sans" w:hAnsi="Noto Sans"/>
        </w:rPr>
        <w:t>Proration, credit carryover, expiry extension, grace period and access consequences.</w:t>
      </w:r>
    </w:p>
    <w:p>
      <w:pPr>
        <w:pStyle w:val="Bullet1"/>
        <w:spacing w:after="40" w:line="252" w:lineRule="auto"/>
      </w:pPr>
      <w:r>
        <w:rPr>
          <w:rFonts w:ascii="Noto Sans" w:hAnsi="Noto Sans"/>
        </w:rPr>
        <w:t>Member self-service request policies with eligibility checks, fee disclosure and approval where required.</w:t>
      </w:r>
    </w:p>
    <w:p>
      <w:pPr>
        <w:pStyle w:val="Bullet1"/>
        <w:spacing w:after="40" w:line="252" w:lineRule="auto"/>
      </w:pPr>
      <w:r>
        <w:rPr>
          <w:rFonts w:ascii="Noto Sans" w:hAnsi="Noto Sans"/>
        </w:rPr>
        <w:t>Full state history and “as-of” reconstruction for disputes and audits.</w:t>
      </w:r>
    </w:p>
    <w:p>
      <w:pPr>
        <w:pStyle w:val="Heading3"/>
        <w:keepNext/>
      </w:pPr>
      <w:r>
        <w:t>Critical Controls</w:t>
      </w:r>
    </w:p>
    <w:p>
      <w:pPr>
        <w:pStyle w:val="Bullet1"/>
        <w:spacing w:after="40" w:line="252" w:lineRule="auto"/>
      </w:pPr>
      <w:r>
        <w:rPr>
          <w:rFonts w:ascii="Noto Sans" w:hAnsi="Noto Sans"/>
        </w:rPr>
        <w:t>Membership state, billing state and access state are related but never conflated.</w:t>
      </w:r>
    </w:p>
    <w:p>
      <w:pPr>
        <w:pStyle w:val="Bullet1"/>
        <w:spacing w:after="40" w:line="252" w:lineRule="auto"/>
      </w:pPr>
      <w:r>
        <w:rPr>
          <w:rFonts w:ascii="Noto Sans" w:hAnsi="Noto Sans"/>
        </w:rPr>
        <w:t>Lifecycle calculations are deterministic, effective-dated and auditable.</w:t>
      </w:r>
    </w:p>
    <w:p>
      <w:pPr>
        <w:pStyle w:val="Heading3"/>
        <w:keepNext/>
      </w:pPr>
      <w:r>
        <w:t>Required Outcomes</w:t>
      </w:r>
    </w:p>
    <w:p>
      <w:pPr>
        <w:pStyle w:val="Bullet1"/>
        <w:spacing w:after="40" w:line="252" w:lineRule="auto"/>
      </w:pPr>
      <w:r>
        <w:rPr>
          <w:rFonts w:ascii="Noto Sans" w:hAnsi="Noto Sans"/>
        </w:rPr>
        <w:t>Complex plans operate consistently across sales, access, booking and billing.</w:t>
      </w:r>
    </w:p>
    <w:p>
      <w:pPr>
        <w:pStyle w:val="Bullet1"/>
        <w:spacing w:after="40" w:line="252" w:lineRule="auto"/>
      </w:pPr>
      <w:r>
        <w:rPr>
          <w:rFonts w:ascii="Noto Sans" w:hAnsi="Noto Sans"/>
        </w:rPr>
        <w:t>Members understand consequences before confirming changes.</w:t>
      </w:r>
    </w:p>
    <w:p>
      <w:pPr>
        <w:pStyle w:val="Heading3"/>
        <w:keepNext/>
      </w:pPr>
      <w:r>
        <w:t>Technical Realization Notes</w:t>
      </w:r>
    </w:p>
    <w:p>
      <w:pPr>
        <w:pStyle w:val="Bullet1"/>
        <w:spacing w:after="40" w:line="252" w:lineRule="auto"/>
      </w:pPr>
      <w:r>
        <w:t>Authority &amp; storage: Product PostgreSQL app schema with module-prefixed authoritative tables; no cross-domain write-table access. Authoritative entities/tables are MembershipProduct, MembershipAgreement, Membership, Entitlement, EntitlementPolicy, Freeze, LifecycleChange, ContractVersion.</w:t>
      </w:r>
    </w:p>
    <w:p>
      <w:pPr>
        <w:pStyle w:val="Bullet1"/>
        <w:spacing w:after="40" w:line="252" w:lineRule="auto"/>
      </w:pPr>
      <w:r>
        <w:t>Command inventory: CreateMembershipAgreement, ActivateMembership, FreezeMembership, ResumeMembership, ChangeMembership, RenewMembership, CancelMembership, GrantEntitlement, ReserveEntitlement, ConsumeEntitlement, ReleaseEntitlement. Every command declares permission, idempotency, expected aggregate version and transaction boundary.</w:t>
      </w:r>
    </w:p>
    <w:p>
      <w:pPr>
        <w:pStyle w:val="Bullet1"/>
        <w:spacing w:after="40" w:line="252" w:lineRule="auto"/>
      </w:pPr>
      <w:r>
        <w:t>Queries/read models: List/detail and history projections for MembershipProduct, MembershipAgreement, Membership, Entitlement; role/surface-specific attention/summary read models for Admin Web; Member App; Front Desk; Access Control; every projection exposes freshness/version metadata when asynchronously built.</w:t>
      </w:r>
    </w:p>
    <w:p>
      <w:pPr>
        <w:pStyle w:val="Bullet1"/>
      </w:pPr>
      <w:r>
        <w:t>Indexes/concurrency: tenant/member/status/effective-date indexes; unique active entitlement reservation keys; version checked on grant updates.</w:t>
      </w:r>
    </w:p>
    <w:p>
      <w:pPr>
        <w:pStyle w:val="Bullet1"/>
      </w:pPr>
      <w:r>
        <w:t>MemberEntitlementGrant is the fulfillment authority. Reservation is atomic and expiring; ServiceCredit in COM-04 remains the financial liability/recognition view.</w:t>
      </w:r>
    </w:p>
    <w:p>
      <w:pPr>
        <w:pStyle w:val="Bullet1"/>
      </w:pPr>
      <w:r>
        <w:t>Published events: membership.created, membership.activated, membership.frozen, membership.changed, membership.renewed, membership.cancelled, entitlement.changed, membership.resumed, membership.expired, membership.transferred, entitlement.granted, entitlement.reserved, entitlement.consumed, entitlement.released, entitlement.expired, entitlement.revoked. Consumed dependencies: PPL-01, COM-02, COM-03, IAM-03; dependencies are accessed by stable contracts/projections, never direct write-table joins. Direction for this intentional bidirectional pair (COM-01 &lt;-&gt; COM-03) is normative in §6.3.</w:t>
      </w:r>
    </w:p>
    <w:p>
      <w:pPr>
        <w:pStyle w:val="Bullet1"/>
      </w:pPr>
      <w:r>
        <w:t>Failure/degraded behavior: Write commands fail atomically; asynchronous effects retry idempotently; stale read models carry freshness and cannot authorize a consequence-bearing mutation beyond budget.</w:t>
      </w:r>
    </w:p>
    <w:p>
      <w:pPr>
        <w:pStyle w:val="Bullet1"/>
      </w:pPr>
      <w:r>
        <w:t>Security/privacy: classification is enforced at field/resource level; tenant context and authorization are mandatory. Restricted data follows §21 controls; support/break-glass access creates delegated actor evidence.</w:t>
      </w:r>
    </w:p>
    <w:p>
      <w:pPr>
        <w:pStyle w:val="Bullet1"/>
      </w:pPr>
      <w:r>
        <w:t>SLI/SLO: Surface/domain API 99.9% initial target; p95 &lt;500-750 ms by workload; queue/projection freshness per §12.5.</w:t>
      </w:r>
    </w:p>
    <w:p>
      <w:pPr>
        <w:pStyle w:val="Bullet1"/>
      </w:pPr>
      <w:r>
        <w:t>Tests/runbook: invariant/property tests for each state transition; contract tests for APIs/events; tenant isolation negative test where tenant-owned; runbook RB-COM-01 covers stuck commands, reconciliation, provider/dependency outage and repair without history rewrite.</w:t>
      </w:r>
    </w:p>
    <w:p>
      <w:pPr>
        <w:pStyle w:val="Heading2"/>
        <w:keepNext/>
      </w:pPr>
      <w:r>
        <w:t>10.13 COM-02 - Catalog, Pricing, Promotions &amp; Packages</w:t>
      </w:r>
    </w:p>
    <w:tbl>
      <w:tblPr>
        <w:tblStyle w:val="TableGrid"/>
        <w:tblW w:type="dxa" w:w="9684"/>
        <w:jc w:val="center"/>
        <w:tblLayout w:type="autofit"/>
        <w:tblLook w:firstColumn="1" w:firstRow="1" w:lastColumn="0" w:lastRow="0" w:noHBand="0" w:noVBand="1" w:val="04A0"/>
      </w:tblPr>
      <w:tblGrid>
        <w:gridCol w:w="4842"/>
        <w:gridCol w:w="4842"/>
      </w:tblGrid>
      <w:tr>
        <w:trPr>
          <w:tblHeader w:val="true"/>
          <w:tblHeader w:val="true"/>
        </w:trPr>
        <w:tc>
          <w:tcPr>
            <w:tcW w:type="dxa" w:w="219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Attribute</w:t>
            </w:r>
          </w:p>
        </w:tc>
        <w:tc>
          <w:tcPr>
            <w:tcW w:type="dxa" w:w="758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Technical Design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phase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V1 General Availability</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surfaces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Admin Web; POS; Member App; CRM</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dependencies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PLT-01, IAM-03</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Authoritative entities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Product, ProductVariant, Bundle, PriceBook, Price, Promotion, Coupon, EligibilityRule, TaxCategory</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Key events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product.published, price.changed, promotion.activated, coupon.redeemed, bundle.fulfilled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store</w:t>
            </w:r>
          </w:p>
        </w:tc>
        <w:tc>
          <w:tcPr>
            <w:tcW w:type="dxa" w:w="7588"/>
            <w:tcMar>
              <w:top w:w="70" w:type="dxa"/>
              <w:start w:w="85" w:type="dxa"/>
              <w:bottom w:w="70" w:type="dxa"/>
              <w:end w:w="85" w:type="dxa"/>
              <w:left w:w="80" w:type="dxa"/>
              <w:right w:w="80" w:type="dxa"/>
            </w:tcMar>
            <w:vAlign w:val="center"/>
          </w:tcPr>
          <w:p>
            <w:r>
              <w:t>Product PostgreSQL app schema with module-prefixed authoritative tables; no cross-domain write-table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Data classification</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Confidential/tenant-scoped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Continuity tier</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Tier 2</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Technical interface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Domain command/query interface; no direct table access. Publishes permission-safe search projection.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Async/workflow contract</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Transactional outbox for state changes; idempotent consumers.</w:t>
            </w:r>
          </w:p>
        </w:tc>
      </w:tr>
      <w:tr>
        <w:tc>
          <w:tcPr>
            <w:tcW w:type="dxa" w:w="4842"/>
            <w:tcMar>
              <w:top w:w="70" w:type="dxa"/>
              <w:left w:w="80" w:type="dxa"/>
              <w:bottom w:w="70" w:type="dxa"/>
              <w:right w:w="80" w:type="dxa"/>
            </w:tcMar>
          </w:tcPr>
          <w:p>
            <w:r>
              <w:t>Implementation slice</w:t>
            </w:r>
          </w:p>
        </w:tc>
        <w:tc>
          <w:tcPr>
            <w:tcW w:type="dxa" w:w="4842"/>
            <w:tcMar>
              <w:top w:w="70" w:type="dxa"/>
              <w:left w:w="80" w:type="dxa"/>
              <w:bottom w:w="70" w:type="dxa"/>
              <w:right w:w="80" w:type="dxa"/>
            </w:tcMar>
          </w:tcPr>
          <w:p>
            <w:r>
              <w:t>V1 General Availability</w:t>
            </w:r>
          </w:p>
        </w:tc>
      </w:tr>
    </w:tbl>
    <w:p>
      <w:pPr>
        <w:spacing w:after="40"/>
      </w:pPr>
    </w:p>
    <w:p>
      <w:pPr>
        <w:spacing w:after="80" w:line="259" w:lineRule="auto"/>
      </w:pPr>
      <w:r>
        <w:rPr>
          <w:rFonts w:ascii="Noto Sans" w:hAnsi="Noto Sans"/>
        </w:rPr>
        <w:t>Provide a single commercial catalog for memberships, services, credits, retail goods, digital products and bundles.</w:t>
      </w:r>
    </w:p>
    <w:p>
      <w:pPr>
        <w:pStyle w:val="Heading3"/>
        <w:keepNext/>
      </w:pPr>
      <w:r>
        <w:t>Required Capabilities Preserved</w:t>
      </w:r>
    </w:p>
    <w:p>
      <w:pPr>
        <w:pStyle w:val="Bullet1"/>
        <w:spacing w:after="40" w:line="252" w:lineRule="auto"/>
      </w:pPr>
      <w:r>
        <w:rPr>
          <w:rFonts w:ascii="Noto Sans" w:hAnsi="Noto Sans"/>
        </w:rPr>
        <w:t>Product types for membership, service, session credit, class credit, retail SKU, subscription add-on, event and gift card.</w:t>
      </w:r>
    </w:p>
    <w:p>
      <w:pPr>
        <w:pStyle w:val="Bullet1"/>
        <w:spacing w:after="40" w:line="252" w:lineRule="auto"/>
      </w:pPr>
      <w:r>
        <w:rPr>
          <w:rFonts w:ascii="Noto Sans" w:hAnsi="Noto Sans"/>
        </w:rPr>
        <w:t>Price books by brand, location, channel, currency, tax regime, customer segment and effective date.</w:t>
      </w:r>
    </w:p>
    <w:p>
      <w:pPr>
        <w:pStyle w:val="Bullet1"/>
        <w:spacing w:after="40" w:line="252" w:lineRule="auto"/>
      </w:pPr>
      <w:r>
        <w:rPr>
          <w:rFonts w:ascii="Noto Sans" w:hAnsi="Noto Sans"/>
        </w:rPr>
        <w:t>Bundles linking commercial sale to operational fulfillment and entitlements.</w:t>
      </w:r>
    </w:p>
    <w:p>
      <w:pPr>
        <w:pStyle w:val="Bullet1"/>
        <w:spacing w:after="40" w:line="252" w:lineRule="auto"/>
      </w:pPr>
      <w:r>
        <w:rPr>
          <w:rFonts w:ascii="Noto Sans" w:hAnsi="Noto Sans"/>
        </w:rPr>
        <w:t>Coupons, automatic promotions, corporate rates, member tiers, staff discounts and manual discount policy.</w:t>
      </w:r>
    </w:p>
    <w:p>
      <w:pPr>
        <w:pStyle w:val="Bullet1"/>
        <w:spacing w:after="40" w:line="252" w:lineRule="auto"/>
      </w:pPr>
      <w:r>
        <w:rPr>
          <w:rFonts w:ascii="Noto Sans" w:hAnsi="Noto Sans"/>
        </w:rPr>
        <w:t>Eligibility, stacking, usage limits, minimum spend, blackout dates and approval thresholds.</w:t>
      </w:r>
    </w:p>
    <w:p>
      <w:pPr>
        <w:pStyle w:val="Bullet1"/>
        <w:spacing w:after="40" w:line="252" w:lineRule="auto"/>
      </w:pPr>
      <w:r>
        <w:rPr>
          <w:rFonts w:ascii="Noto Sans" w:hAnsi="Noto Sans"/>
        </w:rPr>
        <w:t>Localized names, media, descriptions, terms, availability and merchandising order.</w:t>
      </w:r>
    </w:p>
    <w:p>
      <w:pPr>
        <w:pStyle w:val="Bullet1"/>
        <w:spacing w:after="40" w:line="252" w:lineRule="auto"/>
      </w:pPr>
      <w:r>
        <w:rPr>
          <w:rFonts w:ascii="Noto Sans" w:hAnsi="Noto Sans"/>
        </w:rPr>
        <w:t>Versioned price changes that do not rewrite historical transactions.</w:t>
      </w:r>
    </w:p>
    <w:p>
      <w:pPr>
        <w:pStyle w:val="Heading3"/>
        <w:keepNext/>
      </w:pPr>
      <w:r>
        <w:t>Critical Controls</w:t>
      </w:r>
    </w:p>
    <w:p>
      <w:pPr>
        <w:pStyle w:val="Bullet1"/>
        <w:spacing w:after="40" w:line="252" w:lineRule="auto"/>
      </w:pPr>
      <w:r>
        <w:rPr>
          <w:rFonts w:ascii="Noto Sans" w:hAnsi="Noto Sans"/>
        </w:rPr>
        <w:t>Pricing resolution is deterministic and returns an explanation.</w:t>
      </w:r>
    </w:p>
    <w:p>
      <w:pPr>
        <w:pStyle w:val="Bullet1"/>
        <w:spacing w:after="40" w:line="252" w:lineRule="auto"/>
      </w:pPr>
      <w:r>
        <w:rPr>
          <w:rFonts w:ascii="Noto Sans" w:hAnsi="Noto Sans"/>
        </w:rPr>
        <w:t>Manual price overrides and high discounts require explicit permission and audit.</w:t>
      </w:r>
    </w:p>
    <w:p>
      <w:pPr>
        <w:pStyle w:val="Heading3"/>
        <w:keepNext/>
      </w:pPr>
      <w:r>
        <w:t>Required Outcomes</w:t>
      </w:r>
    </w:p>
    <w:p>
      <w:pPr>
        <w:pStyle w:val="Bullet1"/>
        <w:spacing w:after="40" w:line="252" w:lineRule="auto"/>
      </w:pPr>
      <w:r>
        <w:rPr>
          <w:rFonts w:ascii="Noto Sans" w:hAnsi="Noto Sans"/>
        </w:rPr>
        <w:t>One catalog drives every sales channel consistently.</w:t>
      </w:r>
    </w:p>
    <w:p>
      <w:pPr>
        <w:pStyle w:val="Bullet1"/>
        <w:spacing w:after="40" w:line="252" w:lineRule="auto"/>
      </w:pPr>
      <w:r>
        <w:rPr>
          <w:rFonts w:ascii="Noto Sans" w:hAnsi="Noto Sans"/>
        </w:rPr>
        <w:t>Pricing changes safely without corrupting history or entitlements.</w:t>
      </w:r>
    </w:p>
    <w:p>
      <w:pPr>
        <w:pStyle w:val="Heading3"/>
        <w:keepNext/>
      </w:pPr>
      <w:r>
        <w:t>Technical Realization Notes</w:t>
      </w:r>
    </w:p>
    <w:p>
      <w:pPr>
        <w:pStyle w:val="Bullet1"/>
        <w:spacing w:after="40" w:line="252" w:lineRule="auto"/>
      </w:pPr>
      <w:r>
        <w:t>Authority &amp; storage: Product PostgreSQL app schema with module-prefixed authoritative tables; no cross-domain write-table access. Authoritative entities/tables are Product, ProductVariant, Bundle, PriceBook, Price, Promotion, Coupon, EligibilityRule, TaxCategory.</w:t>
      </w:r>
    </w:p>
    <w:p>
      <w:pPr>
        <w:pStyle w:val="Bullet1"/>
        <w:spacing w:after="40" w:line="252" w:lineRule="auto"/>
      </w:pPr>
      <w:r>
        <w:t>Command inventory: CreateProduct, PublishCatalog, CreatePrice, CreatePromotion, ValidatePromotion, ResolvePrice, RedeemCoupon, FulfillBundle. Every command declares permission, idempotency, expected aggregate version and transaction boundary.</w:t>
      </w:r>
    </w:p>
    <w:p>
      <w:pPr>
        <w:pStyle w:val="Bullet1"/>
        <w:spacing w:after="40" w:line="252" w:lineRule="auto"/>
      </w:pPr>
      <w:r>
        <w:t>Queries/read models: List/detail and history projections for Product, ProductVariant, Bundle, PriceBook; role/surface-specific attention/summary read models for Admin Web; POS; Member App; CRM; every projection exposes freshness/version metadata when asynchronously built.</w:t>
      </w:r>
    </w:p>
    <w:p>
      <w:pPr>
        <w:pStyle w:val="Bullet1"/>
      </w:pPr>
      <w:r>
        <w:t>Indexes/concurrency: tenant-leading indexes for primary list/detail paths; unique external/provider identifiers are scoped by tenant/provider; aggregate version supports optimistic concurrency.</w:t>
      </w:r>
    </w:p>
    <w:p>
      <w:pPr>
        <w:pStyle w:val="Bullet1"/>
      </w:pPr>
      <w:r>
        <w:t>Published events: product.published, price.changed, promotion.activated, coupon.redeemed, bundle.fulfilled. Consumed dependencies: PLT-01, IAM-03; dependencies are accessed by stable contracts/projections, never direct write-table joins.</w:t>
      </w:r>
    </w:p>
    <w:p>
      <w:pPr>
        <w:pStyle w:val="Bullet1"/>
      </w:pPr>
      <w:r>
        <w:t>Failure/degraded behavior: Write commands fail atomically; asynchronous effects retry idempotently; stale read models carry freshness and cannot authorize a consequence-bearing mutation beyond budget.</w:t>
      </w:r>
    </w:p>
    <w:p>
      <w:pPr>
        <w:pStyle w:val="Bullet1"/>
      </w:pPr>
      <w:r>
        <w:t>Security/privacy: classification is enforced at field/resource level; tenant context and authorization are mandatory. Restricted data follows §21 controls; support/break-glass access creates delegated actor evidence.</w:t>
      </w:r>
    </w:p>
    <w:p>
      <w:pPr>
        <w:pStyle w:val="Bullet1"/>
      </w:pPr>
      <w:r>
        <w:t>SLI/SLO: Surface/domain API 99.9% initial target; p95 &lt;500-750 ms by workload; queue/projection freshness per §12.5.</w:t>
      </w:r>
    </w:p>
    <w:p>
      <w:pPr>
        <w:pStyle w:val="Bullet1"/>
      </w:pPr>
      <w:r>
        <w:t>Tests/runbook: invariant/property tests for each state transition; contract tests for APIs/events; tenant isolation negative test where tenant-owned; runbook RB-COM-02 covers stuck commands, reconciliation, provider/dependency outage and repair without history rewrite.</w:t>
      </w:r>
    </w:p>
    <w:p>
      <w:pPr>
        <w:pStyle w:val="Heading2"/>
        <w:keepNext/>
      </w:pPr>
      <w:r>
        <w:t>10.14 COM-03 - Member Billing, Payments, Tax &amp; Revenue Recovery</w:t>
      </w:r>
    </w:p>
    <w:tbl>
      <w:tblPr>
        <w:tblStyle w:val="TableGrid"/>
        <w:tblW w:type="dxa" w:w="9684"/>
        <w:jc w:val="center"/>
        <w:tblLayout w:type="autofit"/>
        <w:tblLook w:firstColumn="1" w:firstRow="1" w:lastColumn="0" w:lastRow="0" w:noHBand="0" w:noVBand="1" w:val="04A0"/>
      </w:tblPr>
      <w:tblGrid>
        <w:gridCol w:w="4842"/>
        <w:gridCol w:w="4842"/>
      </w:tblGrid>
      <w:tr>
        <w:trPr>
          <w:tblHeader w:val="true"/>
          <w:tblHeader w:val="true"/>
        </w:trPr>
        <w:tc>
          <w:tcPr>
            <w:tcW w:type="dxa" w:w="219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Attribute</w:t>
            </w:r>
          </w:p>
        </w:tc>
        <w:tc>
          <w:tcPr>
            <w:tcW w:type="dxa" w:w="758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Technical Design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phase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V1 General Availability</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surfaces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Admin Web; Member App; POS; Finance</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dependencies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COM-01, COM-02, IAM-03, ECO-02</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Authoritative entities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BillingAccount, BillingSchedule, Invoice, InvoiceLine, PaymentIntent, Payment, Refund, Dispute, DunningCase, TaxRecord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Key events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invoice.issued, payment.succeeded, payment.failed, dunning.started, refund.completed, chargeback.opened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store</w:t>
            </w:r>
          </w:p>
        </w:tc>
        <w:tc>
          <w:tcPr>
            <w:tcW w:type="dxa" w:w="7588"/>
            <w:tcMar>
              <w:top w:w="70" w:type="dxa"/>
              <w:start w:w="85" w:type="dxa"/>
              <w:bottom w:w="70" w:type="dxa"/>
              <w:end w:w="85" w:type="dxa"/>
              <w:left w:w="80" w:type="dxa"/>
              <w:right w:w="80" w:type="dxa"/>
            </w:tcMar>
            <w:vAlign w:val="center"/>
          </w:tcPr>
          <w:p>
            <w:r>
              <w:t>Product PostgreSQL app schema with module-prefixed authoritative tables; no cross-domain write-table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Data classification</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Restricted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Continuity tier</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Tier 1</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Technical interface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Domain command/query interface; no direct table access. Publishes permission-safe search projection.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Async/workflow contract</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Transactional outbox for state changes; idempotent consumers. Durable workflow orchestration for multi-step/timer/provider processes.</w:t>
            </w:r>
          </w:p>
        </w:tc>
      </w:tr>
      <w:tr>
        <w:tc>
          <w:tcPr>
            <w:tcW w:type="dxa" w:w="4842"/>
            <w:tcMar>
              <w:top w:w="70" w:type="dxa"/>
              <w:left w:w="80" w:type="dxa"/>
              <w:bottom w:w="70" w:type="dxa"/>
              <w:right w:w="80" w:type="dxa"/>
            </w:tcMar>
          </w:tcPr>
          <w:p>
            <w:r>
              <w:t>Implementation slice</w:t>
            </w:r>
          </w:p>
        </w:tc>
        <w:tc>
          <w:tcPr>
            <w:tcW w:type="dxa" w:w="4842"/>
            <w:tcMar>
              <w:top w:w="70" w:type="dxa"/>
              <w:left w:w="80" w:type="dxa"/>
              <w:bottom w:w="70" w:type="dxa"/>
              <w:right w:w="80" w:type="dxa"/>
            </w:tcMar>
          </w:tcPr>
          <w:p>
            <w:r>
              <w:t>Pilot core slice; complete domain depth by V1 GA</w:t>
            </w:r>
          </w:p>
        </w:tc>
      </w:tr>
    </w:tbl>
    <w:p>
      <w:pPr>
        <w:spacing w:after="40"/>
      </w:pPr>
    </w:p>
    <w:p>
      <w:pPr>
        <w:spacing w:after="80" w:line="259" w:lineRule="auto"/>
      </w:pPr>
      <w:r>
        <w:rPr>
          <w:rFonts w:ascii="Noto Sans" w:hAnsi="Noto Sans"/>
        </w:rPr>
        <w:t>Collect and recover member revenue across recurring, installment, one-time and in-person scenarios.</w:t>
      </w:r>
    </w:p>
    <w:p>
      <w:pPr>
        <w:pStyle w:val="Heading3"/>
        <w:keepNext/>
      </w:pPr>
      <w:r>
        <w:t>Required Capabilities Preserved</w:t>
      </w:r>
    </w:p>
    <w:p>
      <w:pPr>
        <w:pStyle w:val="Bullet1"/>
        <w:spacing w:after="40" w:line="252" w:lineRule="auto"/>
      </w:pPr>
      <w:r>
        <w:rPr>
          <w:rFonts w:ascii="Noto Sans" w:hAnsi="Noto Sans"/>
        </w:rPr>
        <w:t>Billing schedules, recurring invoices, installments, deposits, due dates and consolidated household/corporate billing.</w:t>
      </w:r>
    </w:p>
    <w:p>
      <w:pPr>
        <w:pStyle w:val="Bullet1"/>
        <w:spacing w:after="40" w:line="252" w:lineRule="auto"/>
      </w:pPr>
      <w:r>
        <w:rPr>
          <w:rFonts w:ascii="Noto Sans" w:hAnsi="Noto Sans"/>
        </w:rPr>
        <w:t>Payment orchestration for cards, direct debit, bank transfer, cash, wallet, gift card and local gateways.</w:t>
      </w:r>
    </w:p>
    <w:p>
      <w:pPr>
        <w:pStyle w:val="Bullet1"/>
        <w:spacing w:after="40" w:line="252" w:lineRule="auto"/>
      </w:pPr>
      <w:r>
        <w:rPr>
          <w:rFonts w:ascii="Noto Sans" w:hAnsi="Noto Sans"/>
        </w:rPr>
        <w:t>Tokenized stored payment methods, 3DS/SCA handling, retries and payment-method updates.</w:t>
      </w:r>
    </w:p>
    <w:p>
      <w:pPr>
        <w:pStyle w:val="Bullet1"/>
        <w:spacing w:after="40" w:line="252" w:lineRule="auto"/>
      </w:pPr>
      <w:r>
        <w:rPr>
          <w:rFonts w:ascii="Noto Sans" w:hAnsi="Noto Sans"/>
        </w:rPr>
        <w:t>Dunning journeys with retry schedule, grace period, member communication, task escalation and access policy.</w:t>
      </w:r>
    </w:p>
    <w:p>
      <w:pPr>
        <w:pStyle w:val="Bullet1"/>
        <w:spacing w:after="40" w:line="252" w:lineRule="auto"/>
      </w:pPr>
      <w:r>
        <w:rPr>
          <w:rFonts w:ascii="Noto Sans" w:hAnsi="Noto Sans"/>
        </w:rPr>
        <w:t>Invoices, receipts, tax calculation, credit notes, refunds, disputes and chargebacks.</w:t>
      </w:r>
    </w:p>
    <w:p>
      <w:pPr>
        <w:pStyle w:val="Bullet1"/>
        <w:spacing w:after="40" w:line="252" w:lineRule="auto"/>
      </w:pPr>
      <w:r>
        <w:rPr>
          <w:rFonts w:ascii="Noto Sans" w:hAnsi="Noto Sans"/>
        </w:rPr>
        <w:t>Provider abstraction, idempotent commands, webhook verification and payment-status reconciliation.</w:t>
      </w:r>
    </w:p>
    <w:p>
      <w:pPr>
        <w:pStyle w:val="Bullet1"/>
        <w:spacing w:after="40" w:line="252" w:lineRule="auto"/>
      </w:pPr>
      <w:r>
        <w:rPr>
          <w:rFonts w:ascii="Noto Sans" w:hAnsi="Noto Sans"/>
        </w:rPr>
        <w:t>Regional taxation, invoice numbering, fiscalization hooks and accounting export.</w:t>
      </w:r>
    </w:p>
    <w:p>
      <w:pPr>
        <w:pStyle w:val="Heading3"/>
        <w:keepNext/>
      </w:pPr>
      <w:r>
        <w:t>Critical Controls</w:t>
      </w:r>
    </w:p>
    <w:p>
      <w:pPr>
        <w:pStyle w:val="Bullet1"/>
        <w:spacing w:after="40" w:line="252" w:lineRule="auto"/>
      </w:pPr>
      <w:r>
        <w:rPr>
          <w:rFonts w:ascii="Noto Sans" w:hAnsi="Noto Sans"/>
        </w:rPr>
        <w:t>Payment data uses tokenization; sensitive card data never enters Veyro systems unless explicitly certified.</w:t>
      </w:r>
    </w:p>
    <w:p>
      <w:pPr>
        <w:pStyle w:val="Bullet1"/>
        <w:spacing w:after="40" w:line="252" w:lineRule="auto"/>
      </w:pPr>
      <w:r>
        <w:rPr>
          <w:rFonts w:ascii="Noto Sans" w:hAnsi="Noto Sans"/>
        </w:rPr>
        <w:t>Refunds, voids and write-offs follow limits, approvals and ledger entries.</w:t>
      </w:r>
    </w:p>
    <w:p>
      <w:pPr>
        <w:pStyle w:val="Heading3"/>
        <w:keepNext/>
      </w:pPr>
      <w:r>
        <w:t>Required Outcomes</w:t>
      </w:r>
    </w:p>
    <w:p>
      <w:pPr>
        <w:pStyle w:val="Bullet1"/>
        <w:spacing w:after="40" w:line="252" w:lineRule="auto"/>
      </w:pPr>
      <w:r>
        <w:rPr>
          <w:rFonts w:ascii="Noto Sans" w:hAnsi="Noto Sans"/>
        </w:rPr>
        <w:t>Higher successful collection and transparent member billing.</w:t>
      </w:r>
    </w:p>
    <w:p>
      <w:pPr>
        <w:pStyle w:val="Bullet1"/>
        <w:spacing w:after="40" w:line="252" w:lineRule="auto"/>
      </w:pPr>
      <w:r>
        <w:rPr>
          <w:rFonts w:ascii="Noto Sans" w:hAnsi="Noto Sans"/>
        </w:rPr>
        <w:t>Payment-provider changes do not force product redesign.</w:t>
      </w:r>
    </w:p>
    <w:p>
      <w:pPr>
        <w:pStyle w:val="Heading3"/>
        <w:keepNext/>
      </w:pPr>
      <w:r>
        <w:t>Technical Realization Notes</w:t>
      </w:r>
    </w:p>
    <w:p>
      <w:pPr>
        <w:pStyle w:val="Bullet1"/>
        <w:spacing w:after="40" w:line="252" w:lineRule="auto"/>
      </w:pPr>
      <w:r>
        <w:t>Authority &amp; storage: Product PostgreSQL app schema with module-prefixed authoritative tables; no cross-domain write-table access. Authoritative entities/tables are BillingAccount, BillingSchedule, Invoice, InvoiceLine, PaymentIntent, Payment, Refund, Dispute, DunningCase, TaxRecord.</w:t>
      </w:r>
    </w:p>
    <w:p>
      <w:pPr>
        <w:pStyle w:val="Bullet1"/>
        <w:spacing w:after="40" w:line="252" w:lineRule="auto"/>
      </w:pPr>
      <w:r>
        <w:t>Command inventory: CreateBillingAccount, IssueInvoice, CreatePaymentIntent, ApplyPayment, RecordPaymentFailure, StartDunning, RefundPayment, RecordChargeback, FiscalizeInvoice. Every command declares permission, idempotency, expected aggregate version and transaction boundary.</w:t>
      </w:r>
    </w:p>
    <w:p>
      <w:pPr>
        <w:pStyle w:val="Bullet1"/>
        <w:spacing w:after="40" w:line="252" w:lineRule="auto"/>
      </w:pPr>
      <w:r>
        <w:t>Queries/read models: List/detail and history projections for BillingAccount, BillingSchedule, Invoice, InvoiceLine; role/surface-specific attention/summary read models for Admin Web; Member App; POS; Finance; every projection exposes freshness/version metadata when asynchronously built.</w:t>
      </w:r>
    </w:p>
    <w:p>
      <w:pPr>
        <w:pStyle w:val="Bullet1"/>
        <w:spacing w:after="40" w:line="252" w:lineRule="auto"/>
      </w:pPr>
      <w:r>
        <w:t>Indexes/concurrency: tenant/billing-account/due-date/status indexes; unique provider reference per provider+tenant; fiscal series+serial uniqueness per legal entity.</w:t>
      </w:r>
    </w:p>
    <w:p>
      <w:pPr>
        <w:pStyle w:val="Bullet1"/>
      </w:pPr>
      <w:r>
        <w:t>Provider payment state is asynchronous; fiscal state is separate from payment state. Jordan final tax invoice requires server serial + JoFotara acknowledgement before FISCAL_COMPLETE.</w:t>
      </w:r>
    </w:p>
    <w:p>
      <w:pPr>
        <w:pStyle w:val="Bullet1"/>
      </w:pPr>
      <w:r>
        <w:t>Published events: invoice.issued, payment.succeeded, payment.failed, dunning.started, refund.completed, chargeback.opened, payment_request.sent. Consumed dependencies: COM-01, COM-02, IAM-03, ECO-02; dependencies are accessed by stable contracts/projections, never direct write-table joins. Direction for this intentional bidirectional pair (COM-01 &lt;-&gt; COM-03) is normative in §6.3.</w:t>
      </w:r>
    </w:p>
    <w:p>
      <w:pPr>
        <w:pStyle w:val="Bullet1"/>
      </w:pPr>
      <w:r>
        <w:t>Failure/degraded behavior: Fail consequence-bearing writes closed on unknown provider/ledger state; persist PENDING explicitly; reconcile provider/ledger/fiscal evidence before retry or compensation.</w:t>
      </w:r>
    </w:p>
    <w:p>
      <w:pPr>
        <w:pStyle w:val="Bullet1"/>
      </w:pPr>
      <w:r>
        <w:t>Security/privacy: classification is enforced at field/resource level; tenant context and authorization are mandatory. Restricted data follows §21 controls; support/break-glass access creates delegated actor evidence.</w:t>
      </w:r>
    </w:p>
    <w:p>
      <w:pPr>
        <w:pStyle w:val="Bullet1"/>
      </w:pPr>
      <w:r>
        <w:t>SLI/SLO: Core command API 99.95%; p95 &lt;500 ms excluding provider latency; payment/settlement/fiscal reconciliation mismatch = 0 unresolved past SLA.</w:t>
      </w:r>
    </w:p>
    <w:p>
      <w:pPr>
        <w:pStyle w:val="Bullet1"/>
      </w:pPr>
      <w:r>
        <w:t>Tests/runbook: invariant/property tests for each state transition; contract tests for APIs/events; tenant isolation negative test where tenant-owned; runbook RB-COM-03 covers stuck commands, reconciliation, provider/dependency outage and repair without history rewrite.</w:t>
      </w:r>
    </w:p>
    <w:p>
      <w:pPr>
        <w:pStyle w:val="Heading2"/>
        <w:keepNext/>
      </w:pPr>
      <w:r>
        <w:t>10.15 COM-04 - Financial Ledger, Wallet, Credits &amp; Reconciliation</w:t>
      </w:r>
    </w:p>
    <w:tbl>
      <w:tblPr>
        <w:tblStyle w:val="TableGrid"/>
        <w:tblW w:type="dxa" w:w="9684"/>
        <w:jc w:val="center"/>
        <w:tblLayout w:type="autofit"/>
        <w:tblLook w:firstColumn="1" w:firstRow="1" w:lastColumn="0" w:lastRow="0" w:noHBand="0" w:noVBand="1" w:val="04A0"/>
      </w:tblPr>
      <w:tblGrid>
        <w:gridCol w:w="4842"/>
        <w:gridCol w:w="4842"/>
      </w:tblGrid>
      <w:tr>
        <w:trPr>
          <w:tblHeader w:val="true"/>
          <w:tblHeader w:val="true"/>
        </w:trPr>
        <w:tc>
          <w:tcPr>
            <w:tcW w:type="dxa" w:w="219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Attribute</w:t>
            </w:r>
          </w:p>
        </w:tc>
        <w:tc>
          <w:tcPr>
            <w:tcW w:type="dxa" w:w="758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Technical Design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phase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V1 General Availability</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surfaces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Finance; POS; Member App; Admin Web</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dependencies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COM-03, IAM-03</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Authoritative entities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LedgerAccount, LedgerEntry, Posting, Wallet, WalletTransaction, ServiceCredit, Settlement, ReconciliationCase, FinancialPeriod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Key events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ledger.posted, wallet.credited, wallet.debited, credit.consumed, settlement.imported, reconciliation.mismatch.detected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store</w:t>
            </w:r>
          </w:p>
        </w:tc>
        <w:tc>
          <w:tcPr>
            <w:tcW w:type="dxa" w:w="7588"/>
            <w:tcMar>
              <w:top w:w="70" w:type="dxa"/>
              <w:start w:w="85" w:type="dxa"/>
              <w:bottom w:w="70" w:type="dxa"/>
              <w:end w:w="85" w:type="dxa"/>
              <w:left w:w="80" w:type="dxa"/>
              <w:right w:w="80" w:type="dxa"/>
            </w:tcMar>
            <w:vAlign w:val="center"/>
          </w:tcPr>
          <w:p>
            <w:r>
              <w:t>Product PostgreSQL ledger schema; append-only journals/postings; immutable correction references; monthly partitions where volume warrants.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Data classification</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Restricted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Continuity tier</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Tier 1</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Technical interface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Domain command/query interface; no direct 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Async/workflow contract</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Transactional outbox for state changes; idempotent consumers.</w:t>
            </w:r>
          </w:p>
        </w:tc>
      </w:tr>
      <w:tr>
        <w:tc>
          <w:tcPr>
            <w:tcW w:type="dxa" w:w="4842"/>
            <w:tcMar>
              <w:top w:w="70" w:type="dxa"/>
              <w:left w:w="80" w:type="dxa"/>
              <w:bottom w:w="70" w:type="dxa"/>
              <w:right w:w="80" w:type="dxa"/>
            </w:tcMar>
          </w:tcPr>
          <w:p>
            <w:r>
              <w:t>Implementation slice</w:t>
            </w:r>
          </w:p>
        </w:tc>
        <w:tc>
          <w:tcPr>
            <w:tcW w:type="dxa" w:w="4842"/>
            <w:tcMar>
              <w:top w:w="70" w:type="dxa"/>
              <w:left w:w="80" w:type="dxa"/>
              <w:bottom w:w="70" w:type="dxa"/>
              <w:right w:w="80" w:type="dxa"/>
            </w:tcMar>
          </w:tcPr>
          <w:p>
            <w:r>
              <w:t>Pilot core slice; complete domain depth by V1 GA</w:t>
            </w:r>
          </w:p>
        </w:tc>
      </w:tr>
    </w:tbl>
    <w:p>
      <w:pPr>
        <w:spacing w:after="40"/>
      </w:pPr>
    </w:p>
    <w:p>
      <w:pPr>
        <w:spacing w:after="80" w:line="259" w:lineRule="auto"/>
      </w:pPr>
      <w:r>
        <w:rPr>
          <w:rFonts w:ascii="Noto Sans" w:hAnsi="Noto Sans"/>
        </w:rPr>
        <w:t>Create an immutable financial source of truth for money, credits, liabilities and provider settlement.</w:t>
      </w:r>
    </w:p>
    <w:p>
      <w:pPr>
        <w:pStyle w:val="Heading3"/>
        <w:keepNext/>
      </w:pPr>
      <w:r>
        <w:t>Required Capabilities Preserved</w:t>
      </w:r>
    </w:p>
    <w:p>
      <w:pPr>
        <w:pStyle w:val="Bullet1"/>
        <w:spacing w:after="40" w:line="252" w:lineRule="auto"/>
      </w:pPr>
      <w:r>
        <w:rPr>
          <w:rFonts w:ascii="Noto Sans" w:hAnsi="Noto Sans"/>
        </w:rPr>
        <w:t>Double-entry or equivalent immutable posting model for sales, payments, refunds, fees, wallet and credits.</w:t>
      </w:r>
    </w:p>
    <w:p>
      <w:pPr>
        <w:pStyle w:val="Bullet1"/>
        <w:spacing w:after="40" w:line="252" w:lineRule="auto"/>
      </w:pPr>
      <w:r>
        <w:rPr>
          <w:rFonts w:ascii="Noto Sans" w:hAnsi="Noto Sans"/>
        </w:rPr>
        <w:t>Member wallet with cash value, promotional value, referral credit, refund credit and expiry policy.</w:t>
      </w:r>
    </w:p>
    <w:p>
      <w:pPr>
        <w:pStyle w:val="Bullet1"/>
        <w:spacing w:after="40" w:line="252" w:lineRule="auto"/>
      </w:pPr>
      <w:r>
        <w:rPr>
          <w:rFonts w:ascii="Noto Sans" w:hAnsi="Noto Sans"/>
        </w:rPr>
        <w:t>Separate non-monetary service credits such as PT sessions, classes, guest passes and assessments.</w:t>
      </w:r>
    </w:p>
    <w:p>
      <w:pPr>
        <w:pStyle w:val="Bullet1"/>
        <w:spacing w:after="40" w:line="252" w:lineRule="auto"/>
      </w:pPr>
      <w:r>
        <w:rPr>
          <w:rFonts w:ascii="Noto Sans" w:hAnsi="Noto Sans"/>
        </w:rPr>
        <w:t>Provider settlement import and automated matching to payments, fees, refunds and chargebacks.</w:t>
      </w:r>
    </w:p>
    <w:p>
      <w:pPr>
        <w:pStyle w:val="Bullet1"/>
        <w:spacing w:after="40" w:line="252" w:lineRule="auto"/>
      </w:pPr>
      <w:r>
        <w:rPr>
          <w:rFonts w:ascii="Noto Sans" w:hAnsi="Noto Sans"/>
        </w:rPr>
        <w:t>Cash drawer, bank deposit and payout reconciliation with discrepancy workflows.</w:t>
      </w:r>
    </w:p>
    <w:p>
      <w:pPr>
        <w:pStyle w:val="Bullet1"/>
        <w:spacing w:after="40" w:line="252" w:lineRule="auto"/>
      </w:pPr>
      <w:r>
        <w:rPr>
          <w:rFonts w:ascii="Noto Sans" w:hAnsi="Noto Sans"/>
        </w:rPr>
        <w:t>Financial periods, lock controls, correction entries and export to accounting systems.</w:t>
      </w:r>
    </w:p>
    <w:p>
      <w:pPr>
        <w:pStyle w:val="Bullet1"/>
        <w:spacing w:after="40" w:line="252" w:lineRule="auto"/>
      </w:pPr>
      <w:r>
        <w:rPr>
          <w:rFonts w:ascii="Noto Sans" w:hAnsi="Noto Sans"/>
        </w:rPr>
        <w:t>Statements and balances reconstructed from entries rather than mutable totals.</w:t>
      </w:r>
    </w:p>
    <w:p>
      <w:pPr>
        <w:pStyle w:val="Heading3"/>
        <w:keepNext/>
      </w:pPr>
      <w:r>
        <w:t>Critical Controls</w:t>
      </w:r>
    </w:p>
    <w:p>
      <w:pPr>
        <w:pStyle w:val="Bullet1"/>
        <w:spacing w:after="40" w:line="252" w:lineRule="auto"/>
      </w:pPr>
      <w:r>
        <w:rPr>
          <w:rFonts w:ascii="Noto Sans" w:hAnsi="Noto Sans"/>
        </w:rPr>
        <w:t>Posted financial entries are never edited or deleted; corrections use compensating entries.</w:t>
      </w:r>
    </w:p>
    <w:p>
      <w:pPr>
        <w:pStyle w:val="Bullet1"/>
        <w:spacing w:after="40" w:line="252" w:lineRule="auto"/>
      </w:pPr>
      <w:r>
        <w:rPr>
          <w:rFonts w:ascii="Noto Sans" w:hAnsi="Noto Sans"/>
        </w:rPr>
        <w:t>Promotional, refundable and cash-equivalent balances remain distinct.</w:t>
      </w:r>
    </w:p>
    <w:p>
      <w:pPr>
        <w:pStyle w:val="Heading3"/>
        <w:keepNext/>
      </w:pPr>
      <w:r>
        <w:t>Required Outcomes</w:t>
      </w:r>
    </w:p>
    <w:p>
      <w:pPr>
        <w:pStyle w:val="Bullet1"/>
        <w:spacing w:after="40" w:line="252" w:lineRule="auto"/>
      </w:pPr>
      <w:r>
        <w:rPr>
          <w:rFonts w:ascii="Noto Sans" w:hAnsi="Noto Sans"/>
        </w:rPr>
        <w:t>Finance can explain every balance and reconcile every provider.</w:t>
      </w:r>
    </w:p>
    <w:p>
      <w:pPr>
        <w:pStyle w:val="Bullet1"/>
        <w:spacing w:after="40" w:line="252" w:lineRule="auto"/>
      </w:pPr>
      <w:r>
        <w:rPr>
          <w:rFonts w:ascii="Noto Sans" w:hAnsi="Noto Sans"/>
        </w:rPr>
        <w:t>Wallet and credits operate safely across channels and locations.</w:t>
      </w:r>
    </w:p>
    <w:p>
      <w:pPr>
        <w:pStyle w:val="Heading3"/>
        <w:keepNext/>
      </w:pPr>
      <w:r>
        <w:t>Technical Realization Notes</w:t>
      </w:r>
    </w:p>
    <w:p>
      <w:pPr>
        <w:pStyle w:val="Bullet1"/>
        <w:spacing w:after="40" w:line="252" w:lineRule="auto"/>
      </w:pPr>
      <w:r>
        <w:t>Authority &amp; storage: Product PostgreSQL ledger schema; append-only journals/postings; immutable correction references; monthly partitions where volume warrants. Authoritative entities/tables are LedgerAccount, LedgerEntry, Posting, Wallet, WalletTransaction, ServiceCredit, Settlement, ReconciliationCase, FinancialPeriod.</w:t>
      </w:r>
    </w:p>
    <w:p>
      <w:pPr>
        <w:pStyle w:val="Bullet1"/>
        <w:spacing w:after="40" w:line="252" w:lineRule="auto"/>
      </w:pPr>
      <w:r>
        <w:t>Command inventory: PostJournal, AllocatePayment, CreditWallet, DebitWallet, IssueServiceCredit, ConsumeServiceCredit, ImportSettlement, ReconcileControlTotal, PostRevenueRecognition. Every command declares permission, idempotency, expected aggregate version and transaction boundary.</w:t>
      </w:r>
    </w:p>
    <w:p>
      <w:pPr>
        <w:pStyle w:val="Bullet1"/>
        <w:spacing w:after="40" w:line="252" w:lineRule="auto"/>
      </w:pPr>
      <w:r>
        <w:t>Queries/read models: List/detail and history projections for LedgerAccount, LedgerEntry, Posting, Wallet; role/surface-specific attention/summary read models for Finance; POS; Member App; Admin Web; every projection exposes freshness/version metadata when asynchronously built.</w:t>
      </w:r>
    </w:p>
    <w:p>
      <w:pPr>
        <w:pStyle w:val="Bullet1"/>
        <w:spacing w:after="40" w:line="252" w:lineRule="auto"/>
      </w:pPr>
      <w:r>
        <w:t>Indexes/concurrency: tenant/journal/date/account and source-reference indexes; balanced-journal constraint; no update/delete privilege on posted entries.</w:t>
      </w:r>
    </w:p>
    <w:p>
      <w:pPr>
        <w:pStyle w:val="Bullet1"/>
      </w:pPr>
      <w:r>
        <w:t>Ledger is balanced and append-only. Unearned revenue and RevenueRecognitionSchedule prevent prepaid membership cash from becoming day-one revenue; FX snapshots are immutable.</w:t>
      </w:r>
    </w:p>
    <w:p>
      <w:pPr>
        <w:pStyle w:val="Bullet1"/>
      </w:pPr>
      <w:r>
        <w:t>Published events: ledger.posted, wallet.credited, wallet.debited, credit.consumed, settlement.imported, reconciliation.mismatch.detected, credit.issued. Consumed dependencies: COM-03, IAM-03; dependencies are accessed by stable contracts/projections, never direct write-table joins.</w:t>
      </w:r>
    </w:p>
    <w:p>
      <w:pPr>
        <w:pStyle w:val="Bullet1"/>
      </w:pPr>
      <w:r>
        <w:t>Failure/degraded behavior: Fail consequence-bearing writes closed on unknown provider/ledger state; persist PENDING explicitly; reconcile provider/ledger/fiscal evidence before retry or compensation.</w:t>
      </w:r>
    </w:p>
    <w:p>
      <w:pPr>
        <w:pStyle w:val="Bullet1"/>
      </w:pPr>
      <w:r>
        <w:t>Security/privacy: classification is enforced at field/resource level; tenant context and authorization are mandatory. Restricted data follows §21 controls; support/break-glass access creates delegated actor evidence.</w:t>
      </w:r>
    </w:p>
    <w:p>
      <w:pPr>
        <w:pStyle w:val="Bullet1"/>
      </w:pPr>
      <w:r>
        <w:t>SLI/SLO: Core command API 99.95%; p95 &lt;500 ms excluding provider latency; reconciliation mismatch = 0 unresolved past SLA.</w:t>
      </w:r>
    </w:p>
    <w:p>
      <w:pPr>
        <w:pStyle w:val="Bullet1"/>
      </w:pPr>
      <w:r>
        <w:t>Tests/runbook: invariant/property tests for each state transition; contract tests for APIs/events; tenant isolation negative test where tenant-owned; runbook RB-COM-04 covers stuck commands, reconciliation, provider/dependency outage and repair without history rewrite.</w:t>
      </w:r>
    </w:p>
    <w:p>
      <w:pPr>
        <w:pStyle w:val="Heading2"/>
        <w:keepNext/>
      </w:pPr>
      <w:r>
        <w:t>10.16 COM-05 - Point of Sale, Ecommerce &amp; Order Fulfillment</w:t>
      </w:r>
    </w:p>
    <w:tbl>
      <w:tblPr>
        <w:tblStyle w:val="TableGrid"/>
        <w:tblW w:type="dxa" w:w="9684"/>
        <w:jc w:val="center"/>
        <w:tblLayout w:type="autofit"/>
        <w:tblLook w:firstColumn="1" w:firstRow="1" w:lastColumn="0" w:lastRow="0" w:noHBand="0" w:noVBand="1" w:val="04A0"/>
      </w:tblPr>
      <w:tblGrid>
        <w:gridCol w:w="4842"/>
        <w:gridCol w:w="4842"/>
      </w:tblGrid>
      <w:tr>
        <w:trPr>
          <w:tblHeader w:val="true"/>
          <w:tblHeader w:val="true"/>
        </w:trPr>
        <w:tc>
          <w:tcPr>
            <w:tcW w:type="dxa" w:w="219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Attribute</w:t>
            </w:r>
          </w:p>
        </w:tc>
        <w:tc>
          <w:tcPr>
            <w:tcW w:type="dxa" w:w="758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Technical Design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phase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V1 General Availability</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surfaces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Front Desk; Member App; Coach App; Admin Web</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dependencies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COM-02, COM-03, COM-04, COM-06, PPL-01</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Authoritative entities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Cart, Order, OrderLine, Tender, POSRegister, CashShift, Return, Receipt, Fulfillment</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Key events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cart.created, order.completed, cash_shift.opened, return.completed, receipt.sent, fulfillment.completed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store</w:t>
            </w:r>
          </w:p>
        </w:tc>
        <w:tc>
          <w:tcPr>
            <w:tcW w:type="dxa" w:w="7588"/>
            <w:tcMar>
              <w:top w:w="70" w:type="dxa"/>
              <w:start w:w="85" w:type="dxa"/>
              <w:bottom w:w="70" w:type="dxa"/>
              <w:end w:w="85" w:type="dxa"/>
              <w:left w:w="80" w:type="dxa"/>
              <w:right w:w="80" w:type="dxa"/>
            </w:tcMar>
            <w:vAlign w:val="center"/>
          </w:tcPr>
          <w:p>
            <w:r>
              <w:t>Product PostgreSQL app schema with module-prefixed authoritative tables; no cross-domain write-table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Data classification</w:t>
            </w:r>
          </w:p>
        </w:tc>
        <w:tc>
          <w:tcPr>
            <w:tcW w:type="dxa" w:w="7588"/>
            <w:tcMar>
              <w:top w:w="70" w:type="dxa"/>
              <w:start w:w="85" w:type="dxa"/>
              <w:bottom w:w="70" w:type="dxa"/>
              <w:end w:w="85" w:type="dxa"/>
              <w:left w:w="80" w:type="dxa"/>
              <w:right w:w="80" w:type="dxa"/>
            </w:tcMar>
            <w:vAlign w:val="center"/>
          </w:tcPr>
          <w:p>
            <w:r>
              <w:t>Field-level classification: Confidential by default; health/financial/payment/biometric-bearing fields are Restricted and inherit stronger policy/retention.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Continuity tier</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Tier 1</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Technical interface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Domain command/query interface; no direct table access. Publishes permission-safe search projection.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Async/workflow contract</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Transactional outbox for state changes; idempotent consumers. Durable workflow orchestration for multi-step/timer/provider processes.</w:t>
            </w:r>
          </w:p>
        </w:tc>
      </w:tr>
      <w:tr>
        <w:tc>
          <w:tcPr>
            <w:tcW w:type="dxa" w:w="4842"/>
            <w:tcMar>
              <w:top w:w="70" w:type="dxa"/>
              <w:left w:w="80" w:type="dxa"/>
              <w:bottom w:w="70" w:type="dxa"/>
              <w:right w:w="80" w:type="dxa"/>
            </w:tcMar>
          </w:tcPr>
          <w:p>
            <w:r>
              <w:t>Implementation slice</w:t>
            </w:r>
          </w:p>
        </w:tc>
        <w:tc>
          <w:tcPr>
            <w:tcW w:type="dxa" w:w="4842"/>
            <w:tcMar>
              <w:top w:w="70" w:type="dxa"/>
              <w:left w:w="80" w:type="dxa"/>
              <w:bottom w:w="70" w:type="dxa"/>
              <w:right w:w="80" w:type="dxa"/>
            </w:tcMar>
          </w:tcPr>
          <w:p>
            <w:r>
              <w:t>V1 General Availability</w:t>
            </w:r>
          </w:p>
        </w:tc>
      </w:tr>
    </w:tbl>
    <w:p>
      <w:pPr>
        <w:spacing w:after="40"/>
      </w:pPr>
    </w:p>
    <w:p>
      <w:pPr>
        <w:spacing w:after="80" w:line="259" w:lineRule="auto"/>
      </w:pPr>
      <w:r>
        <w:rPr>
          <w:rFonts w:ascii="Noto Sans" w:hAnsi="Noto Sans"/>
        </w:rPr>
        <w:t>Unify in-club and digital commerce while preserving member context, inventory, entitlements and financial control.</w:t>
      </w:r>
    </w:p>
    <w:p>
      <w:pPr>
        <w:pStyle w:val="Heading3"/>
        <w:keepNext/>
      </w:pPr>
      <w:r>
        <w:t>Required Capabilities Preserved</w:t>
      </w:r>
    </w:p>
    <w:p>
      <w:pPr>
        <w:pStyle w:val="Bullet1"/>
        <w:spacing w:after="40" w:line="252" w:lineRule="auto"/>
      </w:pPr>
      <w:r>
        <w:rPr>
          <w:rFonts w:ascii="Noto Sans" w:hAnsi="Noto Sans"/>
        </w:rPr>
        <w:t>Fast member-aware checkout: identify member, tap/scan product, pay and complete.</w:t>
      </w:r>
    </w:p>
    <w:p>
      <w:pPr>
        <w:pStyle w:val="Bullet1"/>
        <w:spacing w:after="40" w:line="252" w:lineRule="auto"/>
      </w:pPr>
      <w:r>
        <w:rPr>
          <w:rFonts w:ascii="Noto Sans" w:hAnsi="Noto Sans"/>
        </w:rPr>
        <w:t>Guest checkout with optional lead/member conversion and receipt capture.</w:t>
      </w:r>
    </w:p>
    <w:p>
      <w:pPr>
        <w:pStyle w:val="Bullet1"/>
        <w:spacing w:after="40" w:line="252" w:lineRule="auto"/>
      </w:pPr>
      <w:r>
        <w:rPr>
          <w:rFonts w:ascii="Noto Sans" w:hAnsi="Noto Sans"/>
        </w:rPr>
        <w:t>Barcode scanning, favorites, category tiles, search, recent items and configurable quick actions.</w:t>
      </w:r>
    </w:p>
    <w:p>
      <w:pPr>
        <w:pStyle w:val="Bullet1"/>
        <w:spacing w:after="40" w:line="252" w:lineRule="auto"/>
      </w:pPr>
      <w:r>
        <w:rPr>
          <w:rFonts w:ascii="Noto Sans" w:hAnsi="Noto Sans"/>
        </w:rPr>
        <w:t>Cash, card, wallet, saved method, gift card and split-tender payments.</w:t>
      </w:r>
    </w:p>
    <w:p>
      <w:pPr>
        <w:pStyle w:val="Bullet1"/>
        <w:spacing w:after="40" w:line="252" w:lineRule="auto"/>
      </w:pPr>
      <w:r>
        <w:rPr>
          <w:rFonts w:ascii="Noto Sans" w:hAnsi="Noto Sans"/>
        </w:rPr>
        <w:t>Sell memberships, upgrades, PT packages, classes, nutrition, events, merchandise and digital products from one cart.</w:t>
      </w:r>
    </w:p>
    <w:p>
      <w:pPr>
        <w:pStyle w:val="Bullet1"/>
        <w:spacing w:after="40" w:line="252" w:lineRule="auto"/>
      </w:pPr>
      <w:r>
        <w:rPr>
          <w:rFonts w:ascii="Noto Sans" w:hAnsi="Noto Sans"/>
        </w:rPr>
        <w:t>Automatic member pricing, included-benefit detection, tax, discount policy and approval.</w:t>
      </w:r>
    </w:p>
    <w:p>
      <w:pPr>
        <w:pStyle w:val="Bullet1"/>
        <w:spacing w:after="40" w:line="252" w:lineRule="auto"/>
      </w:pPr>
      <w:r>
        <w:rPr>
          <w:rFonts w:ascii="Noto Sans" w:hAnsi="Noto Sans"/>
        </w:rPr>
        <w:t>Returns, partial refunds, exchanges, store credit, voids and reason codes.</w:t>
      </w:r>
    </w:p>
    <w:p>
      <w:pPr>
        <w:pStyle w:val="Bullet1"/>
        <w:spacing w:after="40" w:line="252" w:lineRule="auto"/>
      </w:pPr>
      <w:r>
        <w:rPr>
          <w:rFonts w:ascii="Noto Sans" w:hAnsi="Noto Sans"/>
        </w:rPr>
        <w:t>Orders from member app/web shop with pickup, digital fulfillment or future delivery.</w:t>
      </w:r>
    </w:p>
    <w:p>
      <w:pPr>
        <w:pStyle w:val="Bullet1"/>
        <w:spacing w:after="40" w:line="252" w:lineRule="auto"/>
      </w:pPr>
      <w:r>
        <w:rPr>
          <w:rFonts w:ascii="Noto Sans" w:hAnsi="Noto Sans"/>
        </w:rPr>
        <w:t>Cash shift opening, paid-in/out, drawer count, expected/actual difference and manager close.</w:t>
      </w:r>
    </w:p>
    <w:p>
      <w:pPr>
        <w:pStyle w:val="Heading3"/>
        <w:keepNext/>
      </w:pPr>
      <w:r>
        <w:t>Critical Controls</w:t>
      </w:r>
    </w:p>
    <w:p>
      <w:pPr>
        <w:pStyle w:val="Bullet1"/>
        <w:spacing w:after="40" w:line="252" w:lineRule="auto"/>
      </w:pPr>
      <w:r>
        <w:rPr>
          <w:rFonts w:ascii="Noto Sans" w:hAnsi="Noto Sans"/>
        </w:rPr>
        <w:t>Price overrides, discounts, refunds and cash adjustments follow permission limits.</w:t>
      </w:r>
    </w:p>
    <w:p>
      <w:pPr>
        <w:pStyle w:val="Bullet1"/>
        <w:spacing w:after="40" w:line="252" w:lineRule="auto"/>
      </w:pPr>
      <w:r>
        <w:rPr>
          <w:rFonts w:ascii="Noto Sans" w:hAnsi="Noto Sans"/>
        </w:rPr>
        <w:t>Order completion is idempotent and fulfillment cannot silently duplicate.</w:t>
      </w:r>
    </w:p>
    <w:p>
      <w:pPr>
        <w:pStyle w:val="Heading3"/>
        <w:keepNext/>
      </w:pPr>
      <w:r>
        <w:t>Required Outcomes</w:t>
      </w:r>
    </w:p>
    <w:p>
      <w:pPr>
        <w:pStyle w:val="Bullet1"/>
        <w:spacing w:after="40" w:line="252" w:lineRule="auto"/>
      </w:pPr>
      <w:r>
        <w:rPr>
          <w:rFonts w:ascii="Noto Sans" w:hAnsi="Noto Sans"/>
        </w:rPr>
        <w:t>Most daily sales finish in three to four interactions.</w:t>
      </w:r>
    </w:p>
    <w:p>
      <w:pPr>
        <w:pStyle w:val="Bullet1"/>
        <w:spacing w:after="40" w:line="252" w:lineRule="auto"/>
      </w:pPr>
      <w:r>
        <w:rPr>
          <w:rFonts w:ascii="Noto Sans" w:hAnsi="Noto Sans"/>
        </w:rPr>
        <w:t>One order model supports physical, service and digital products.</w:t>
      </w:r>
    </w:p>
    <w:p>
      <w:pPr>
        <w:pStyle w:val="Heading3"/>
        <w:keepNext/>
      </w:pPr>
      <w:r>
        <w:t>Technical Realization Notes</w:t>
      </w:r>
    </w:p>
    <w:p>
      <w:pPr>
        <w:pStyle w:val="Bullet1"/>
        <w:spacing w:after="40" w:line="252" w:lineRule="auto"/>
      </w:pPr>
      <w:r>
        <w:t>Authority &amp; storage: Product PostgreSQL app schema with module-prefixed authoritative tables; no cross-domain write-table access. Authoritative entities/tables are Cart, Order, OrderLine, Tender, POSRegister, CashShift, Return, Receipt, Fulfillment.</w:t>
      </w:r>
    </w:p>
    <w:p>
      <w:pPr>
        <w:pStyle w:val="Bullet1"/>
        <w:spacing w:after="40" w:line="252" w:lineRule="auto"/>
      </w:pPr>
      <w:r>
        <w:t>Command inventory: CreateCart, AddOrderLine, PriceOrder, SubmitOrder, CaptureTender, CompleteOrder, ReturnOrder, VoidOrder, CloseCashShift. Every command declares permission, idempotency, expected aggregate version and transaction boundary.</w:t>
      </w:r>
    </w:p>
    <w:p>
      <w:pPr>
        <w:pStyle w:val="Bullet1"/>
        <w:spacing w:after="40" w:line="252" w:lineRule="auto"/>
      </w:pPr>
      <w:r>
        <w:t>Queries/read models: List/detail and history projections for Cart, Order, OrderLine, Tender; role/surface-specific attention/summary read models for Front Desk; Member App; Coach App; Admin Web; every projection exposes freshness/version metadata when asynchronously built.</w:t>
      </w:r>
    </w:p>
    <w:p>
      <w:pPr>
        <w:pStyle w:val="Bullet1"/>
      </w:pPr>
      <w:r>
        <w:t>Indexes/concurrency: tenant-leading indexes for primary list/detail paths; unique external/provider identifiers are scoped by tenant/provider; aggregate version supports optimistic concurrency.</w:t>
      </w:r>
    </w:p>
    <w:p>
      <w:pPr>
        <w:pStyle w:val="Bullet1"/>
      </w:pPr>
      <w:r>
        <w:t>Published events: cart.created, order.completed, cash_shift.opened, return.completed, receipt.sent, fulfillment.completed. Consumed dependencies: COM-02, COM-03, COM-04, COM-06, PPL-01; dependencies are accessed by stable contracts/projections, never direct write-table joins.</w:t>
      </w:r>
    </w:p>
    <w:p>
      <w:pPr>
        <w:pStyle w:val="Bullet1"/>
      </w:pPr>
      <w:r>
        <w:t>Failure/degraded behavior: Fail consequence-bearing writes closed on unknown provider/ledger state; persist PENDING explicitly; reconcile provider/ledger/fiscal evidence before retry or compensation.</w:t>
      </w:r>
    </w:p>
    <w:p>
      <w:pPr>
        <w:pStyle w:val="Bullet1"/>
      </w:pPr>
      <w:r>
        <w:t>Security/privacy: classification is enforced at field/resource level; tenant context and authorization are mandatory. Restricted data follows §21 controls; support/break-glass access creates delegated actor evidence.</w:t>
      </w:r>
    </w:p>
    <w:p>
      <w:pPr>
        <w:pStyle w:val="Bullet1"/>
      </w:pPr>
      <w:r>
        <w:t>SLI/SLO: Core command API 99.95%; p95 &lt;500 ms excluding provider latency; reconciliation mismatch = 0 unresolved past SLA.</w:t>
      </w:r>
    </w:p>
    <w:p>
      <w:pPr>
        <w:pStyle w:val="Bullet1"/>
      </w:pPr>
      <w:r>
        <w:t>Tests/runbook: invariant/property tests for each state transition; contract tests for APIs/events; tenant isolation negative test where tenant-owned; runbook RB-COM-05 covers stuck commands, reconciliation, provider/dependency outage and repair without history rewrite.</w:t>
      </w:r>
    </w:p>
    <w:p>
      <w:pPr>
        <w:pStyle w:val="Heading2"/>
        <w:keepNext/>
      </w:pPr>
      <w:r>
        <w:t>10.17 COM-06 - Inventory, Purchasing, Suppliers &amp; Stock Control</w:t>
      </w:r>
    </w:p>
    <w:tbl>
      <w:tblPr>
        <w:tblStyle w:val="TableGrid"/>
        <w:tblW w:type="dxa" w:w="9684"/>
        <w:jc w:val="center"/>
        <w:tblLayout w:type="autofit"/>
        <w:tblLook w:firstColumn="1" w:firstRow="1" w:lastColumn="0" w:lastRow="0" w:noHBand="0" w:noVBand="1" w:val="04A0"/>
      </w:tblPr>
      <w:tblGrid>
        <w:gridCol w:w="4842"/>
        <w:gridCol w:w="4842"/>
      </w:tblGrid>
      <w:tr>
        <w:trPr>
          <w:tblHeader w:val="true"/>
          <w:tblHeader w:val="true"/>
        </w:trPr>
        <w:tc>
          <w:tcPr>
            <w:tcW w:type="dxa" w:w="219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Attribute</w:t>
            </w:r>
          </w:p>
        </w:tc>
        <w:tc>
          <w:tcPr>
            <w:tcW w:type="dxa" w:w="758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Technical Design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phase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V1.5 Growth</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surfaces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Admin Web; POS; Warehouse Mobile</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dependencies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COM-02, IAM-03</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Authoritative entities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SKU, InventoryItem, StockPosition, Lot, Supplier, PurchaseOrder, GoodsReceipt, StockTransfer, StockCount</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Key events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stock.received, stock.reserved, stock.adjusted, stock.transferred, stock.low, lot.expiring</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store</w:t>
            </w:r>
          </w:p>
        </w:tc>
        <w:tc>
          <w:tcPr>
            <w:tcW w:type="dxa" w:w="7588"/>
            <w:tcMar>
              <w:top w:w="70" w:type="dxa"/>
              <w:start w:w="85" w:type="dxa"/>
              <w:bottom w:w="70" w:type="dxa"/>
              <w:end w:w="85" w:type="dxa"/>
              <w:left w:w="80" w:type="dxa"/>
              <w:right w:w="80" w:type="dxa"/>
            </w:tcMar>
            <w:vAlign w:val="center"/>
          </w:tcPr>
          <w:p>
            <w:r>
              <w:t>Product PostgreSQL app schema with module-prefixed authoritative tables; no cross-domain write-table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Data classification</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Confidential/tenant-scoped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Continuity tier</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Tier 2</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Technical interface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Domain command/query interface; no direct 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Async/workflow contract</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Transactional outbox for state changes; idempotent consumers.</w:t>
            </w:r>
          </w:p>
        </w:tc>
      </w:tr>
      <w:tr>
        <w:tc>
          <w:tcPr>
            <w:tcW w:type="dxa" w:w="4842"/>
            <w:tcMar>
              <w:top w:w="70" w:type="dxa"/>
              <w:left w:w="80" w:type="dxa"/>
              <w:bottom w:w="70" w:type="dxa"/>
              <w:right w:w="80" w:type="dxa"/>
            </w:tcMar>
          </w:tcPr>
          <w:p>
            <w:r>
              <w:t>Implementation slice</w:t>
            </w:r>
          </w:p>
        </w:tc>
        <w:tc>
          <w:tcPr>
            <w:tcW w:type="dxa" w:w="4842"/>
            <w:tcMar>
              <w:top w:w="70" w:type="dxa"/>
              <w:left w:w="80" w:type="dxa"/>
              <w:bottom w:w="70" w:type="dxa"/>
              <w:right w:w="80" w:type="dxa"/>
            </w:tcMar>
          </w:tcPr>
          <w:p>
            <w:r>
              <w:t>V1 minimal POS inventory; V1.5 advanced purchasing/procurement</w:t>
            </w:r>
          </w:p>
        </w:tc>
      </w:tr>
    </w:tbl>
    <w:p>
      <w:pPr>
        <w:spacing w:after="40"/>
      </w:pPr>
    </w:p>
    <w:p>
      <w:pPr>
        <w:spacing w:after="80" w:line="259" w:lineRule="auto"/>
      </w:pPr>
      <w:r>
        <w:rPr>
          <w:rFonts w:ascii="Noto Sans" w:hAnsi="Noto Sans"/>
        </w:rPr>
        <w:t>Control stock, cost, expiry, purchasing and movement across locations and sales channels.</w:t>
      </w:r>
    </w:p>
    <w:p>
      <w:pPr>
        <w:pStyle w:val="Heading3"/>
        <w:keepNext/>
      </w:pPr>
      <w:r>
        <w:t>Required Capabilities Preserved</w:t>
      </w:r>
    </w:p>
    <w:p>
      <w:pPr>
        <w:pStyle w:val="Bullet1"/>
        <w:spacing w:after="40" w:line="252" w:lineRule="auto"/>
      </w:pPr>
      <w:r>
        <w:rPr>
          <w:rFonts w:ascii="Noto Sans" w:hAnsi="Noto Sans"/>
        </w:rPr>
        <w:t>SKU, barcode, variant, unit, lot, expiry, supplier, cost, selling price and tax category.</w:t>
      </w:r>
    </w:p>
    <w:p>
      <w:pPr>
        <w:pStyle w:val="Bullet1"/>
        <w:spacing w:after="40" w:line="252" w:lineRule="auto"/>
      </w:pPr>
      <w:r>
        <w:rPr>
          <w:rFonts w:ascii="Noto Sans" w:hAnsi="Noto Sans"/>
        </w:rPr>
        <w:t>On-hand, available, reserved, in-transit, damaged and quarantined quantities by location.</w:t>
      </w:r>
    </w:p>
    <w:p>
      <w:pPr>
        <w:pStyle w:val="Bullet1"/>
        <w:spacing w:after="40" w:line="252" w:lineRule="auto"/>
      </w:pPr>
      <w:r>
        <w:rPr>
          <w:rFonts w:ascii="Noto Sans" w:hAnsi="Noto Sans"/>
        </w:rPr>
        <w:t>Purchase requisition, approval, purchase order, receiving, variance and supplier invoice matching.</w:t>
      </w:r>
    </w:p>
    <w:p>
      <w:pPr>
        <w:pStyle w:val="Bullet1"/>
        <w:spacing w:after="40" w:line="252" w:lineRule="auto"/>
      </w:pPr>
      <w:r>
        <w:rPr>
          <w:rFonts w:ascii="Noto Sans" w:hAnsi="Noto Sans"/>
        </w:rPr>
        <w:t>Inter-location transfer, cycle count, stock adjustment, wastage and reason-coded shrinkage.</w:t>
      </w:r>
    </w:p>
    <w:p>
      <w:pPr>
        <w:pStyle w:val="Bullet1"/>
        <w:spacing w:after="40" w:line="252" w:lineRule="auto"/>
      </w:pPr>
      <w:r>
        <w:rPr>
          <w:rFonts w:ascii="Noto Sans" w:hAnsi="Noto Sans"/>
        </w:rPr>
        <w:t>Reorder points, suggested purchasing, sales velocity and expiry-risk alerts.</w:t>
      </w:r>
    </w:p>
    <w:p>
      <w:pPr>
        <w:pStyle w:val="Bullet1"/>
        <w:spacing w:after="40" w:line="252" w:lineRule="auto"/>
      </w:pPr>
      <w:r>
        <w:rPr>
          <w:rFonts w:ascii="Noto Sans" w:hAnsi="Noto Sans"/>
        </w:rPr>
        <w:t>Cost history, margin, landed cost and valuation export.</w:t>
      </w:r>
    </w:p>
    <w:p>
      <w:pPr>
        <w:pStyle w:val="Bullet1"/>
        <w:spacing w:after="40" w:line="252" w:lineRule="auto"/>
      </w:pPr>
      <w:r>
        <w:rPr>
          <w:rFonts w:ascii="Noto Sans" w:hAnsi="Noto Sans"/>
        </w:rPr>
        <w:t>Inventory reservations linked to orders and fulfillment.</w:t>
      </w:r>
    </w:p>
    <w:p>
      <w:pPr>
        <w:pStyle w:val="Heading3"/>
        <w:keepNext/>
      </w:pPr>
      <w:r>
        <w:t>Critical Controls</w:t>
      </w:r>
    </w:p>
    <w:p>
      <w:pPr>
        <w:pStyle w:val="Bullet1"/>
        <w:spacing w:after="40" w:line="252" w:lineRule="auto"/>
      </w:pPr>
      <w:r>
        <w:rPr>
          <w:rFonts w:ascii="Noto Sans" w:hAnsi="Noto Sans"/>
        </w:rPr>
        <w:t>Inventory adjustments require reason, actor and approval above threshold.</w:t>
      </w:r>
    </w:p>
    <w:p>
      <w:pPr>
        <w:pStyle w:val="Bullet1"/>
        <w:spacing w:after="40" w:line="252" w:lineRule="auto"/>
      </w:pPr>
      <w:r>
        <w:rPr>
          <w:rFonts w:ascii="Noto Sans" w:hAnsi="Noto Sans"/>
        </w:rPr>
        <w:t>Expired or quarantined stock cannot be sold.</w:t>
      </w:r>
    </w:p>
    <w:p>
      <w:pPr>
        <w:pStyle w:val="Heading3"/>
        <w:keepNext/>
      </w:pPr>
      <w:r>
        <w:t>Required Outcomes</w:t>
      </w:r>
    </w:p>
    <w:p>
      <w:pPr>
        <w:pStyle w:val="Bullet1"/>
        <w:spacing w:after="40" w:line="252" w:lineRule="auto"/>
      </w:pPr>
      <w:r>
        <w:rPr>
          <w:rFonts w:ascii="Noto Sans" w:hAnsi="Noto Sans"/>
        </w:rPr>
        <w:t>Fewer stockouts, lower waste and reliable gross margin.</w:t>
      </w:r>
    </w:p>
    <w:p>
      <w:pPr>
        <w:pStyle w:val="Bullet1"/>
        <w:spacing w:after="40" w:line="252" w:lineRule="auto"/>
      </w:pPr>
      <w:r>
        <w:rPr>
          <w:rFonts w:ascii="Noto Sans" w:hAnsi="Noto Sans"/>
        </w:rPr>
        <w:t>Multi-location inventory is visible and transferable in real time.</w:t>
      </w:r>
    </w:p>
    <w:p>
      <w:pPr>
        <w:pStyle w:val="Heading3"/>
        <w:keepNext/>
      </w:pPr>
      <w:r>
        <w:t>Technical Realization Notes</w:t>
      </w:r>
    </w:p>
    <w:p>
      <w:pPr>
        <w:pStyle w:val="Bullet1"/>
        <w:spacing w:after="40" w:line="252" w:lineRule="auto"/>
      </w:pPr>
      <w:r>
        <w:t>Authority &amp; storage: Product PostgreSQL app schema with module-prefixed authoritative tables; no cross-domain write-table access. Authoritative entities/tables are SKU, InventoryItem, StockPosition, Lot, Supplier, PurchaseOrder, GoodsReceipt, StockTransfer, StockCount.</w:t>
      </w:r>
    </w:p>
    <w:p>
      <w:pPr>
        <w:pStyle w:val="Bullet1"/>
        <w:spacing w:after="40" w:line="252" w:lineRule="auto"/>
      </w:pPr>
      <w:r>
        <w:t>Command inventory: CreateSKU, ReceiveStock, ReserveStock, ReleaseStock, AdjustStock, TransferStock, ApprovePurchaseOrder, RecordSupplierReceipt, CycleCount. Every command declares permission, idempotency, expected aggregate version and transaction boundary.</w:t>
      </w:r>
    </w:p>
    <w:p>
      <w:pPr>
        <w:pStyle w:val="Bullet1"/>
        <w:spacing w:after="40" w:line="252" w:lineRule="auto"/>
      </w:pPr>
      <w:r>
        <w:t>Queries/read models: List/detail and history projections for SKU, InventoryItem, StockPosition, Lot; role/surface-specific attention/summary read models for Admin Web; POS; Warehouse Mobile; every projection exposes freshness/version metadata when asynchronously built.</w:t>
      </w:r>
    </w:p>
    <w:p>
      <w:pPr>
        <w:pStyle w:val="Bullet1"/>
      </w:pPr>
      <w:r>
        <w:t>Indexes/concurrency: tenant-leading indexes for primary list/detail paths; unique external/provider identifiers are scoped by tenant/provider; aggregate version supports optimistic concurrency.</w:t>
      </w:r>
    </w:p>
    <w:p>
      <w:pPr>
        <w:pStyle w:val="Bullet1"/>
      </w:pPr>
      <w:r>
        <w:t>Published events: stock.received, stock.reserved, stock.adjusted, stock.transferred, stock.low, lot.expiring, purchase_order.approved. Consumed dependencies: COM-02, IAM-03; dependencies are accessed by stable contracts/projections, never direct write-table joins.</w:t>
      </w:r>
    </w:p>
    <w:p>
      <w:pPr>
        <w:pStyle w:val="Bullet1"/>
      </w:pPr>
      <w:r>
        <w:t>Failure/degraded behavior: Write commands fail atomically; asynchronous effects retry idempotently; stale read models carry freshness and cannot authorize a consequence-bearing mutation beyond budget.</w:t>
      </w:r>
    </w:p>
    <w:p>
      <w:pPr>
        <w:pStyle w:val="Bullet1"/>
      </w:pPr>
      <w:r>
        <w:t>Security/privacy: classification is enforced at field/resource level; tenant context and authorization are mandatory. Restricted data follows §21 controls; support/break-glass access creates delegated actor evidence.</w:t>
      </w:r>
    </w:p>
    <w:p>
      <w:pPr>
        <w:pStyle w:val="Bullet1"/>
      </w:pPr>
      <w:r>
        <w:t>SLI/SLO: Surface/domain API 99.9% initial target; p95 &lt;500-750 ms by workload; queue/projection freshness per §12.5.</w:t>
      </w:r>
    </w:p>
    <w:p>
      <w:pPr>
        <w:pStyle w:val="Bullet1"/>
      </w:pPr>
      <w:r>
        <w:t>Tests/runbook: invariant/property tests for each state transition; contract tests for APIs/events; tenant isolation negative test where tenant-owned; runbook RB-COM-06 covers stuck commands, reconciliation, provider/dependency outage and repair without history rewrite.</w:t>
      </w:r>
    </w:p>
    <w:p>
      <w:pPr>
        <w:pStyle w:val="Heading2"/>
        <w:keepNext/>
      </w:pPr>
      <w:r>
        <w:t>10.18 OPS-01 - Scheduling, Resources &amp; Capacity</w:t>
      </w:r>
    </w:p>
    <w:tbl>
      <w:tblPr>
        <w:tblStyle w:val="TableGrid"/>
        <w:tblW w:type="dxa" w:w="9684"/>
        <w:jc w:val="center"/>
        <w:tblLayout w:type="autofit"/>
        <w:tblLook w:firstColumn="1" w:firstRow="1" w:lastColumn="0" w:lastRow="0" w:noHBand="0" w:noVBand="1" w:val="04A0"/>
      </w:tblPr>
      <w:tblGrid>
        <w:gridCol w:w="4842"/>
        <w:gridCol w:w="4842"/>
      </w:tblGrid>
      <w:tr>
        <w:trPr>
          <w:tblHeader w:val="true"/>
          <w:tblHeader w:val="true"/>
        </w:trPr>
        <w:tc>
          <w:tcPr>
            <w:tcW w:type="dxa" w:w="219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Attribute</w:t>
            </w:r>
          </w:p>
        </w:tc>
        <w:tc>
          <w:tcPr>
            <w:tcW w:type="dxa" w:w="758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Technical Design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phase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V1 General Availability</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surfaces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Admin Web; Coach App; Member App</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dependencies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PLT-01, PPL-01, IAM-03, COM-01</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Authoritative entities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Resource, Availability, ScheduleTemplate, ScheduledInstance, RecurrenceRule, CapacityPolicy, Substitution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Key events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schedule.published, session.created, session.changed, resource.conflict.detected, instructor.substituted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store</w:t>
            </w:r>
          </w:p>
        </w:tc>
        <w:tc>
          <w:tcPr>
            <w:tcW w:type="dxa" w:w="7588"/>
            <w:tcMar>
              <w:top w:w="70" w:type="dxa"/>
              <w:start w:w="85" w:type="dxa"/>
              <w:bottom w:w="70" w:type="dxa"/>
              <w:end w:w="85" w:type="dxa"/>
              <w:left w:w="80" w:type="dxa"/>
              <w:right w:w="80" w:type="dxa"/>
            </w:tcMar>
            <w:vAlign w:val="center"/>
          </w:tcPr>
          <w:p>
            <w:r>
              <w:t>Product PostgreSQL app schema with module-prefixed authoritative tables; no cross-domain write-table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Data classification</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Confidential/tenant-scoped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Continuity tier</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Tier 2</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Technical interface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Domain command/query interface; no direct table access. Publishes permission-safe search projection.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Async/workflow contract</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Transactional outbox for state changes; idempotent consumers.</w:t>
            </w:r>
          </w:p>
        </w:tc>
      </w:tr>
      <w:tr>
        <w:tc>
          <w:tcPr>
            <w:tcW w:type="dxa" w:w="4842"/>
            <w:tcMar>
              <w:top w:w="70" w:type="dxa"/>
              <w:left w:w="80" w:type="dxa"/>
              <w:bottom w:w="70" w:type="dxa"/>
              <w:right w:w="80" w:type="dxa"/>
            </w:tcMar>
          </w:tcPr>
          <w:p>
            <w:r>
              <w:t>Implementation slice</w:t>
            </w:r>
          </w:p>
        </w:tc>
        <w:tc>
          <w:tcPr>
            <w:tcW w:type="dxa" w:w="4842"/>
            <w:tcMar>
              <w:top w:w="70" w:type="dxa"/>
              <w:left w:w="80" w:type="dxa"/>
              <w:bottom w:w="70" w:type="dxa"/>
              <w:right w:w="80" w:type="dxa"/>
            </w:tcMar>
          </w:tcPr>
          <w:p>
            <w:r>
              <w:t>Pilot core slice; complete domain depth by V1 GA</w:t>
            </w:r>
          </w:p>
        </w:tc>
      </w:tr>
    </w:tbl>
    <w:p>
      <w:pPr>
        <w:spacing w:after="40"/>
      </w:pPr>
    </w:p>
    <w:p>
      <w:pPr>
        <w:spacing w:after="80" w:line="259" w:lineRule="auto"/>
      </w:pPr>
      <w:r>
        <w:rPr>
          <w:rFonts w:ascii="Noto Sans" w:hAnsi="Noto Sans"/>
        </w:rPr>
        <w:t>Provide one scheduling engine for classes, PT, consultations, assessments, facilities, rooms, courts and equipment.</w:t>
      </w:r>
    </w:p>
    <w:p>
      <w:pPr>
        <w:pStyle w:val="Heading3"/>
        <w:keepNext/>
      </w:pPr>
      <w:r>
        <w:t>Required Capabilities Preserved</w:t>
      </w:r>
    </w:p>
    <w:p>
      <w:pPr>
        <w:pStyle w:val="Bullet1"/>
        <w:spacing w:after="40" w:line="252" w:lineRule="auto"/>
      </w:pPr>
      <w:r>
        <w:rPr>
          <w:rFonts w:ascii="Noto Sans" w:hAnsi="Noto Sans"/>
        </w:rPr>
        <w:t>Resource model for staff, room, zone, court, equipment, service and composite requirements.</w:t>
      </w:r>
    </w:p>
    <w:p>
      <w:pPr>
        <w:pStyle w:val="Bullet1"/>
        <w:spacing w:after="40" w:line="252" w:lineRule="auto"/>
      </w:pPr>
      <w:r>
        <w:rPr>
          <w:rFonts w:ascii="Noto Sans" w:hAnsi="Noto Sans"/>
        </w:rPr>
        <w:t>One-time and recurring schedules with templates, exceptions, seasonality and time-zone correctness.</w:t>
      </w:r>
    </w:p>
    <w:p>
      <w:pPr>
        <w:pStyle w:val="Bullet1"/>
        <w:spacing w:after="40" w:line="252" w:lineRule="auto"/>
      </w:pPr>
      <w:r>
        <w:rPr>
          <w:rFonts w:ascii="Noto Sans" w:hAnsi="Noto Sans"/>
        </w:rPr>
        <w:t>Availability, working hours, breaks, time off, substitutions and cross-location travel buffers.</w:t>
      </w:r>
    </w:p>
    <w:p>
      <w:pPr>
        <w:pStyle w:val="Bullet1"/>
        <w:spacing w:after="40" w:line="252" w:lineRule="auto"/>
      </w:pPr>
      <w:r>
        <w:rPr>
          <w:rFonts w:ascii="Noto Sans" w:hAnsi="Noto Sans"/>
        </w:rPr>
        <w:t>Capacity, setup/cleanup time, age/skill restrictions, equipment requirements and entitlement checks.</w:t>
      </w:r>
    </w:p>
    <w:p>
      <w:pPr>
        <w:pStyle w:val="Bullet1"/>
        <w:spacing w:after="40" w:line="252" w:lineRule="auto"/>
      </w:pPr>
      <w:r>
        <w:rPr>
          <w:rFonts w:ascii="Noto Sans" w:hAnsi="Noto Sans"/>
        </w:rPr>
        <w:t>Conflict detection and resolution for people, space, equipment and policies.</w:t>
      </w:r>
    </w:p>
    <w:p>
      <w:pPr>
        <w:pStyle w:val="Bullet1"/>
        <w:spacing w:after="40" w:line="252" w:lineRule="auto"/>
      </w:pPr>
      <w:r>
        <w:rPr>
          <w:rFonts w:ascii="Noto Sans" w:hAnsi="Noto Sans"/>
        </w:rPr>
        <w:t>Schedule publishing, draft changes, member impact preview and notification plan.</w:t>
      </w:r>
    </w:p>
    <w:p>
      <w:pPr>
        <w:pStyle w:val="Bullet1"/>
        <w:spacing w:after="40" w:line="252" w:lineRule="auto"/>
      </w:pPr>
      <w:r>
        <w:rPr>
          <w:rFonts w:ascii="Noto Sans" w:hAnsi="Noto Sans"/>
        </w:rPr>
        <w:t>Instructor substitution, cancellation, relocation and attendance handoff.</w:t>
      </w:r>
    </w:p>
    <w:p>
      <w:pPr>
        <w:pStyle w:val="Heading3"/>
        <w:keepNext/>
      </w:pPr>
      <w:r>
        <w:t>Critical Controls</w:t>
      </w:r>
    </w:p>
    <w:p>
      <w:pPr>
        <w:pStyle w:val="Bullet1"/>
        <w:spacing w:after="40" w:line="252" w:lineRule="auto"/>
      </w:pPr>
      <w:r>
        <w:rPr>
          <w:rFonts w:ascii="Noto Sans" w:hAnsi="Noto Sans"/>
        </w:rPr>
        <w:t>All schedule changes are effective-dated and impact-assessed before publication.</w:t>
      </w:r>
    </w:p>
    <w:p>
      <w:pPr>
        <w:pStyle w:val="Bullet1"/>
        <w:spacing w:after="40" w:line="252" w:lineRule="auto"/>
      </w:pPr>
      <w:r>
        <w:rPr>
          <w:rFonts w:ascii="Noto Sans" w:hAnsi="Noto Sans"/>
        </w:rPr>
        <w:t>Resource conflicts cannot be overridden without permission and reason.</w:t>
      </w:r>
    </w:p>
    <w:p>
      <w:pPr>
        <w:pStyle w:val="Heading3"/>
        <w:keepNext/>
      </w:pPr>
      <w:r>
        <w:t>Required Outcomes</w:t>
      </w:r>
    </w:p>
    <w:p>
      <w:pPr>
        <w:pStyle w:val="Bullet1"/>
        <w:spacing w:after="40" w:line="252" w:lineRule="auto"/>
      </w:pPr>
      <w:r>
        <w:rPr>
          <w:rFonts w:ascii="Noto Sans" w:hAnsi="Noto Sans"/>
        </w:rPr>
        <w:t>One calendar coordinates every bookable service and resource.</w:t>
      </w:r>
    </w:p>
    <w:p>
      <w:pPr>
        <w:pStyle w:val="Bullet1"/>
        <w:spacing w:after="40" w:line="252" w:lineRule="auto"/>
      </w:pPr>
      <w:r>
        <w:rPr>
          <w:rFonts w:ascii="Noto Sans" w:hAnsi="Noto Sans"/>
        </w:rPr>
        <w:t>Staff and members receive reliable, localized schedules.</w:t>
      </w:r>
    </w:p>
    <w:p>
      <w:pPr>
        <w:pStyle w:val="Heading3"/>
        <w:keepNext/>
      </w:pPr>
      <w:r>
        <w:t>Technical Realization Notes</w:t>
      </w:r>
    </w:p>
    <w:p>
      <w:pPr>
        <w:pStyle w:val="Bullet1"/>
        <w:spacing w:after="40" w:line="252" w:lineRule="auto"/>
      </w:pPr>
      <w:r>
        <w:t>Authority &amp; storage: Product PostgreSQL app schema with module-prefixed authoritative tables; no cross-domain write-table access. Authoritative entities/tables are Resource, Availability, ScheduleTemplate, ScheduledInstance, RecurrenceRule, CapacityPolicy, Substitution.</w:t>
      </w:r>
    </w:p>
    <w:p>
      <w:pPr>
        <w:pStyle w:val="Bullet1"/>
        <w:spacing w:after="40" w:line="252" w:lineRule="auto"/>
      </w:pPr>
      <w:r>
        <w:t>Command inventory: CreateResource, PublishSchedule, CreateSession, ChangeSession, SetAvailability, SubstituteInstructor, DetectConflict. Every command declares permission, idempotency, expected aggregate version and transaction boundary.</w:t>
      </w:r>
    </w:p>
    <w:p>
      <w:pPr>
        <w:pStyle w:val="Bullet1"/>
        <w:spacing w:after="40" w:line="252" w:lineRule="auto"/>
      </w:pPr>
      <w:r>
        <w:t>Queries/read models: List/detail and history projections for Resource, Availability, ScheduleTemplate, ScheduledInstance; role/surface-specific attention/summary read models for Admin Web; Coach App; Member App; every projection exposes freshness/version metadata when asynchronously built.</w:t>
      </w:r>
    </w:p>
    <w:p>
      <w:pPr>
        <w:pStyle w:val="Bullet1"/>
      </w:pPr>
      <w:r>
        <w:t>Indexes/concurrency: tenant-leading indexes for primary list/detail paths; unique external/provider identifiers are scoped by tenant/provider; aggregate version supports optimistic concurrency.</w:t>
      </w:r>
    </w:p>
    <w:p>
      <w:pPr>
        <w:pStyle w:val="Bullet1"/>
      </w:pPr>
      <w:r>
        <w:t>Published events: schedule.published, session.created, session.changed, resource.conflict.detected, instructor.substituted. Consumed dependencies: PLT-01, PPL-01, IAM-03, COM-01; dependencies are accessed by stable contracts/projections, never direct write-table joins.</w:t>
      </w:r>
    </w:p>
    <w:p>
      <w:pPr>
        <w:pStyle w:val="Bullet1"/>
      </w:pPr>
      <w:r>
        <w:t>Failure/degraded behavior: Write commands fail atomically; asynchronous effects retry idempotently; stale read models carry freshness and cannot authorize a consequence-bearing mutation beyond budget.</w:t>
      </w:r>
    </w:p>
    <w:p>
      <w:pPr>
        <w:pStyle w:val="Bullet1"/>
      </w:pPr>
      <w:r>
        <w:t>Security/privacy: classification is enforced at field/resource level; tenant context and authorization are mandatory. Restricted data follows §21 controls; support/break-glass access creates delegated actor evidence.</w:t>
      </w:r>
    </w:p>
    <w:p>
      <w:pPr>
        <w:pStyle w:val="Bullet1"/>
      </w:pPr>
      <w:r>
        <w:t>SLI/SLO: Surface/domain API 99.9% initial target; p95 &lt;500-750 ms by workload; queue/projection freshness per §12.5.</w:t>
      </w:r>
    </w:p>
    <w:p>
      <w:pPr>
        <w:pStyle w:val="Bullet1"/>
      </w:pPr>
      <w:r>
        <w:t>Tests/runbook: invariant/property tests for each state transition; contract tests for APIs/events; tenant isolation negative test where tenant-owned; runbook RB-OPS-01 covers stuck commands, reconciliation, provider/dependency outage and repair without history rewrite.</w:t>
      </w:r>
    </w:p>
    <w:p>
      <w:pPr>
        <w:pStyle w:val="Heading2"/>
        <w:keepNext/>
      </w:pPr>
      <w:r>
        <w:t>10.19 OPS-02 - Booking, Waitlist &amp; No-show Intelligence</w:t>
      </w:r>
    </w:p>
    <w:tbl>
      <w:tblPr>
        <w:tblStyle w:val="TableGrid"/>
        <w:tblW w:type="dxa" w:w="9684"/>
        <w:jc w:val="center"/>
        <w:tblLayout w:type="autofit"/>
        <w:tblLook w:firstColumn="1" w:firstRow="1" w:lastColumn="0" w:lastRow="0" w:noHBand="0" w:noVBand="1" w:val="04A0"/>
      </w:tblPr>
      <w:tblGrid>
        <w:gridCol w:w="4842"/>
        <w:gridCol w:w="4842"/>
      </w:tblGrid>
      <w:tr>
        <w:trPr>
          <w:tblHeader w:val="true"/>
          <w:tblHeader w:val="true"/>
        </w:trPr>
        <w:tc>
          <w:tcPr>
            <w:tcW w:type="dxa" w:w="219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Attribute</w:t>
            </w:r>
          </w:p>
        </w:tc>
        <w:tc>
          <w:tcPr>
            <w:tcW w:type="dxa" w:w="758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Technical Design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phase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V1 General Availability</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surfaces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Member App; Admin Web; Front Desk; Coach App</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dependencies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OPS-01, COM-01, ENG-02, COM-04</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Authoritative entities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Booking, WaitlistEntry, BookingPolicy, Cancellation, NoShowRecord, Appeal, AttendanceIntent</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Key events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booking.created, booking.cancelled, waitlist.joined, waitlist.promoted, no_show.recorded, booking.checked_in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store</w:t>
            </w:r>
          </w:p>
        </w:tc>
        <w:tc>
          <w:tcPr>
            <w:tcW w:type="dxa" w:w="7588"/>
            <w:tcMar>
              <w:top w:w="70" w:type="dxa"/>
              <w:start w:w="85" w:type="dxa"/>
              <w:bottom w:w="70" w:type="dxa"/>
              <w:end w:w="85" w:type="dxa"/>
              <w:left w:w="80" w:type="dxa"/>
              <w:right w:w="80" w:type="dxa"/>
            </w:tcMar>
            <w:vAlign w:val="center"/>
          </w:tcPr>
          <w:p>
            <w:r>
              <w:t>Product PostgreSQL app schema with module-prefixed authoritative tables; no cross-domain write-table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Data classification</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Confidential/tenant-scoped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Continuity tier</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Tier 2</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Technical interface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Domain command/query interface; no direct table access. Publishes permission-safe search projection.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Async/workflow contract</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Transactional outbox for state changes; idempotent consumers. Durable workflow orchestration for multi-step/timer/provider processes.</w:t>
            </w:r>
          </w:p>
        </w:tc>
      </w:tr>
      <w:tr>
        <w:tc>
          <w:tcPr>
            <w:tcW w:type="dxa" w:w="4842"/>
            <w:tcMar>
              <w:top w:w="70" w:type="dxa"/>
              <w:left w:w="80" w:type="dxa"/>
              <w:bottom w:w="70" w:type="dxa"/>
              <w:right w:w="80" w:type="dxa"/>
            </w:tcMar>
          </w:tcPr>
          <w:p>
            <w:r>
              <w:t>Implementation slice</w:t>
            </w:r>
          </w:p>
        </w:tc>
        <w:tc>
          <w:tcPr>
            <w:tcW w:type="dxa" w:w="4842"/>
            <w:tcMar>
              <w:top w:w="70" w:type="dxa"/>
              <w:left w:w="80" w:type="dxa"/>
              <w:bottom w:w="70" w:type="dxa"/>
              <w:right w:w="80" w:type="dxa"/>
            </w:tcMar>
          </w:tcPr>
          <w:p>
            <w:r>
              <w:t>Pilot core slice; complete domain depth by V1 GA</w:t>
            </w:r>
          </w:p>
        </w:tc>
      </w:tr>
    </w:tbl>
    <w:p>
      <w:pPr>
        <w:spacing w:after="40"/>
      </w:pPr>
    </w:p>
    <w:p>
      <w:pPr>
        <w:spacing w:after="80" w:line="259" w:lineRule="auto"/>
      </w:pPr>
      <w:r>
        <w:rPr>
          <w:rFonts w:ascii="Noto Sans" w:hAnsi="Noto Sans"/>
        </w:rPr>
        <w:t>Make booking simple for members while maximizing utilization and enforcing fair operational policies.</w:t>
      </w:r>
    </w:p>
    <w:p>
      <w:pPr>
        <w:pStyle w:val="Heading3"/>
        <w:keepNext/>
      </w:pPr>
      <w:r>
        <w:t>Required Capabilities Preserved</w:t>
      </w:r>
    </w:p>
    <w:p>
      <w:pPr>
        <w:pStyle w:val="Bullet1"/>
        <w:spacing w:after="40" w:line="252" w:lineRule="auto"/>
      </w:pPr>
      <w:r>
        <w:rPr>
          <w:rFonts w:ascii="Noto Sans" w:hAnsi="Noto Sans"/>
        </w:rPr>
        <w:t>Book, reschedule, cancel and recurring booking across eligible services and resources.</w:t>
      </w:r>
    </w:p>
    <w:p>
      <w:pPr>
        <w:pStyle w:val="Bullet1"/>
        <w:spacing w:after="40" w:line="252" w:lineRule="auto"/>
      </w:pPr>
      <w:r>
        <w:rPr>
          <w:rFonts w:ascii="Noto Sans" w:hAnsi="Noto Sans"/>
        </w:rPr>
        <w:t>Booking windows, cancellation windows, lead time, capacity, quotas, priority and membership eligibility.</w:t>
      </w:r>
    </w:p>
    <w:p>
      <w:pPr>
        <w:pStyle w:val="Bullet1"/>
        <w:spacing w:after="40" w:line="252" w:lineRule="auto"/>
      </w:pPr>
      <w:r>
        <w:rPr>
          <w:rFonts w:ascii="Noto Sans" w:hAnsi="Noto Sans"/>
        </w:rPr>
        <w:t>Waitlist position, automatic promotion, timed confirmation, fallback and member preferences.</w:t>
      </w:r>
    </w:p>
    <w:p>
      <w:pPr>
        <w:pStyle w:val="Bullet1"/>
        <w:spacing w:after="40" w:line="252" w:lineRule="auto"/>
      </w:pPr>
      <w:r>
        <w:rPr>
          <w:rFonts w:ascii="Noto Sans" w:hAnsi="Noto Sans"/>
        </w:rPr>
        <w:t>No-show and late-cancel policy with fee, credit loss, warning, strike and appeal.</w:t>
      </w:r>
    </w:p>
    <w:p>
      <w:pPr>
        <w:pStyle w:val="Bullet1"/>
        <w:spacing w:after="40" w:line="252" w:lineRule="auto"/>
      </w:pPr>
      <w:r>
        <w:rPr>
          <w:rFonts w:ascii="Noto Sans" w:hAnsi="Noto Sans"/>
        </w:rPr>
        <w:t>Predictive no-show score used for reminders and controlled overbooking, never opaque denial.</w:t>
      </w:r>
    </w:p>
    <w:p>
      <w:pPr>
        <w:pStyle w:val="Bullet1"/>
        <w:spacing w:after="40" w:line="252" w:lineRule="auto"/>
      </w:pPr>
      <w:r>
        <w:rPr>
          <w:rFonts w:ascii="Noto Sans" w:hAnsi="Noto Sans"/>
        </w:rPr>
        <w:t>Calendar synchronization, reminders, check-in linkage and attendance completion.</w:t>
      </w:r>
    </w:p>
    <w:p>
      <w:pPr>
        <w:pStyle w:val="Bullet1"/>
        <w:spacing w:after="40" w:line="252" w:lineRule="auto"/>
      </w:pPr>
      <w:r>
        <w:rPr>
          <w:rFonts w:ascii="Noto Sans" w:hAnsi="Noto Sans"/>
        </w:rPr>
        <w:t>Group, household, guest and corporate booking with permission and eligibility rules.</w:t>
      </w:r>
    </w:p>
    <w:p>
      <w:pPr>
        <w:pStyle w:val="Heading3"/>
        <w:keepNext/>
      </w:pPr>
      <w:r>
        <w:t>Critical Controls</w:t>
      </w:r>
    </w:p>
    <w:p>
      <w:pPr>
        <w:pStyle w:val="Bullet1"/>
        <w:spacing w:after="40" w:line="252" w:lineRule="auto"/>
      </w:pPr>
      <w:r>
        <w:rPr>
          <w:rFonts w:ascii="Noto Sans" w:hAnsi="Noto Sans"/>
        </w:rPr>
        <w:t>Booking decisions return an understandable eligibility or denial explanation.</w:t>
      </w:r>
    </w:p>
    <w:p>
      <w:pPr>
        <w:pStyle w:val="Bullet1"/>
        <w:spacing w:after="40" w:line="252" w:lineRule="auto"/>
      </w:pPr>
      <w:r>
        <w:rPr>
          <w:rFonts w:ascii="Noto Sans" w:hAnsi="Noto Sans"/>
        </w:rPr>
        <w:t>Predictive scoring may influence communication and capacity strategy but not discriminate unlawfully.</w:t>
      </w:r>
    </w:p>
    <w:p>
      <w:pPr>
        <w:pStyle w:val="Heading3"/>
        <w:keepNext/>
      </w:pPr>
      <w:r>
        <w:t>Required Outcomes</w:t>
      </w:r>
    </w:p>
    <w:p>
      <w:pPr>
        <w:pStyle w:val="Bullet1"/>
        <w:spacing w:after="40" w:line="252" w:lineRule="auto"/>
      </w:pPr>
      <w:r>
        <w:rPr>
          <w:rFonts w:ascii="Noto Sans" w:hAnsi="Noto Sans"/>
        </w:rPr>
        <w:t>Higher class utilization and fewer empty reserved spots.</w:t>
      </w:r>
    </w:p>
    <w:p>
      <w:pPr>
        <w:pStyle w:val="Bullet1"/>
        <w:spacing w:after="40" w:line="252" w:lineRule="auto"/>
      </w:pPr>
      <w:r>
        <w:rPr>
          <w:rFonts w:ascii="Noto Sans" w:hAnsi="Noto Sans"/>
        </w:rPr>
        <w:t>Members receive fast, fair and transparent booking behavior.</w:t>
      </w:r>
    </w:p>
    <w:p>
      <w:pPr>
        <w:pStyle w:val="Heading3"/>
        <w:keepNext/>
      </w:pPr>
      <w:r>
        <w:t>Technical Realization Notes</w:t>
      </w:r>
    </w:p>
    <w:p>
      <w:pPr>
        <w:pStyle w:val="Bullet1"/>
        <w:spacing w:after="40" w:line="252" w:lineRule="auto"/>
      </w:pPr>
      <w:r>
        <w:t>Authority &amp; storage: Product PostgreSQL app schema with module-prefixed authoritative tables; no cross-domain write-table access. Authoritative entities/tables are Booking, WaitlistEntry, BookingPolicy, Cancellation, NoShowRecord, Appeal, AttendanceIntent.</w:t>
      </w:r>
    </w:p>
    <w:p>
      <w:pPr>
        <w:pStyle w:val="Bullet1"/>
        <w:spacing w:after="40" w:line="252" w:lineRule="auto"/>
      </w:pPr>
      <w:r>
        <w:t>Command inventory: CreateBooking, CancelBooking, JoinWaitlist, PromoteWaitlist, CheckInBooking, RecordNoShow, ReleaseCapacity. Every command declares permission, idempotency, expected aggregate version and transaction boundary.</w:t>
      </w:r>
    </w:p>
    <w:p>
      <w:pPr>
        <w:pStyle w:val="Bullet1"/>
        <w:spacing w:after="40" w:line="252" w:lineRule="auto"/>
      </w:pPr>
      <w:r>
        <w:t>Queries/read models: List/detail and history projections for Booking, WaitlistEntry, BookingPolicy, Cancellation; role/surface-specific attention/summary read models for Member App; Admin Web; Front Desk; Coach App; every projection exposes freshness/version metadata when asynchronously built.</w:t>
      </w:r>
    </w:p>
    <w:p>
      <w:pPr>
        <w:pStyle w:val="Bullet1"/>
      </w:pPr>
      <w:r>
        <w:t>Indexes/concurrency: tenant/session/member/status indexes; unique active booking per member/session; capacity mutation serialized by session/version.</w:t>
      </w:r>
    </w:p>
    <w:p>
      <w:pPr>
        <w:pStyle w:val="Bullet1"/>
      </w:pPr>
      <w:r>
        <w:t>Published events: booking.created, booking.cancelled, waitlist.joined, waitlist.promoted, no_show.recorded, booking.checked_in. Consumed dependencies: OPS-01, COM-01, ENG-02, COM-04; dependencies are accessed by stable contracts/projections, never direct write-table joins.</w:t>
      </w:r>
    </w:p>
    <w:p>
      <w:pPr>
        <w:pStyle w:val="Bullet1"/>
      </w:pPr>
      <w:r>
        <w:t>Failure/degraded behavior: Write commands fail atomically; asynchronous effects retry idempotently; stale read models carry freshness and cannot authorize a consequence-bearing mutation beyond budget.</w:t>
      </w:r>
    </w:p>
    <w:p>
      <w:pPr>
        <w:pStyle w:val="Bullet1"/>
      </w:pPr>
      <w:r>
        <w:t>Security/privacy: classification is enforced at field/resource level; tenant context and authorization are mandatory. Restricted data follows §21 controls; support/break-glass access creates delegated actor evidence.</w:t>
      </w:r>
    </w:p>
    <w:p>
      <w:pPr>
        <w:pStyle w:val="Bullet1"/>
      </w:pPr>
      <w:r>
        <w:t>SLI/SLO: Core booking command API 99.95%; p95 &lt;500 ms under the V1 envelope; capacity oversubscription = 0 and duplicate waitlist promotion = 0 unresolved beyond the automated reconciliation SLA.</w:t>
      </w:r>
    </w:p>
    <w:p>
      <w:pPr>
        <w:pStyle w:val="Bullet1"/>
      </w:pPr>
      <w:r>
        <w:t>Tests/runbook: invariant/property tests for each state transition; contract tests for APIs/events; tenant isolation negative test where tenant-owned; runbook RB-OPS-02 covers stuck commands, reconciliation, provider/dependency outage and repair without history rewrite.</w:t>
      </w:r>
    </w:p>
    <w:p>
      <w:pPr>
        <w:pStyle w:val="Heading2"/>
        <w:keepNext/>
      </w:pPr>
      <w:r>
        <w:t>10.20 OPS-03 - Check-in, Access Control &amp; Entitlement Decisions</w:t>
      </w:r>
    </w:p>
    <w:tbl>
      <w:tblPr>
        <w:tblStyle w:val="TableGrid"/>
        <w:tblW w:type="dxa" w:w="9684"/>
        <w:jc w:val="center"/>
        <w:tblLayout w:type="autofit"/>
        <w:tblLook w:firstColumn="1" w:firstRow="1" w:lastColumn="0" w:lastRow="0" w:noHBand="0" w:noVBand="1" w:val="04A0"/>
      </w:tblPr>
      <w:tblGrid>
        <w:gridCol w:w="4842"/>
        <w:gridCol w:w="4842"/>
      </w:tblGrid>
      <w:tr>
        <w:trPr>
          <w:tblHeader w:val="true"/>
          <w:tblHeader w:val="true"/>
        </w:trPr>
        <w:tc>
          <w:tcPr>
            <w:tcW w:type="dxa" w:w="219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Attribute</w:t>
            </w:r>
          </w:p>
        </w:tc>
        <w:tc>
          <w:tcPr>
            <w:tcW w:type="dxa" w:w="758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Technical Design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phase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V1 General Availability</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surfaces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Access Device; Front Desk; Admin Web; Member App</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dependencies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COM-01, IAM-01, ECO-03, REL-01</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Authoritative entities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AccessPoint, AccessZone, AccessPolicy, AccessDecision, AccessEvent, CredentialBinding, Occupancy</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Key events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access.requested, access.granted, access.denied, access.overridden, occupancy.changed, device.offline</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store</w:t>
            </w:r>
          </w:p>
        </w:tc>
        <w:tc>
          <w:tcPr>
            <w:tcW w:type="dxa" w:w="7588"/>
            <w:tcMar>
              <w:top w:w="70" w:type="dxa"/>
              <w:start w:w="85" w:type="dxa"/>
              <w:bottom w:w="70" w:type="dxa"/>
              <w:end w:w="85" w:type="dxa"/>
              <w:left w:w="80" w:type="dxa"/>
              <w:right w:w="80" w:type="dxa"/>
            </w:tcMar>
            <w:vAlign w:val="center"/>
          </w:tcPr>
          <w:p>
            <w:r>
              <w:t>Product PostgreSQL app schema with module-prefixed authoritative tables; no cross-domain write-table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Data classification</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Confidential/tenant-scoped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Continuity tier</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Tier 1</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Technical interface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Domain command/query interface; no direct 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Async/workflow contract</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Transactional outbox for state changes; idempotent consumers.</w:t>
            </w:r>
          </w:p>
        </w:tc>
      </w:tr>
      <w:tr>
        <w:tc>
          <w:tcPr>
            <w:tcW w:type="dxa" w:w="4842"/>
            <w:tcMar>
              <w:top w:w="70" w:type="dxa"/>
              <w:left w:w="80" w:type="dxa"/>
              <w:bottom w:w="70" w:type="dxa"/>
              <w:right w:w="80" w:type="dxa"/>
            </w:tcMar>
          </w:tcPr>
          <w:p>
            <w:r>
              <w:t>Implementation slice</w:t>
            </w:r>
          </w:p>
        </w:tc>
        <w:tc>
          <w:tcPr>
            <w:tcW w:type="dxa" w:w="4842"/>
            <w:tcMar>
              <w:top w:w="70" w:type="dxa"/>
              <w:left w:w="80" w:type="dxa"/>
              <w:bottom w:w="70" w:type="dxa"/>
              <w:right w:w="80" w:type="dxa"/>
            </w:tcMar>
          </w:tcPr>
          <w:p>
            <w:r>
              <w:t>Pilot core slice; complete domain depth by V1 GA</w:t>
            </w:r>
          </w:p>
        </w:tc>
      </w:tr>
    </w:tbl>
    <w:p>
      <w:pPr>
        <w:spacing w:after="40"/>
      </w:pPr>
    </w:p>
    <w:p>
      <w:pPr>
        <w:spacing w:after="80" w:line="259" w:lineRule="auto"/>
      </w:pPr>
      <w:r>
        <w:rPr>
          <w:rFonts w:ascii="Noto Sans" w:hAnsi="Noto Sans"/>
        </w:rPr>
        <w:t>Make physical access fast and reliable while enforcing membership, location, time, zone and risk policies.</w:t>
      </w:r>
    </w:p>
    <w:p>
      <w:pPr>
        <w:pStyle w:val="Heading3"/>
        <w:keepNext/>
      </w:pPr>
      <w:r>
        <w:t>Required Capabilities Preserved</w:t>
      </w:r>
    </w:p>
    <w:p>
      <w:pPr>
        <w:pStyle w:val="Bullet1"/>
        <w:spacing w:after="40" w:line="252" w:lineRule="auto"/>
      </w:pPr>
      <w:r>
        <w:rPr>
          <w:rFonts w:ascii="Noto Sans" w:hAnsi="Noto Sans"/>
        </w:rPr>
        <w:t>Real-time decision pipeline: identify person, resolve credential, evaluate entitlement and policy, then actuate device.</w:t>
      </w:r>
    </w:p>
    <w:p>
      <w:pPr>
        <w:pStyle w:val="Bullet1"/>
        <w:spacing w:after="40" w:line="252" w:lineRule="auto"/>
      </w:pPr>
      <w:r>
        <w:rPr>
          <w:rFonts w:ascii="Noto Sans" w:hAnsi="Noto Sans"/>
        </w:rPr>
        <w:t>QR, NFC, wallet pass, card, PIN, staff-assisted and optional biometric credentials.</w:t>
      </w:r>
    </w:p>
    <w:p>
      <w:pPr>
        <w:pStyle w:val="Bullet1"/>
        <w:spacing w:after="40" w:line="252" w:lineRule="auto"/>
      </w:pPr>
      <w:r>
        <w:rPr>
          <w:rFonts w:ascii="Noto Sans" w:hAnsi="Noto Sans"/>
        </w:rPr>
        <w:t>Rules for location, zone, hours, membership state, capacity, outstanding balance, freeze, age and safety flags.</w:t>
      </w:r>
    </w:p>
    <w:p>
      <w:pPr>
        <w:pStyle w:val="Bullet1"/>
        <w:spacing w:after="40" w:line="252" w:lineRule="auto"/>
      </w:pPr>
      <w:r>
        <w:rPr>
          <w:rFonts w:ascii="Noto Sans" w:hAnsi="Noto Sans"/>
        </w:rPr>
        <w:t>Configurable grace and exception policies with staff override, reason and approval.</w:t>
      </w:r>
    </w:p>
    <w:p>
      <w:pPr>
        <w:pStyle w:val="Bullet1"/>
        <w:spacing w:after="40" w:line="252" w:lineRule="auto"/>
      </w:pPr>
      <w:r>
        <w:rPr>
          <w:rFonts w:ascii="Noto Sans" w:hAnsi="Noto Sans"/>
        </w:rPr>
        <w:t>Offline entitlement cache, signed policy snapshots, duplicate-entry protection and eventual synchronization.</w:t>
      </w:r>
    </w:p>
    <w:p>
      <w:pPr>
        <w:pStyle w:val="Bullet1"/>
        <w:spacing w:after="40" w:line="252" w:lineRule="auto"/>
      </w:pPr>
      <w:r>
        <w:rPr>
          <w:rFonts w:ascii="Noto Sans" w:hAnsi="Noto Sans"/>
        </w:rPr>
        <w:t>Live occupancy, entry/exit events, anti-passback and emergency unlock integration.</w:t>
      </w:r>
    </w:p>
    <w:p>
      <w:pPr>
        <w:pStyle w:val="Bullet1"/>
        <w:spacing w:after="40" w:line="252" w:lineRule="auto"/>
      </w:pPr>
      <w:r>
        <w:rPr>
          <w:rFonts w:ascii="Noto Sans" w:hAnsi="Noto Sans"/>
        </w:rPr>
        <w:t>Privacy-safe welcome/failure display and immediate fallback path.</w:t>
      </w:r>
    </w:p>
    <w:p>
      <w:pPr>
        <w:pStyle w:val="Heading3"/>
        <w:keepNext/>
      </w:pPr>
      <w:r>
        <w:t>Critical Controls</w:t>
      </w:r>
    </w:p>
    <w:p>
      <w:pPr>
        <w:pStyle w:val="Bullet1"/>
        <w:spacing w:after="40" w:line="252" w:lineRule="auto"/>
      </w:pPr>
      <w:r>
        <w:rPr>
          <w:rFonts w:ascii="Noto Sans" w:hAnsi="Noto Sans"/>
        </w:rPr>
        <w:t>Offline access uses time-limited signed data and risk-bounded policy.</w:t>
      </w:r>
    </w:p>
    <w:p>
      <w:pPr>
        <w:pStyle w:val="Bullet1"/>
        <w:spacing w:after="40" w:line="252" w:lineRule="auto"/>
      </w:pPr>
      <w:r>
        <w:rPr>
          <w:rFonts w:ascii="Noto Sans" w:hAnsi="Noto Sans"/>
        </w:rPr>
        <w:t>Access denial never reveals sensitive financial or health information publicly.</w:t>
      </w:r>
    </w:p>
    <w:p>
      <w:pPr>
        <w:pStyle w:val="Heading3"/>
        <w:keepNext/>
      </w:pPr>
      <w:r>
        <w:t>Required Outcomes</w:t>
      </w:r>
    </w:p>
    <w:p>
      <w:pPr>
        <w:pStyle w:val="Bullet1"/>
        <w:spacing w:after="40" w:line="252" w:lineRule="auto"/>
      </w:pPr>
      <w:r>
        <w:rPr>
          <w:rFonts w:ascii="Noto Sans" w:hAnsi="Noto Sans"/>
        </w:rPr>
        <w:t>Fast entry with auditable policy enforcement.</w:t>
      </w:r>
    </w:p>
    <w:p>
      <w:pPr>
        <w:pStyle w:val="Bullet1"/>
        <w:spacing w:after="40" w:line="252" w:lineRule="auto"/>
      </w:pPr>
      <w:r>
        <w:rPr>
          <w:rFonts w:ascii="Noto Sans" w:hAnsi="Noto Sans"/>
        </w:rPr>
        <w:t>The club continues operating during temporary connectivity loss.</w:t>
      </w:r>
    </w:p>
    <w:p>
      <w:pPr>
        <w:pStyle w:val="Heading3"/>
        <w:keepNext/>
      </w:pPr>
      <w:r>
        <w:t>Technical Realization Notes</w:t>
      </w:r>
    </w:p>
    <w:p>
      <w:pPr>
        <w:pStyle w:val="Bullet1"/>
        <w:spacing w:after="40" w:line="252" w:lineRule="auto"/>
      </w:pPr>
      <w:r>
        <w:t>Authority &amp; storage: Product PostgreSQL app schema with module-prefixed authoritative tables; no cross-domain write-table access. Authoritative entities/tables are AccessPoint, AccessZone, AccessPolicy, AccessDecision, AccessEvent, CredentialBinding, Occupancy.</w:t>
      </w:r>
    </w:p>
    <w:p>
      <w:pPr>
        <w:pStyle w:val="Bullet1"/>
        <w:spacing w:after="40" w:line="252" w:lineRule="auto"/>
      </w:pPr>
      <w:r>
        <w:t>Command inventory: EvaluateAccess, OverrideAccess, RevokeCredentialAccess, RecordEntryExit, EmergencyUnlock, PublishAccessSnapshot, ReconcileOfflineAccess. Every command declares permission, idempotency, expected aggregate version and transaction boundary.</w:t>
      </w:r>
    </w:p>
    <w:p>
      <w:pPr>
        <w:pStyle w:val="Bullet1"/>
        <w:spacing w:after="40" w:line="252" w:lineRule="auto"/>
      </w:pPr>
      <w:r>
        <w:t>Queries/read models: List/detail and history projections for AccessPoint, AccessZone, AccessPolicy, AccessDecision; role/surface-specific attention/summary read models for Access Device; Front Desk; Admin Web; Member App; every projection exposes freshness/version metadata when asynchronously built.</w:t>
      </w:r>
    </w:p>
    <w:p>
      <w:pPr>
        <w:pStyle w:val="Bullet1"/>
        <w:spacing w:after="40" w:line="252" w:lineRule="auto"/>
      </w:pPr>
      <w:r>
        <w:t>Indexes/concurrency: tenant/location/credential-hash/time indexes; append-only access evidence; decision references exact snapshot/policy version.</w:t>
      </w:r>
    </w:p>
    <w:p>
      <w:pPr>
        <w:pStyle w:val="Bullet1"/>
      </w:pPr>
      <w:r>
        <w:t>Access authorization separates credential identity from policy. Edge snapshot is a signed authorization projection with bounded TTL; life-safety behavior is hardware-enforced per §16.4.</w:t>
      </w:r>
    </w:p>
    <w:p>
      <w:pPr>
        <w:pStyle w:val="Bullet1"/>
      </w:pPr>
      <w:r>
        <w:t>Published events: access.requested, access.granted, access.denied, access.overridden, occupancy.changed, device.offline, access.revoked. Consumed dependencies: COM-01, IAM-01, ECO-03, REL-01; dependencies are accessed by stable contracts/projections, never direct write-table joins.</w:t>
      </w:r>
    </w:p>
    <w:p>
      <w:pPr>
        <w:pStyle w:val="Bullet1"/>
      </w:pPr>
      <w:r>
        <w:t>Failure/degraded behavior: Use bounded signed offline policy snapshot; deny when snapshot/clock/credential is outside risk bounds; egress/emergency safety remains hardware-controlled.</w:t>
      </w:r>
    </w:p>
    <w:p>
      <w:pPr>
        <w:pStyle w:val="Bullet1"/>
      </w:pPr>
      <w:r>
        <w:t>Security/privacy: classification is enforced at field/resource level; tenant context and authorization are mandatory. Restricted data follows §21 controls; support/break-glass access creates delegated actor evidence.</w:t>
      </w:r>
    </w:p>
    <w:p>
      <w:pPr>
        <w:pStyle w:val="Bullet1"/>
      </w:pPr>
      <w:r>
        <w:t>SLI/SLO: Edge-local decision: 99.99%, p95 &lt;250 ms; cloud policy API: 99.95%, p95 &lt;700 ms; revocation propagation online &lt;60 s.</w:t>
      </w:r>
    </w:p>
    <w:p>
      <w:pPr>
        <w:pStyle w:val="Bullet1"/>
      </w:pPr>
      <w:r>
        <w:t>Tests/runbook: invariant/property tests for each state transition; contract tests for APIs/events; tenant isolation negative test where tenant-owned; runbook RB-OPS-03 covers stuck commands, reconciliation, provider/dependency outage and repair without history rewrite.</w:t>
      </w:r>
    </w:p>
    <w:p>
      <w:pPr>
        <w:pStyle w:val="Heading2"/>
        <w:keepNext/>
      </w:pPr>
      <w:r>
        <w:t>10.21 OPS-04 - Front Desk, Kiosk, Guest &amp; Visitor Operations</w:t>
      </w:r>
    </w:p>
    <w:tbl>
      <w:tblPr>
        <w:tblStyle w:val="TableGrid"/>
        <w:tblW w:type="dxa" w:w="9684"/>
        <w:jc w:val="center"/>
        <w:tblLayout w:type="autofit"/>
        <w:tblLook w:firstColumn="1" w:firstRow="1" w:lastColumn="0" w:lastRow="0" w:noHBand="0" w:noVBand="1" w:val="04A0"/>
      </w:tblPr>
      <w:tblGrid>
        <w:gridCol w:w="4842"/>
        <w:gridCol w:w="4842"/>
      </w:tblGrid>
      <w:tr>
        <w:trPr>
          <w:tblHeader w:val="true"/>
          <w:tblHeader w:val="true"/>
        </w:trPr>
        <w:tc>
          <w:tcPr>
            <w:tcW w:type="dxa" w:w="219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Attribute</w:t>
            </w:r>
          </w:p>
        </w:tc>
        <w:tc>
          <w:tcPr>
            <w:tcW w:type="dxa" w:w="758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Technical Design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phase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V1 General Availability</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surfaces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Front Desk; Kiosk; Admin Web</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dependencies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PPL-01, PPL-02, OPS-02, OPS-03, COM-05</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Authoritative entities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FrontDeskSession, Arrival, Visitor, WalkIn, KioskSession, ResolutionCase, Handoff</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Key events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arrival.detected, visitor.registered, waiver.signed, front_desk.case.resolved, handoff.created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store</w:t>
            </w:r>
          </w:p>
        </w:tc>
        <w:tc>
          <w:tcPr>
            <w:tcW w:type="dxa" w:w="7588"/>
            <w:tcMar>
              <w:top w:w="70" w:type="dxa"/>
              <w:start w:w="85" w:type="dxa"/>
              <w:bottom w:w="70" w:type="dxa"/>
              <w:end w:w="85" w:type="dxa"/>
              <w:left w:w="80" w:type="dxa"/>
              <w:right w:w="80" w:type="dxa"/>
            </w:tcMar>
            <w:vAlign w:val="center"/>
          </w:tcPr>
          <w:p>
            <w:r>
              <w:t>Product PostgreSQL app schema with module-prefixed authoritative tables; no cross-domain write-table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Data classification</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Confidential/tenant-scoped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Continuity tier</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Tier 1</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Technical interface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Domain command/query interface; no direct 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Async/workflow contract</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Transactional outbox for state changes; idempotent consumers. Durable workflow orchestration for multi-step/timer/provider processes.</w:t>
            </w:r>
          </w:p>
        </w:tc>
      </w:tr>
      <w:tr>
        <w:tc>
          <w:tcPr>
            <w:tcW w:type="dxa" w:w="4842"/>
            <w:tcMar>
              <w:top w:w="70" w:type="dxa"/>
              <w:left w:w="80" w:type="dxa"/>
              <w:bottom w:w="70" w:type="dxa"/>
              <w:right w:w="80" w:type="dxa"/>
            </w:tcMar>
          </w:tcPr>
          <w:p>
            <w:r>
              <w:t>Implementation slice</w:t>
            </w:r>
          </w:p>
        </w:tc>
        <w:tc>
          <w:tcPr>
            <w:tcW w:type="dxa" w:w="4842"/>
            <w:tcMar>
              <w:top w:w="70" w:type="dxa"/>
              <w:left w:w="80" w:type="dxa"/>
              <w:bottom w:w="70" w:type="dxa"/>
              <w:right w:w="80" w:type="dxa"/>
            </w:tcMar>
          </w:tcPr>
          <w:p>
            <w:r>
              <w:t>Pilot core slice; complete domain depth by V1 GA</w:t>
            </w:r>
          </w:p>
        </w:tc>
      </w:tr>
    </w:tbl>
    <w:p>
      <w:pPr>
        <w:spacing w:after="40"/>
      </w:pPr>
    </w:p>
    <w:p>
      <w:pPr>
        <w:spacing w:after="80" w:line="259" w:lineRule="auto"/>
      </w:pPr>
      <w:r>
        <w:rPr>
          <w:rFonts w:ascii="Noto Sans" w:hAnsi="Noto Sans"/>
        </w:rPr>
        <w:t>Provide a dedicated operational experience for high-volume arrival, resolution, sales and visitor workflows.</w:t>
      </w:r>
    </w:p>
    <w:p>
      <w:pPr>
        <w:pStyle w:val="Heading3"/>
        <w:keepNext/>
      </w:pPr>
      <w:r>
        <w:t>Required Capabilities Preserved</w:t>
      </w:r>
    </w:p>
    <w:p>
      <w:pPr>
        <w:pStyle w:val="Bullet1"/>
        <w:spacing w:after="40" w:line="252" w:lineRule="auto"/>
      </w:pPr>
      <w:r>
        <w:rPr>
          <w:rFonts w:ascii="Noto Sans" w:hAnsi="Noto Sans"/>
        </w:rPr>
        <w:t>Live arrivals with identity, membership/access status, alerts and next best action.</w:t>
      </w:r>
    </w:p>
    <w:p>
      <w:pPr>
        <w:pStyle w:val="Bullet1"/>
        <w:spacing w:after="40" w:line="252" w:lineRule="auto"/>
      </w:pPr>
      <w:r>
        <w:rPr>
          <w:rFonts w:ascii="Noto Sans" w:hAnsi="Noto Sans"/>
        </w:rPr>
        <w:t>Fast global member search by name, phone, ID, QR, card or recent visit.</w:t>
      </w:r>
    </w:p>
    <w:p>
      <w:pPr>
        <w:pStyle w:val="Bullet1"/>
        <w:spacing w:after="40" w:line="252" w:lineRule="auto"/>
      </w:pPr>
      <w:r>
        <w:rPr>
          <w:rFonts w:ascii="Noto Sans" w:hAnsi="Noto Sans"/>
        </w:rPr>
        <w:t>Resolve expired/frozen membership, failed payment, booking, waiver, guest or credential issue in context.</w:t>
      </w:r>
    </w:p>
    <w:p>
      <w:pPr>
        <w:pStyle w:val="Bullet1"/>
        <w:spacing w:after="40" w:line="252" w:lineRule="auto"/>
      </w:pPr>
      <w:r>
        <w:rPr>
          <w:rFonts w:ascii="Noto Sans" w:hAnsi="Noto Sans"/>
        </w:rPr>
        <w:t>Walk-in, trial, day pass and guest registration with waiver, identity, payment and lead creation.</w:t>
      </w:r>
    </w:p>
    <w:p>
      <w:pPr>
        <w:pStyle w:val="Bullet1"/>
        <w:spacing w:after="40" w:line="252" w:lineRule="auto"/>
      </w:pPr>
      <w:r>
        <w:rPr>
          <w:rFonts w:ascii="Noto Sans" w:hAnsi="Noto Sans"/>
        </w:rPr>
        <w:t>Reception mode combining check-in, bookings, POS, member actions and operational alerts.</w:t>
      </w:r>
    </w:p>
    <w:p>
      <w:pPr>
        <w:pStyle w:val="Bullet1"/>
        <w:spacing w:after="40" w:line="252" w:lineRule="auto"/>
      </w:pPr>
      <w:r>
        <w:rPr>
          <w:rFonts w:ascii="Noto Sans" w:hAnsi="Noto Sans"/>
        </w:rPr>
        <w:t>Kiosk mode for unattended check-in, renewal, day pass, waiver and guest registration.</w:t>
      </w:r>
    </w:p>
    <w:p>
      <w:pPr>
        <w:pStyle w:val="Bullet1"/>
        <w:spacing w:after="40" w:line="252" w:lineRule="auto"/>
      </w:pPr>
      <w:r>
        <w:rPr>
          <w:rFonts w:ascii="Noto Sans" w:hAnsi="Noto Sans"/>
        </w:rPr>
        <w:t>Queue and handoff support for escalations to sales, manager, coach or finance.</w:t>
      </w:r>
    </w:p>
    <w:p>
      <w:pPr>
        <w:pStyle w:val="Heading3"/>
        <w:keepNext/>
      </w:pPr>
      <w:r>
        <w:t>Critical Controls</w:t>
      </w:r>
    </w:p>
    <w:p>
      <w:pPr>
        <w:pStyle w:val="Bullet1"/>
        <w:spacing w:after="40" w:line="252" w:lineRule="auto"/>
      </w:pPr>
      <w:r>
        <w:rPr>
          <w:rFonts w:ascii="Noto Sans" w:hAnsi="Noto Sans"/>
        </w:rPr>
        <w:t>Kiosk data is minimized, automatically cleared and protected from shoulder surfing.</w:t>
      </w:r>
    </w:p>
    <w:p>
      <w:pPr>
        <w:pStyle w:val="Bullet1"/>
        <w:spacing w:after="40" w:line="252" w:lineRule="auto"/>
      </w:pPr>
      <w:r>
        <w:rPr>
          <w:rFonts w:ascii="Noto Sans" w:hAnsi="Noto Sans"/>
        </w:rPr>
        <w:t>Staff overrides are permissioned, reason-coded and time-bounded.</w:t>
      </w:r>
    </w:p>
    <w:p>
      <w:pPr>
        <w:pStyle w:val="Heading3"/>
        <w:keepNext/>
      </w:pPr>
      <w:r>
        <w:t>Required Outcomes</w:t>
      </w:r>
    </w:p>
    <w:p>
      <w:pPr>
        <w:pStyle w:val="Bullet1"/>
        <w:spacing w:after="40" w:line="252" w:lineRule="auto"/>
      </w:pPr>
      <w:r>
        <w:rPr>
          <w:rFonts w:ascii="Noto Sans" w:hAnsi="Noto Sans"/>
        </w:rPr>
        <w:t>Reception handles the majority of issues without navigating the full admin system.</w:t>
      </w:r>
    </w:p>
    <w:p>
      <w:pPr>
        <w:pStyle w:val="Bullet1"/>
        <w:spacing w:after="40" w:line="252" w:lineRule="auto"/>
      </w:pPr>
      <w:r>
        <w:rPr>
          <w:rFonts w:ascii="Noto Sans" w:hAnsi="Noto Sans"/>
        </w:rPr>
        <w:t>Guest traffic becomes measurable sales opportunity rather than anonymous footfall.</w:t>
      </w:r>
    </w:p>
    <w:p>
      <w:pPr>
        <w:pStyle w:val="Heading3"/>
        <w:keepNext/>
      </w:pPr>
      <w:r>
        <w:t>Technical Realization Notes</w:t>
      </w:r>
    </w:p>
    <w:p>
      <w:pPr>
        <w:pStyle w:val="Bullet1"/>
        <w:spacing w:after="40" w:line="252" w:lineRule="auto"/>
      </w:pPr>
      <w:r>
        <w:t>Authority &amp; storage: Product PostgreSQL app schema with module-prefixed authoritative tables; no cross-domain write-table access. Authoritative entities/tables are FrontDeskSession, Arrival, Visitor, WalkIn, KioskSession, ResolutionCase, Handoff.</w:t>
      </w:r>
    </w:p>
    <w:p>
      <w:pPr>
        <w:pStyle w:val="Bullet1"/>
        <w:spacing w:after="40" w:line="252" w:lineRule="auto"/>
      </w:pPr>
      <w:r>
        <w:t>Command inventory: RegisterArrival, SearchMemberLocally, OpenFrontDeskCase, RegisterVisitor, SignWaiver, QuickBook, QuickCollect, ResolveFrontDeskCase. Every command declares permission, idempotency, expected aggregate version and transaction boundary.</w:t>
      </w:r>
    </w:p>
    <w:p>
      <w:pPr>
        <w:pStyle w:val="Bullet1"/>
        <w:spacing w:after="40" w:line="252" w:lineRule="auto"/>
      </w:pPr>
      <w:r>
        <w:t>Queries/read models: List/detail and history projections for FrontDeskSession, Arrival, Visitor, WalkIn; role/surface-specific attention/summary read models for Front Desk; Kiosk; Admin Web; every projection exposes freshness/version metadata when asynchronously built.</w:t>
      </w:r>
    </w:p>
    <w:p>
      <w:pPr>
        <w:pStyle w:val="Bullet1"/>
      </w:pPr>
      <w:r>
        <w:t>Indexes/concurrency: tenant-leading indexes for primary list/detail paths; unique external/provider identifiers are scoped by tenant/provider; aggregate version supports optimistic concurrency.</w:t>
      </w:r>
    </w:p>
    <w:p>
      <w:pPr>
        <w:pStyle w:val="Bullet1"/>
      </w:pPr>
      <w:r>
        <w:t>Published events: arrival.detected, visitor.registered, waiver.signed, front_desk.case.resolved, handoff.created. Consumed dependencies: PPL-01, PPL-02, OPS-02, OPS-03, COM-05; dependencies are accessed by stable contracts/projections, never direct write-table joins.</w:t>
      </w:r>
    </w:p>
    <w:p>
      <w:pPr>
        <w:pStyle w:val="Bullet1"/>
      </w:pPr>
      <w:r>
        <w:t>Failure/degraded behavior: Write commands fail atomically; asynchronous effects retry idempotently; stale read models carry freshness and cannot authorize a consequence-bearing mutation beyond budget.</w:t>
      </w:r>
    </w:p>
    <w:p>
      <w:pPr>
        <w:pStyle w:val="Bullet1"/>
      </w:pPr>
      <w:r>
        <w:t>Security/privacy: classification is enforced at field/resource level; tenant context and authorization are mandatory. Restricted data follows §21 controls; support/break-glass access creates delegated actor evidence.</w:t>
      </w:r>
    </w:p>
    <w:p>
      <w:pPr>
        <w:pStyle w:val="Bullet1"/>
      </w:pPr>
      <w:r>
        <w:t>SLI/SLO: Front Desk cloud API/read models target 99.9% monthly availability and p95 &lt;500 ms for member lookup under the V1 envelope. The local cached check-in/access path inherits OPS-03 edge-local targets (99.99% monthly, p95 &lt;250 ms while a valid signed snapshot exists). POS/payment consequence-bearing actions retain their COM-03/COM-05 financial SLOs; degraded UI must show freshness explicitly.</w:t>
      </w:r>
    </w:p>
    <w:p>
      <w:pPr>
        <w:pStyle w:val="Bullet1"/>
      </w:pPr>
      <w:r>
        <w:t>Tests/runbook: invariant/property tests for each state transition; contract tests for APIs/events; tenant isolation negative test where tenant-owned; runbook RB-OPS-04 covers stuck commands, reconciliation, provider/dependency outage and repair without history rewrite.</w:t>
      </w:r>
    </w:p>
    <w:p>
      <w:pPr>
        <w:pStyle w:val="Heading2"/>
        <w:keepNext/>
      </w:pPr>
      <w:r>
        <w:t>10.22 OPS-05 - Staff, Shifts, Attendance, Payroll &amp; Commissions</w:t>
      </w:r>
    </w:p>
    <w:tbl>
      <w:tblPr>
        <w:tblStyle w:val="TableGrid"/>
        <w:tblW w:type="dxa" w:w="9684"/>
        <w:jc w:val="center"/>
        <w:tblLayout w:type="autofit"/>
        <w:tblLook w:firstColumn="1" w:firstRow="1" w:lastColumn="0" w:lastRow="0" w:noHBand="0" w:noVBand="1" w:val="04A0"/>
      </w:tblPr>
      <w:tblGrid>
        <w:gridCol w:w="4842"/>
        <w:gridCol w:w="4842"/>
      </w:tblGrid>
      <w:tr>
        <w:trPr>
          <w:tblHeader w:val="true"/>
          <w:tblHeader w:val="true"/>
        </w:trPr>
        <w:tc>
          <w:tcPr>
            <w:tcW w:type="dxa" w:w="219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Attribute</w:t>
            </w:r>
          </w:p>
        </w:tc>
        <w:tc>
          <w:tcPr>
            <w:tcW w:type="dxa" w:w="758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Technical Design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phase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V1.5 Growth</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surfaces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Admin Web; Coach App; Staff Kiosk</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dependencies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PPL-01, IAM-03, OPS-01, COM-04</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Authoritative entities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Staff, Employment, Qualification, Shift, TimeEntry, Leave, CompensationRule, Commission, PayrollRun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Key events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staff.onboarded, shift.started, time_entry.corrected, session.verified, commission.earned, payroll.approved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store</w:t>
            </w:r>
          </w:p>
        </w:tc>
        <w:tc>
          <w:tcPr>
            <w:tcW w:type="dxa" w:w="7588"/>
            <w:tcMar>
              <w:top w:w="70" w:type="dxa"/>
              <w:start w:w="85" w:type="dxa"/>
              <w:bottom w:w="70" w:type="dxa"/>
              <w:end w:w="85" w:type="dxa"/>
              <w:left w:w="80" w:type="dxa"/>
              <w:right w:w="80" w:type="dxa"/>
            </w:tcMar>
            <w:vAlign w:val="center"/>
          </w:tcPr>
          <w:p>
            <w:r>
              <w:t>Product PostgreSQL app schema with module-prefixed authoritative tables; no cross-domain write-table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Data classification</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Restricted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Continuity tier</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Tier 2</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Technical interface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Domain command/query interface; no direct 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Async/workflow contract</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Transactional outbox for state changes; idempotent consumers. Durable workflow orchestration for multi-step/timer/provider processes.</w:t>
            </w:r>
          </w:p>
        </w:tc>
      </w:tr>
      <w:tr>
        <w:tc>
          <w:tcPr>
            <w:tcW w:type="dxa" w:w="4842"/>
            <w:tcMar>
              <w:top w:w="70" w:type="dxa"/>
              <w:left w:w="80" w:type="dxa"/>
              <w:bottom w:w="70" w:type="dxa"/>
              <w:right w:w="80" w:type="dxa"/>
            </w:tcMar>
          </w:tcPr>
          <w:p>
            <w:r>
              <w:t>Implementation slice</w:t>
            </w:r>
          </w:p>
        </w:tc>
        <w:tc>
          <w:tcPr>
            <w:tcW w:type="dxa" w:w="4842"/>
            <w:tcMar>
              <w:top w:w="70" w:type="dxa"/>
              <w:left w:w="80" w:type="dxa"/>
              <w:bottom w:w="70" w:type="dxa"/>
              <w:right w:w="80" w:type="dxa"/>
            </w:tcMar>
          </w:tcPr>
          <w:p>
            <w:r>
              <w:t>V1.5 Growth</w:t>
            </w:r>
          </w:p>
        </w:tc>
      </w:tr>
    </w:tbl>
    <w:p>
      <w:pPr>
        <w:spacing w:after="40"/>
      </w:pPr>
    </w:p>
    <w:p>
      <w:pPr>
        <w:spacing w:after="80" w:line="259" w:lineRule="auto"/>
      </w:pPr>
      <w:r>
        <w:rPr>
          <w:rFonts w:ascii="Noto Sans" w:hAnsi="Noto Sans"/>
        </w:rPr>
        <w:t>Manage the workforce, labor obligations, performance and compensation required to operate gyms consistently.</w:t>
      </w:r>
    </w:p>
    <w:p>
      <w:pPr>
        <w:pStyle w:val="Heading3"/>
        <w:keepNext/>
      </w:pPr>
      <w:r>
        <w:t>Required Capabilities Preserved</w:t>
      </w:r>
    </w:p>
    <w:p>
      <w:pPr>
        <w:pStyle w:val="Bullet1"/>
        <w:spacing w:after="40" w:line="252" w:lineRule="auto"/>
      </w:pPr>
      <w:r>
        <w:rPr>
          <w:rFonts w:ascii="Noto Sans" w:hAnsi="Noto Sans"/>
        </w:rPr>
        <w:t>Staff profile, employment/contract relationship, location assignment, qualifications and document expiry.</w:t>
      </w:r>
    </w:p>
    <w:p>
      <w:pPr>
        <w:pStyle w:val="Bullet1"/>
        <w:spacing w:after="40" w:line="252" w:lineRule="auto"/>
      </w:pPr>
      <w:r>
        <w:rPr>
          <w:rFonts w:ascii="Noto Sans" w:hAnsi="Noto Sans"/>
        </w:rPr>
        <w:t>Shift planning, availability, clock-in/out, break, overtime, leave and substitution.</w:t>
      </w:r>
    </w:p>
    <w:p>
      <w:pPr>
        <w:pStyle w:val="Bullet1"/>
        <w:spacing w:after="40" w:line="252" w:lineRule="auto"/>
      </w:pPr>
      <w:r>
        <w:rPr>
          <w:rFonts w:ascii="Noto Sans" w:hAnsi="Noto Sans"/>
        </w:rPr>
        <w:t>Optional biometric attendance separated from member-access enrollment and policy.</w:t>
      </w:r>
    </w:p>
    <w:p>
      <w:pPr>
        <w:pStyle w:val="Bullet1"/>
        <w:spacing w:after="40" w:line="252" w:lineRule="auto"/>
      </w:pPr>
      <w:r>
        <w:rPr>
          <w:rFonts w:ascii="Noto Sans" w:hAnsi="Noto Sans"/>
        </w:rPr>
        <w:t>Coach session completion, class delivery, sales, lead handling, tasks, NPS and retention metrics.</w:t>
      </w:r>
    </w:p>
    <w:p>
      <w:pPr>
        <w:pStyle w:val="Bullet1"/>
        <w:spacing w:after="40" w:line="252" w:lineRule="auto"/>
      </w:pPr>
      <w:r>
        <w:rPr>
          <w:rFonts w:ascii="Noto Sans" w:hAnsi="Noto Sans"/>
        </w:rPr>
        <w:t>Compensation rules for base, hourly, per-session, class, tiered commission, bonus and deduction.</w:t>
      </w:r>
    </w:p>
    <w:p>
      <w:pPr>
        <w:pStyle w:val="Bullet1"/>
        <w:spacing w:after="40" w:line="252" w:lineRule="auto"/>
      </w:pPr>
      <w:r>
        <w:rPr>
          <w:rFonts w:ascii="Noto Sans" w:hAnsi="Noto Sans"/>
        </w:rPr>
        <w:t>Payroll preview, exception review, approval, lock and export to payroll/accounting.</w:t>
      </w:r>
    </w:p>
    <w:p>
      <w:pPr>
        <w:pStyle w:val="Bullet1"/>
        <w:spacing w:after="40" w:line="252" w:lineRule="auto"/>
      </w:pPr>
      <w:r>
        <w:rPr>
          <w:rFonts w:ascii="Noto Sans" w:hAnsi="Noto Sans"/>
        </w:rPr>
        <w:t>Separation between performance coaching and protected HR information.</w:t>
      </w:r>
    </w:p>
    <w:p>
      <w:pPr>
        <w:pStyle w:val="Heading3"/>
        <w:keepNext/>
      </w:pPr>
      <w:r>
        <w:t>Critical Controls</w:t>
      </w:r>
    </w:p>
    <w:p>
      <w:pPr>
        <w:pStyle w:val="Bullet1"/>
        <w:spacing w:after="40" w:line="252" w:lineRule="auto"/>
      </w:pPr>
      <w:r>
        <w:rPr>
          <w:rFonts w:ascii="Noto Sans" w:hAnsi="Noto Sans"/>
        </w:rPr>
        <w:t>Payroll-affecting corrections require reason, approval and locked-period controls.</w:t>
      </w:r>
    </w:p>
    <w:p>
      <w:pPr>
        <w:pStyle w:val="Bullet1"/>
        <w:spacing w:after="40" w:line="252" w:lineRule="auto"/>
      </w:pPr>
      <w:r>
        <w:rPr>
          <w:rFonts w:ascii="Noto Sans" w:hAnsi="Noto Sans"/>
        </w:rPr>
        <w:t>Local labor requirements are configurable and reviewed regionally.</w:t>
      </w:r>
    </w:p>
    <w:p>
      <w:pPr>
        <w:pStyle w:val="Heading3"/>
        <w:keepNext/>
      </w:pPr>
      <w:r>
        <w:t>Required Outcomes</w:t>
      </w:r>
    </w:p>
    <w:p>
      <w:pPr>
        <w:pStyle w:val="Bullet1"/>
        <w:spacing w:after="40" w:line="252" w:lineRule="auto"/>
      </w:pPr>
      <w:r>
        <w:rPr>
          <w:rFonts w:ascii="Noto Sans" w:hAnsi="Noto Sans"/>
        </w:rPr>
        <w:t>Accurate compensation with fewer disputes and spreadsheets.</w:t>
      </w:r>
    </w:p>
    <w:p>
      <w:pPr>
        <w:pStyle w:val="Bullet1"/>
        <w:spacing w:after="40" w:line="252" w:lineRule="auto"/>
      </w:pPr>
      <w:r>
        <w:rPr>
          <w:rFonts w:ascii="Noto Sans" w:hAnsi="Noto Sans"/>
        </w:rPr>
        <w:t>Managers understand capacity and performance without exposing protected HR data.</w:t>
      </w:r>
    </w:p>
    <w:p>
      <w:pPr>
        <w:pStyle w:val="Heading3"/>
        <w:keepNext/>
      </w:pPr>
      <w:r>
        <w:t>Technical Realization Notes</w:t>
      </w:r>
    </w:p>
    <w:p>
      <w:pPr>
        <w:pStyle w:val="Bullet1"/>
        <w:spacing w:after="40" w:line="252" w:lineRule="auto"/>
      </w:pPr>
      <w:r>
        <w:t>Authority &amp; storage: Product PostgreSQL app schema with module-prefixed authoritative tables; no cross-domain write-table access. Authoritative entities/tables are Staff, Employment, Qualification, Shift, TimeEntry, Leave, CompensationRule, Commission, PayrollRun.</w:t>
      </w:r>
    </w:p>
    <w:p>
      <w:pPr>
        <w:pStyle w:val="Bullet1"/>
        <w:spacing w:after="40" w:line="252" w:lineRule="auto"/>
      </w:pPr>
      <w:r>
        <w:t>Command inventory: OnboardStaff, PublishShift, ClockTime, CorrectTimeEntry, VerifySession, CalculateCommission, ApprovePayrollInput. Every command declares permission, idempotency, expected aggregate version and transaction boundary.</w:t>
      </w:r>
    </w:p>
    <w:p>
      <w:pPr>
        <w:pStyle w:val="Bullet1"/>
        <w:spacing w:after="40" w:line="252" w:lineRule="auto"/>
      </w:pPr>
      <w:r>
        <w:t>Queries/read models: List/detail and history projections for Staff, Employment, Qualification, Shift; role/surface-specific attention/summary read models for Admin Web; Coach App; Staff Kiosk; every projection exposes freshness/version metadata when asynchronously built.</w:t>
      </w:r>
    </w:p>
    <w:p>
      <w:pPr>
        <w:pStyle w:val="Bullet1"/>
      </w:pPr>
      <w:r>
        <w:t>Indexes/concurrency: tenant-leading indexes for primary list/detail paths; unique external/provider identifiers are scoped by tenant/provider; aggregate version supports optimistic concurrency.</w:t>
      </w:r>
    </w:p>
    <w:p>
      <w:pPr>
        <w:pStyle w:val="Bullet1"/>
      </w:pPr>
      <w:r>
        <w:t>Published events: staff.onboarded, shift.started, time_entry.corrected, session.verified, commission.earned, payroll.approved. Consumed dependencies: PPL-01, IAM-03, OPS-01, COM-04; dependencies are accessed by stable contracts/projections, never direct write-table joins.</w:t>
      </w:r>
    </w:p>
    <w:p>
      <w:pPr>
        <w:pStyle w:val="Bullet1"/>
      </w:pPr>
      <w:r>
        <w:t>Failure/degraded behavior: Write commands fail atomically; asynchronous effects retry idempotently; stale read models carry freshness and cannot authorize a consequence-bearing mutation beyond budget.</w:t>
      </w:r>
    </w:p>
    <w:p>
      <w:pPr>
        <w:pStyle w:val="Bullet1"/>
      </w:pPr>
      <w:r>
        <w:t>Security/privacy: classification is enforced at field/resource level; tenant context and authorization are mandatory. Restricted data follows §21 controls; support/break-glass access creates delegated actor evidence.</w:t>
      </w:r>
    </w:p>
    <w:p>
      <w:pPr>
        <w:pStyle w:val="Bullet1"/>
      </w:pPr>
      <w:r>
        <w:t>SLI/SLO: Surface/domain API 99.9% initial target; p95 &lt;500-750 ms by workload; queue/projection freshness per §12.5.</w:t>
      </w:r>
    </w:p>
    <w:p>
      <w:pPr>
        <w:pStyle w:val="Bullet1"/>
      </w:pPr>
      <w:r>
        <w:t>Tests/runbook: invariant/property tests for each state transition; contract tests for APIs/events; tenant isolation negative test where tenant-owned; runbook RB-OPS-05 covers stuck commands, reconciliation, provider/dependency outage and repair without history rewrite.</w:t>
      </w:r>
    </w:p>
    <w:p>
      <w:pPr>
        <w:pStyle w:val="Heading2"/>
        <w:keepNext/>
      </w:pPr>
      <w:r>
        <w:t>10.23 OPS-06 - Facilities, Equipment, Assets &amp; Maintenance</w:t>
      </w:r>
    </w:p>
    <w:tbl>
      <w:tblPr>
        <w:tblStyle w:val="TableGrid"/>
        <w:tblW w:type="dxa" w:w="9684"/>
        <w:jc w:val="center"/>
        <w:tblLayout w:type="autofit"/>
        <w:tblLook w:firstColumn="1" w:firstRow="1" w:lastColumn="0" w:lastRow="0" w:noHBand="0" w:noVBand="1" w:val="04A0"/>
      </w:tblPr>
      <w:tblGrid>
        <w:gridCol w:w="4842"/>
        <w:gridCol w:w="4842"/>
      </w:tblGrid>
      <w:tr>
        <w:trPr>
          <w:tblHeader w:val="true"/>
          <w:tblHeader w:val="true"/>
        </w:trPr>
        <w:tc>
          <w:tcPr>
            <w:tcW w:type="dxa" w:w="219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Attribute</w:t>
            </w:r>
          </w:p>
        </w:tc>
        <w:tc>
          <w:tcPr>
            <w:tcW w:type="dxa" w:w="758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Technical Design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phase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V2 Platform</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surfaces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Admin Web; Member App; Staff Mobile; Partner Portal</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dependencies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PLT-01, AUT-02, ENG-02, OPS-01</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Authoritative entities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Asset, Facility, AssetLabel, Inspection, MaintenancePlan, Issue, WorkOrder, Downtime, ServiceProvider</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Key events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asset.registered, issue.reported, asset.isolated, work_order.created, maintenance.completed, facility.closed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store</w:t>
            </w:r>
          </w:p>
        </w:tc>
        <w:tc>
          <w:tcPr>
            <w:tcW w:type="dxa" w:w="7588"/>
            <w:tcMar>
              <w:top w:w="70" w:type="dxa"/>
              <w:start w:w="85" w:type="dxa"/>
              <w:bottom w:w="70" w:type="dxa"/>
              <w:end w:w="85" w:type="dxa"/>
              <w:left w:w="80" w:type="dxa"/>
              <w:right w:w="80" w:type="dxa"/>
            </w:tcMar>
            <w:vAlign w:val="center"/>
          </w:tcPr>
          <w:p>
            <w:r>
              <w:t>Product PostgreSQL app schema with module-prefixed authoritative tables; no cross-domain write-table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Data classification</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Confidential/tenant-scoped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Continuity tier</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Tier 2</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Technical interface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Domain command/query interface; no direct 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Async/workflow contract</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Transactional outbox for state changes; idempotent consumers.</w:t>
            </w:r>
          </w:p>
        </w:tc>
      </w:tr>
      <w:tr>
        <w:tc>
          <w:tcPr>
            <w:tcW w:type="dxa" w:w="4842"/>
            <w:tcMar>
              <w:top w:w="70" w:type="dxa"/>
              <w:left w:w="80" w:type="dxa"/>
              <w:bottom w:w="70" w:type="dxa"/>
              <w:right w:w="80" w:type="dxa"/>
            </w:tcMar>
          </w:tcPr>
          <w:p>
            <w:r>
              <w:t>Implementation slice</w:t>
            </w:r>
          </w:p>
        </w:tc>
        <w:tc>
          <w:tcPr>
            <w:tcW w:type="dxa" w:w="4842"/>
            <w:tcMar>
              <w:top w:w="70" w:type="dxa"/>
              <w:left w:w="80" w:type="dxa"/>
              <w:bottom w:w="70" w:type="dxa"/>
              <w:right w:w="80" w:type="dxa"/>
            </w:tcMar>
          </w:tcPr>
          <w:p>
            <w:r>
              <w:t>V2 Platform</w:t>
            </w:r>
          </w:p>
        </w:tc>
      </w:tr>
    </w:tbl>
    <w:p>
      <w:pPr>
        <w:spacing w:after="40"/>
      </w:pPr>
    </w:p>
    <w:p>
      <w:pPr>
        <w:spacing w:after="80" w:line="259" w:lineRule="auto"/>
      </w:pPr>
      <w:r>
        <w:rPr>
          <w:rFonts w:ascii="Noto Sans" w:hAnsi="Noto Sans"/>
        </w:rPr>
        <w:t>Keep physical clubs safe, available and cost-efficient through asset, issue and maintenance workflows.</w:t>
      </w:r>
    </w:p>
    <w:p>
      <w:pPr>
        <w:pStyle w:val="Heading3"/>
        <w:keepNext/>
      </w:pPr>
      <w:r>
        <w:t>Required Capabilities Preserved</w:t>
      </w:r>
    </w:p>
    <w:p>
      <w:pPr>
        <w:pStyle w:val="Bullet1"/>
        <w:spacing w:after="40" w:line="252" w:lineRule="auto"/>
      </w:pPr>
      <w:r>
        <w:rPr>
          <w:rFonts w:ascii="Noto Sans" w:hAnsi="Noto Sans"/>
        </w:rPr>
        <w:t>Asset register for equipment, rooms, zones, lockers, access devices, kiosks and POS hardware.</w:t>
      </w:r>
    </w:p>
    <w:p>
      <w:pPr>
        <w:pStyle w:val="Bullet1"/>
        <w:spacing w:after="40" w:line="252" w:lineRule="auto"/>
      </w:pPr>
      <w:r>
        <w:rPr>
          <w:rFonts w:ascii="Noto Sans" w:hAnsi="Noto Sans"/>
        </w:rPr>
        <w:t>QR/NFC asset labels for member/staff issue reporting and technician context.</w:t>
      </w:r>
    </w:p>
    <w:p>
      <w:pPr>
        <w:pStyle w:val="Bullet1"/>
        <w:spacing w:after="40" w:line="252" w:lineRule="auto"/>
      </w:pPr>
      <w:r>
        <w:rPr>
          <w:rFonts w:ascii="Noto Sans" w:hAnsi="Noto Sans"/>
        </w:rPr>
        <w:t>Preventive maintenance schedules, inspection checklists, warranties, service contracts and compliance dates.</w:t>
      </w:r>
    </w:p>
    <w:p>
      <w:pPr>
        <w:pStyle w:val="Bullet1"/>
        <w:spacing w:after="40" w:line="252" w:lineRule="auto"/>
      </w:pPr>
      <w:r>
        <w:rPr>
          <w:rFonts w:ascii="Noto Sans" w:hAnsi="Noto Sans"/>
        </w:rPr>
        <w:t>Issue triage, severity, safety isolation, work order, parts, downtime and resolution evidence.</w:t>
      </w:r>
    </w:p>
    <w:p>
      <w:pPr>
        <w:pStyle w:val="Bullet1"/>
        <w:spacing w:after="40" w:line="252" w:lineRule="auto"/>
      </w:pPr>
      <w:r>
        <w:rPr>
          <w:rFonts w:ascii="Noto Sans" w:hAnsi="Noto Sans"/>
        </w:rPr>
        <w:t>Facility closure or capacity impact synchronized to booking, access and communication.</w:t>
      </w:r>
    </w:p>
    <w:p>
      <w:pPr>
        <w:pStyle w:val="Bullet1"/>
        <w:spacing w:after="40" w:line="252" w:lineRule="auto"/>
      </w:pPr>
      <w:r>
        <w:rPr>
          <w:rFonts w:ascii="Noto Sans" w:hAnsi="Noto Sans"/>
        </w:rPr>
        <w:t>Asset utilization, downtime, maintenance cost and replacement forecasting.</w:t>
      </w:r>
    </w:p>
    <w:p>
      <w:pPr>
        <w:pStyle w:val="Bullet1"/>
        <w:spacing w:after="40" w:line="252" w:lineRule="auto"/>
      </w:pPr>
      <w:r>
        <w:rPr>
          <w:rFonts w:ascii="Noto Sans" w:hAnsi="Noto Sans"/>
        </w:rPr>
        <w:t>Supplier/technician portal or limited-access workflow for assigned work.</w:t>
      </w:r>
    </w:p>
    <w:p>
      <w:pPr>
        <w:pStyle w:val="Heading3"/>
        <w:keepNext/>
      </w:pPr>
      <w:r>
        <w:t>Critical Controls</w:t>
      </w:r>
    </w:p>
    <w:p>
      <w:pPr>
        <w:pStyle w:val="Bullet1"/>
        <w:spacing w:after="40" w:line="252" w:lineRule="auto"/>
      </w:pPr>
      <w:r>
        <w:rPr>
          <w:rFonts w:ascii="Noto Sans" w:hAnsi="Noto Sans"/>
        </w:rPr>
        <w:t>Safety-critical assets can be immediately isolated from use and booking.</w:t>
      </w:r>
    </w:p>
    <w:p>
      <w:pPr>
        <w:pStyle w:val="Bullet1"/>
        <w:spacing w:after="40" w:line="252" w:lineRule="auto"/>
      </w:pPr>
      <w:r>
        <w:rPr>
          <w:rFonts w:ascii="Noto Sans" w:hAnsi="Noto Sans"/>
        </w:rPr>
        <w:t>Maintenance evidence and compliance records follow retention policy.</w:t>
      </w:r>
    </w:p>
    <w:p>
      <w:pPr>
        <w:pStyle w:val="Heading3"/>
        <w:keepNext/>
      </w:pPr>
      <w:r>
        <w:t>Required Outcomes</w:t>
      </w:r>
    </w:p>
    <w:p>
      <w:pPr>
        <w:pStyle w:val="Bullet1"/>
        <w:spacing w:after="40" w:line="252" w:lineRule="auto"/>
      </w:pPr>
      <w:r>
        <w:rPr>
          <w:rFonts w:ascii="Noto Sans" w:hAnsi="Noto Sans"/>
        </w:rPr>
        <w:t>Lower downtime and safer member experience.</w:t>
      </w:r>
    </w:p>
    <w:p>
      <w:pPr>
        <w:pStyle w:val="Bullet1"/>
        <w:spacing w:after="40" w:line="252" w:lineRule="auto"/>
      </w:pPr>
      <w:r>
        <w:rPr>
          <w:rFonts w:ascii="Noto Sans" w:hAnsi="Noto Sans"/>
        </w:rPr>
        <w:t>Capital replacement decisions use real cost and utilization data.</w:t>
      </w:r>
    </w:p>
    <w:p>
      <w:pPr>
        <w:pStyle w:val="Heading3"/>
        <w:keepNext/>
      </w:pPr>
      <w:r>
        <w:t>Technical Realization Notes</w:t>
      </w:r>
    </w:p>
    <w:p>
      <w:pPr>
        <w:pStyle w:val="Bullet1"/>
        <w:spacing w:after="40" w:line="252" w:lineRule="auto"/>
      </w:pPr>
      <w:r>
        <w:t>Authority &amp; storage: Product PostgreSQL app schema with module-prefixed authoritative tables; no cross-domain write-table access. Authoritative entities/tables are Asset, Facility, AssetLabel, Inspection, MaintenancePlan, Issue, WorkOrder, Downtime, ServiceProvider.</w:t>
      </w:r>
    </w:p>
    <w:p>
      <w:pPr>
        <w:pStyle w:val="Bullet1"/>
        <w:spacing w:after="40" w:line="252" w:lineRule="auto"/>
      </w:pPr>
      <w:r>
        <w:t>Command inventory: RegisterAsset, ReportIssue, IsolateAsset, CreateWorkOrder, CompleteMaintenance, CloseFacilityZone. Every command declares permission, idempotency, expected aggregate version and transaction boundary.</w:t>
      </w:r>
    </w:p>
    <w:p>
      <w:pPr>
        <w:pStyle w:val="Bullet1"/>
        <w:spacing w:after="40" w:line="252" w:lineRule="auto"/>
      </w:pPr>
      <w:r>
        <w:t>Queries/read models: List/detail and history projections for Asset, Facility, AssetLabel, Inspection; role/surface-specific attention/summary read models for Admin Web; Member App; Staff Mobile; Partner Portal; every projection exposes freshness/version metadata when asynchronously built.</w:t>
      </w:r>
    </w:p>
    <w:p>
      <w:pPr>
        <w:pStyle w:val="Bullet1"/>
      </w:pPr>
      <w:r>
        <w:t>Indexes/concurrency: tenant-leading indexes for primary list/detail paths; unique external/provider identifiers are scoped by tenant/provider; aggregate version supports optimistic concurrency.</w:t>
      </w:r>
    </w:p>
    <w:p>
      <w:pPr>
        <w:pStyle w:val="Bullet1"/>
      </w:pPr>
      <w:r>
        <w:t>Published events: asset.registered, issue.reported, asset.isolated, work_order.created, maintenance.completed, facility.closed. Consumed dependencies: PLT-01, AUT-02, ENG-02, OPS-01; dependencies are accessed by stable contracts/projections, never direct write-table joins.</w:t>
      </w:r>
    </w:p>
    <w:p>
      <w:pPr>
        <w:pStyle w:val="Bullet1"/>
      </w:pPr>
      <w:r>
        <w:t>Failure/degraded behavior: Write commands fail atomically; asynchronous effects retry idempotently; stale read models carry freshness and cannot authorize a consequence-bearing mutation beyond budget.</w:t>
      </w:r>
    </w:p>
    <w:p>
      <w:pPr>
        <w:pStyle w:val="Bullet1"/>
      </w:pPr>
      <w:r>
        <w:t>Security/privacy: classification is enforced at field/resource level; tenant context and authorization are mandatory. Restricted data follows §21 controls; support/break-glass access creates delegated actor evidence.</w:t>
      </w:r>
    </w:p>
    <w:p>
      <w:pPr>
        <w:pStyle w:val="Bullet1"/>
      </w:pPr>
      <w:r>
        <w:t>SLI/SLO: Surface/domain API 99.9% initial target; p95 &lt;500-750 ms by workload; queue/projection freshness per §12.5.</w:t>
      </w:r>
    </w:p>
    <w:p>
      <w:pPr>
        <w:pStyle w:val="Bullet1"/>
      </w:pPr>
      <w:r>
        <w:t>Tests/runbook: invariant/property tests for each state transition; contract tests for APIs/events; tenant isolation negative test where tenant-owned; runbook RB-OPS-06 covers stuck commands, reconciliation, provider/dependency outage and repair without history rewrite.</w:t>
      </w:r>
    </w:p>
    <w:p>
      <w:pPr>
        <w:pStyle w:val="Heading2"/>
        <w:keepNext/>
      </w:pPr>
      <w:r>
        <w:t>10.24 COA-01 - Coach Workspace &amp; Client Management</w:t>
      </w:r>
    </w:p>
    <w:tbl>
      <w:tblPr>
        <w:tblStyle w:val="TableGrid"/>
        <w:tblW w:type="dxa" w:w="9684"/>
        <w:jc w:val="center"/>
        <w:tblLayout w:type="autofit"/>
        <w:tblLook w:firstColumn="1" w:firstRow="1" w:lastColumn="0" w:lastRow="0" w:noHBand="0" w:noVBand="1" w:val="04A0"/>
      </w:tblPr>
      <w:tblGrid>
        <w:gridCol w:w="4842"/>
        <w:gridCol w:w="4842"/>
      </w:tblGrid>
      <w:tr>
        <w:trPr>
          <w:tblHeader w:val="true"/>
          <w:tblHeader w:val="true"/>
        </w:trPr>
        <w:tc>
          <w:tcPr>
            <w:tcW w:type="dxa" w:w="219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Attribute</w:t>
            </w:r>
          </w:p>
        </w:tc>
        <w:tc>
          <w:tcPr>
            <w:tcW w:type="dxa" w:w="758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Technical Design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phase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V1 General Availability</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surfaces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Coach App; Admin Web</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dependencies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PPL-01, OPS-01, OPS-02, IAM-03, ENG-01</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Authoritative entities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CoachAssignment, CoachClient, CoachTask, CoachingSession, SessionNote, ClientAlert, PaymentRequest</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Key events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coach.assigned, session.started, session.completed, client.attention.required, coach_note.created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store</w:t>
            </w:r>
          </w:p>
        </w:tc>
        <w:tc>
          <w:tcPr>
            <w:tcW w:type="dxa" w:w="7588"/>
            <w:tcMar>
              <w:top w:w="70" w:type="dxa"/>
              <w:start w:w="85" w:type="dxa"/>
              <w:bottom w:w="70" w:type="dxa"/>
              <w:end w:w="85" w:type="dxa"/>
              <w:left w:w="80" w:type="dxa"/>
              <w:right w:w="80" w:type="dxa"/>
            </w:tcMar>
            <w:vAlign w:val="center"/>
          </w:tcPr>
          <w:p>
            <w:r>
              <w:t>Product PostgreSQL app schema with module-prefixed authoritative tables; no cross-domain write-table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Data classification</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Confidential/tenant-scoped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Continuity tier</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Tier 2</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Technical interface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Domain command/query interface; no direct table access. Publishes permission-safe search projection.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Async/workflow contract</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Transactional outbox for state changes; idempotent consumers. Durable workflow orchestration for multi-step/timer/provider processes.</w:t>
            </w:r>
          </w:p>
        </w:tc>
      </w:tr>
      <w:tr>
        <w:tc>
          <w:tcPr>
            <w:tcW w:type="dxa" w:w="4842"/>
            <w:tcMar>
              <w:top w:w="70" w:type="dxa"/>
              <w:left w:w="80" w:type="dxa"/>
              <w:bottom w:w="70" w:type="dxa"/>
              <w:right w:w="80" w:type="dxa"/>
            </w:tcMar>
          </w:tcPr>
          <w:p>
            <w:r>
              <w:t>Implementation slice</w:t>
            </w:r>
          </w:p>
        </w:tc>
        <w:tc>
          <w:tcPr>
            <w:tcW w:type="dxa" w:w="4842"/>
            <w:tcMar>
              <w:top w:w="70" w:type="dxa"/>
              <w:left w:w="80" w:type="dxa"/>
              <w:bottom w:w="70" w:type="dxa"/>
              <w:right w:w="80" w:type="dxa"/>
            </w:tcMar>
          </w:tcPr>
          <w:p>
            <w:r>
              <w:t>Pilot core slice; complete domain depth by V1 GA</w:t>
            </w:r>
          </w:p>
        </w:tc>
      </w:tr>
    </w:tbl>
    <w:p>
      <w:pPr>
        <w:spacing w:after="40"/>
      </w:pPr>
    </w:p>
    <w:p>
      <w:pPr>
        <w:spacing w:after="80" w:line="259" w:lineRule="auto"/>
      </w:pPr>
      <w:r>
        <w:rPr>
          <w:rFonts w:ascii="Noto Sans" w:hAnsi="Noto Sans"/>
        </w:rPr>
        <w:t>Give coaches a focused mobile operating system for daily work instead of a reduced copy of the admin product.</w:t>
      </w:r>
    </w:p>
    <w:p>
      <w:pPr>
        <w:pStyle w:val="Heading3"/>
        <w:keepNext/>
      </w:pPr>
      <w:r>
        <w:t>Required Capabilities Preserved</w:t>
      </w:r>
    </w:p>
    <w:p>
      <w:pPr>
        <w:pStyle w:val="Bullet1"/>
        <w:spacing w:after="40" w:line="252" w:lineRule="auto"/>
      </w:pPr>
      <w:r>
        <w:rPr>
          <w:rFonts w:ascii="Noto Sans" w:hAnsi="Noto Sans"/>
        </w:rPr>
        <w:t>Today view with upcoming sessions, preparation context, tasks, changes and clients needing attention.</w:t>
      </w:r>
    </w:p>
    <w:p>
      <w:pPr>
        <w:pStyle w:val="Bullet1"/>
        <w:spacing w:after="40" w:line="252" w:lineRule="auto"/>
      </w:pPr>
      <w:r>
        <w:rPr>
          <w:rFonts w:ascii="Noto Sans" w:hAnsi="Noto Sans"/>
        </w:rPr>
        <w:t>Assigned client roster, search, lifecycle status, goals, restrictions, program and recent activity.</w:t>
      </w:r>
    </w:p>
    <w:p>
      <w:pPr>
        <w:pStyle w:val="Bullet1"/>
        <w:spacing w:after="40" w:line="252" w:lineRule="auto"/>
      </w:pPr>
      <w:r>
        <w:rPr>
          <w:rFonts w:ascii="Noto Sans" w:hAnsi="Noto Sans"/>
        </w:rPr>
        <w:t>Client 360 subset scoped to coaching relationship and sensitive-data permissions.</w:t>
      </w:r>
    </w:p>
    <w:p>
      <w:pPr>
        <w:pStyle w:val="Bullet1"/>
        <w:spacing w:after="40" w:line="252" w:lineRule="auto"/>
      </w:pPr>
      <w:r>
        <w:rPr>
          <w:rFonts w:ascii="Noto Sans" w:hAnsi="Noto Sans"/>
        </w:rPr>
        <w:t>Session preparation, attendance, notes, exercises, measurements, follow-up and credit consumption.</w:t>
      </w:r>
    </w:p>
    <w:p>
      <w:pPr>
        <w:pStyle w:val="Bullet1"/>
        <w:spacing w:after="40" w:line="252" w:lineRule="auto"/>
      </w:pPr>
      <w:r>
        <w:rPr>
          <w:rFonts w:ascii="Noto Sans" w:hAnsi="Noto Sans"/>
        </w:rPr>
        <w:t>Coach tasks generated from plan end, inactivity, pain report, missed targets, check-in or member request.</w:t>
      </w:r>
    </w:p>
    <w:p>
      <w:pPr>
        <w:pStyle w:val="Bullet1"/>
        <w:spacing w:after="40" w:line="252" w:lineRule="auto"/>
      </w:pPr>
      <w:r>
        <w:rPr>
          <w:rFonts w:ascii="Noto Sans" w:hAnsi="Noto Sans"/>
        </w:rPr>
        <w:t>Contextual messaging tied to client, workout, meal, assessment or session.</w:t>
      </w:r>
    </w:p>
    <w:p>
      <w:pPr>
        <w:pStyle w:val="Bullet1"/>
        <w:spacing w:after="40" w:line="252" w:lineRule="auto"/>
      </w:pPr>
      <w:r>
        <w:rPr>
          <w:rFonts w:ascii="Noto Sans" w:hAnsi="Noto Sans"/>
        </w:rPr>
        <w:t>Mobile sales of approved coaching products or secure payment-request handoff to the member.</w:t>
      </w:r>
    </w:p>
    <w:p>
      <w:pPr>
        <w:pStyle w:val="Bullet1"/>
        <w:spacing w:after="40" w:line="252" w:lineRule="auto"/>
      </w:pPr>
      <w:r>
        <w:rPr>
          <w:rFonts w:ascii="Noto Sans" w:hAnsi="Noto Sans"/>
        </w:rPr>
        <w:t>Offline read access to today schedule and safe queued notes where policy allows.</w:t>
      </w:r>
    </w:p>
    <w:p>
      <w:pPr>
        <w:pStyle w:val="Heading3"/>
        <w:keepNext/>
      </w:pPr>
      <w:r>
        <w:t>Critical Controls</w:t>
      </w:r>
    </w:p>
    <w:p>
      <w:pPr>
        <w:pStyle w:val="Bullet1"/>
        <w:spacing w:after="40" w:line="252" w:lineRule="auto"/>
      </w:pPr>
      <w:r>
        <w:rPr>
          <w:rFonts w:ascii="Noto Sans" w:hAnsi="Noto Sans"/>
        </w:rPr>
        <w:t>Coaches only see clients and sensitive fields authorized by relationship and policy.</w:t>
      </w:r>
    </w:p>
    <w:p>
      <w:pPr>
        <w:pStyle w:val="Bullet1"/>
        <w:spacing w:after="40" w:line="252" w:lineRule="auto"/>
      </w:pPr>
      <w:r>
        <w:rPr>
          <w:rFonts w:ascii="Noto Sans" w:hAnsi="Noto Sans"/>
        </w:rPr>
        <w:t>Session credit consumption requires attendance evidence and dispute workflow.</w:t>
      </w:r>
    </w:p>
    <w:p>
      <w:pPr>
        <w:pStyle w:val="Heading3"/>
        <w:keepNext/>
      </w:pPr>
      <w:r>
        <w:t>Required Outcomes</w:t>
      </w:r>
    </w:p>
    <w:p>
      <w:pPr>
        <w:pStyle w:val="Bullet1"/>
        <w:spacing w:after="40" w:line="252" w:lineRule="auto"/>
      </w:pPr>
      <w:r>
        <w:rPr>
          <w:rFonts w:ascii="Noto Sans" w:hAnsi="Noto Sans"/>
        </w:rPr>
        <w:t>Coaches spend less time on administration and more on client outcomes.</w:t>
      </w:r>
    </w:p>
    <w:p>
      <w:pPr>
        <w:pStyle w:val="Bullet1"/>
        <w:spacing w:after="40" w:line="252" w:lineRule="auto"/>
      </w:pPr>
      <w:r>
        <w:rPr>
          <w:rFonts w:ascii="Noto Sans" w:hAnsi="Noto Sans"/>
        </w:rPr>
        <w:t>Managers can see delivery quality without micromanaging every action.</w:t>
      </w:r>
    </w:p>
    <w:p>
      <w:pPr>
        <w:pStyle w:val="Heading3"/>
        <w:keepNext/>
      </w:pPr>
      <w:r>
        <w:t>Technical Realization Notes</w:t>
      </w:r>
    </w:p>
    <w:p>
      <w:pPr>
        <w:pStyle w:val="Bullet1"/>
        <w:spacing w:after="40" w:line="252" w:lineRule="auto"/>
      </w:pPr>
      <w:r>
        <w:t>Authority &amp; storage: Product PostgreSQL app schema with module-prefixed authoritative tables; no cross-domain write-table access. Authoritative entities/tables are CoachAssignment, CoachClient, CoachTask, CoachingSession, SessionNote, ClientAlert, PaymentRequest.</w:t>
      </w:r>
    </w:p>
    <w:p>
      <w:pPr>
        <w:pStyle w:val="Bullet1"/>
        <w:spacing w:after="40" w:line="252" w:lineRule="auto"/>
      </w:pPr>
      <w:r>
        <w:t>Command inventory: AssignCoach, StartSession, CompleteSession, RecordCoachNote, FlagClientAttention, ResolveClientAttention. Every command declares permission, idempotency, expected aggregate version and transaction boundary.</w:t>
      </w:r>
    </w:p>
    <w:p>
      <w:pPr>
        <w:pStyle w:val="Bullet1"/>
        <w:spacing w:after="40" w:line="252" w:lineRule="auto"/>
      </w:pPr>
      <w:r>
        <w:t>Queries/read models: List/detail and history projections for CoachAssignment, CoachClient, CoachTask, CoachingSession; role/surface-specific attention/summary read models for Coach App; Admin Web; every projection exposes freshness/version metadata when asynchronously built.</w:t>
      </w:r>
    </w:p>
    <w:p>
      <w:pPr>
        <w:pStyle w:val="Bullet1"/>
      </w:pPr>
      <w:r>
        <w:t>Indexes/concurrency: tenant-leading indexes for primary list/detail paths; unique external/provider identifiers are scoped by tenant/provider; aggregate version supports optimistic concurrency.</w:t>
      </w:r>
    </w:p>
    <w:p>
      <w:pPr>
        <w:pStyle w:val="Bullet1"/>
      </w:pPr>
      <w:r>
        <w:t>Published events: coach.assigned, session.started, session.completed, client.attention.required, coach_note.created. Consumed dependencies: PPL-01, OPS-01, OPS-02, IAM-03, ENG-01; dependencies are accessed by stable contracts/projections, never direct write-table joins.</w:t>
      </w:r>
    </w:p>
    <w:p>
      <w:pPr>
        <w:pStyle w:val="Bullet1"/>
      </w:pPr>
      <w:r>
        <w:t>Failure/degraded behavior: Write commands fail atomically; asynchronous effects retry idempotently; stale read models carry freshness and cannot authorize a consequence-bearing mutation beyond budget.</w:t>
      </w:r>
    </w:p>
    <w:p>
      <w:pPr>
        <w:pStyle w:val="Bullet1"/>
      </w:pPr>
      <w:r>
        <w:t>Security/privacy: classification is enforced at field/resource level; tenant context and authorization are mandatory. Restricted data follows §21 controls; support/break-glass access creates delegated actor evidence.</w:t>
      </w:r>
    </w:p>
    <w:p>
      <w:pPr>
        <w:pStyle w:val="Bullet1"/>
      </w:pPr>
      <w:r>
        <w:t>SLI/SLO: Surface/domain API 99.9% initial target; p95 &lt;500-750 ms by workload; queue/projection freshness per §12.5.</w:t>
      </w:r>
    </w:p>
    <w:p>
      <w:pPr>
        <w:pStyle w:val="Bullet1"/>
      </w:pPr>
      <w:r>
        <w:t>Tests/runbook: invariant/property tests for each state transition; contract tests for APIs/events; tenant isolation negative test where tenant-owned; runbook RB-COA-01 covers stuck commands, reconciliation, provider/dependency outage and repair without history rewrite.</w:t>
      </w:r>
    </w:p>
    <w:p>
      <w:pPr>
        <w:pStyle w:val="Heading2"/>
        <w:keepNext/>
      </w:pPr>
      <w:r>
        <w:t>10.25 COA-02 - Training Programs, Workouts &amp; Exercise Logging</w:t>
      </w:r>
    </w:p>
    <w:tbl>
      <w:tblPr>
        <w:tblStyle w:val="TableGrid"/>
        <w:tblW w:type="dxa" w:w="9684"/>
        <w:jc w:val="center"/>
        <w:tblLayout w:type="autofit"/>
        <w:tblLook w:firstColumn="1" w:firstRow="1" w:lastColumn="0" w:lastRow="0" w:noHBand="0" w:noVBand="1" w:val="04A0"/>
      </w:tblPr>
      <w:tblGrid>
        <w:gridCol w:w="4842"/>
        <w:gridCol w:w="4842"/>
      </w:tblGrid>
      <w:tr>
        <w:trPr>
          <w:tblHeader w:val="true"/>
          <w:tblHeader w:val="true"/>
        </w:trPr>
        <w:tc>
          <w:tcPr>
            <w:tcW w:type="dxa" w:w="219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Attribute</w:t>
            </w:r>
          </w:p>
        </w:tc>
        <w:tc>
          <w:tcPr>
            <w:tcW w:type="dxa" w:w="758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Technical Design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phase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V1 General Availability</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surfaces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Coach App; Member App; Admin Web</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dependencies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COA-01, PPL-01, COA-05, DAT-01</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Authoritative entities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Exercise, ExerciseVariant, ProgramTemplate, Program, TrainingBlock, Workout, ExercisePrescription, WorkoutLog, SetLog, PersonalRecord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Key events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program.assigned, workout.started, set.logged, workout.completed, personal_record.achieved, program.adjusted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store</w:t>
            </w:r>
          </w:p>
        </w:tc>
        <w:tc>
          <w:tcPr>
            <w:tcW w:type="dxa" w:w="7588"/>
            <w:tcMar>
              <w:top w:w="70" w:type="dxa"/>
              <w:start w:w="85" w:type="dxa"/>
              <w:bottom w:w="70" w:type="dxa"/>
              <w:end w:w="85" w:type="dxa"/>
              <w:left w:w="80" w:type="dxa"/>
              <w:right w:w="80" w:type="dxa"/>
            </w:tcMar>
            <w:vAlign w:val="center"/>
          </w:tcPr>
          <w:p>
            <w:r>
              <w:t>Product PostgreSQL app schema with module-prefixed authoritative tables; no cross-domain write-table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Data classification</w:t>
            </w:r>
          </w:p>
        </w:tc>
        <w:tc>
          <w:tcPr>
            <w:tcW w:type="dxa" w:w="7588"/>
            <w:tcMar>
              <w:top w:w="70" w:type="dxa"/>
              <w:start w:w="85" w:type="dxa"/>
              <w:bottom w:w="70" w:type="dxa"/>
              <w:end w:w="85" w:type="dxa"/>
              <w:left w:w="80" w:type="dxa"/>
              <w:right w:w="80" w:type="dxa"/>
            </w:tcMar>
            <w:vAlign w:val="center"/>
          </w:tcPr>
          <w:p>
            <w:r>
              <w:t>Field-level classification: Confidential by default; health/financial/payment/biometric-bearing fields are Restricted and inherit stronger policy/retention.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Continuity tier</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Tier 2</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Technical interface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Domain command/query interface; no direct 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Async/workflow contract</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Transactional outbox for state changes; idempotent consumers.</w:t>
            </w:r>
          </w:p>
        </w:tc>
      </w:tr>
      <w:tr>
        <w:tc>
          <w:tcPr>
            <w:tcW w:type="dxa" w:w="4842"/>
            <w:tcMar>
              <w:top w:w="70" w:type="dxa"/>
              <w:left w:w="80" w:type="dxa"/>
              <w:bottom w:w="70" w:type="dxa"/>
              <w:right w:w="80" w:type="dxa"/>
            </w:tcMar>
          </w:tcPr>
          <w:p>
            <w:r>
              <w:t>Implementation slice</w:t>
            </w:r>
          </w:p>
        </w:tc>
        <w:tc>
          <w:tcPr>
            <w:tcW w:type="dxa" w:w="4842"/>
            <w:tcMar>
              <w:top w:w="70" w:type="dxa"/>
              <w:left w:w="80" w:type="dxa"/>
              <w:bottom w:w="70" w:type="dxa"/>
              <w:right w:w="80" w:type="dxa"/>
            </w:tcMar>
          </w:tcPr>
          <w:p>
            <w:r>
              <w:t>Pilot core slice; complete domain depth by V1 GA</w:t>
            </w:r>
          </w:p>
        </w:tc>
      </w:tr>
    </w:tbl>
    <w:p>
      <w:pPr>
        <w:spacing w:after="40"/>
      </w:pPr>
    </w:p>
    <w:p>
      <w:pPr>
        <w:spacing w:after="80" w:line="259" w:lineRule="auto"/>
      </w:pPr>
      <w:r>
        <w:rPr>
          <w:rFonts w:ascii="Noto Sans" w:hAnsi="Noto Sans"/>
        </w:rPr>
        <w:t>Support high-quality programming, assignment, execution and progression for coached and self-directed training.</w:t>
      </w:r>
    </w:p>
    <w:p>
      <w:pPr>
        <w:pStyle w:val="Heading3"/>
        <w:keepNext/>
      </w:pPr>
      <w:r>
        <w:t>Required Capabilities Preserved</w:t>
      </w:r>
    </w:p>
    <w:p>
      <w:pPr>
        <w:pStyle w:val="Bullet1"/>
        <w:spacing w:after="40" w:line="252" w:lineRule="auto"/>
      </w:pPr>
      <w:r>
        <w:rPr>
          <w:rFonts w:ascii="Noto Sans" w:hAnsi="Noto Sans"/>
        </w:rPr>
        <w:t>Exercise library with movement pattern, equipment, muscle, level, media, coaching cues and contraindications.</w:t>
      </w:r>
    </w:p>
    <w:p>
      <w:pPr>
        <w:pStyle w:val="Bullet1"/>
        <w:spacing w:after="40" w:line="252" w:lineRule="auto"/>
      </w:pPr>
      <w:r>
        <w:rPr>
          <w:rFonts w:ascii="Noto Sans" w:hAnsi="Noto Sans"/>
        </w:rPr>
        <w:t>Program templates, blocks, mesocycles, weeks, sessions, supersets, circuits and conditional alternatives.</w:t>
      </w:r>
    </w:p>
    <w:p>
      <w:pPr>
        <w:pStyle w:val="Bullet1"/>
        <w:spacing w:after="40" w:line="252" w:lineRule="auto"/>
      </w:pPr>
      <w:r>
        <w:rPr>
          <w:rFonts w:ascii="Noto Sans" w:hAnsi="Noto Sans"/>
        </w:rPr>
        <w:t>Prescription for sets, reps, load, duration, distance, tempo, rest, RPE/RIR and target zones.</w:t>
      </w:r>
    </w:p>
    <w:p>
      <w:pPr>
        <w:pStyle w:val="Bullet1"/>
        <w:spacing w:after="40" w:line="252" w:lineRule="auto"/>
      </w:pPr>
      <w:r>
        <w:rPr>
          <w:rFonts w:ascii="Noto Sans" w:hAnsi="Noto Sans"/>
        </w:rPr>
        <w:t>Member-specific substitutions based on equipment, time, limitation, preference and location.</w:t>
      </w:r>
    </w:p>
    <w:p>
      <w:pPr>
        <w:pStyle w:val="Bullet1"/>
        <w:spacing w:after="40" w:line="252" w:lineRule="auto"/>
      </w:pPr>
      <w:r>
        <w:rPr>
          <w:rFonts w:ascii="Noto Sans" w:hAnsi="Noto Sans"/>
        </w:rPr>
        <w:t>Fast member logging with previous result, smart defaults, timers, wearable input and minimal taps.</w:t>
      </w:r>
    </w:p>
    <w:p>
      <w:pPr>
        <w:pStyle w:val="Bullet1"/>
        <w:spacing w:after="40" w:line="252" w:lineRule="auto"/>
      </w:pPr>
      <w:r>
        <w:rPr>
          <w:rFonts w:ascii="Noto Sans" w:hAnsi="Noto Sans"/>
        </w:rPr>
        <w:t>Coach review, comments, technique media, PR detection, progression and adherence.</w:t>
      </w:r>
    </w:p>
    <w:p>
      <w:pPr>
        <w:pStyle w:val="Bullet1"/>
        <w:spacing w:after="40" w:line="252" w:lineRule="auto"/>
      </w:pPr>
      <w:r>
        <w:rPr>
          <w:rFonts w:ascii="Noto Sans" w:hAnsi="Noto Sans"/>
        </w:rPr>
        <w:t>Program versioning, assignment dates, completion history and safe plan transitions.</w:t>
      </w:r>
    </w:p>
    <w:p>
      <w:pPr>
        <w:pStyle w:val="Bullet1"/>
        <w:spacing w:after="40" w:line="252" w:lineRule="auto"/>
      </w:pPr>
      <w:r>
        <w:rPr>
          <w:rFonts w:ascii="Noto Sans" w:hAnsi="Noto Sans"/>
        </w:rPr>
        <w:t>AI-assisted generation and adaptation with explicit constraints, evidence and coach approval.</w:t>
      </w:r>
    </w:p>
    <w:p>
      <w:pPr>
        <w:pStyle w:val="Heading3"/>
        <w:keepNext/>
      </w:pPr>
      <w:r>
        <w:t>Critical Controls</w:t>
      </w:r>
    </w:p>
    <w:p>
      <w:pPr>
        <w:pStyle w:val="Bullet1"/>
        <w:spacing w:after="40" w:line="252" w:lineRule="auto"/>
      </w:pPr>
      <w:r>
        <w:rPr>
          <w:rFonts w:ascii="Noto Sans" w:hAnsi="Noto Sans"/>
        </w:rPr>
        <w:t>Health limitations and contraindications must be evaluated before assignment or AI generation.</w:t>
      </w:r>
    </w:p>
    <w:p>
      <w:pPr>
        <w:pStyle w:val="Bullet1"/>
        <w:spacing w:after="40" w:line="252" w:lineRule="auto"/>
      </w:pPr>
      <w:r>
        <w:rPr>
          <w:rFonts w:ascii="Noto Sans" w:hAnsi="Noto Sans"/>
        </w:rPr>
        <w:t>AI changes remain drafts until an authorized coach approves them, except low-risk member substitutions allowed by policy.</w:t>
      </w:r>
    </w:p>
    <w:p>
      <w:pPr>
        <w:pStyle w:val="Heading3"/>
        <w:keepNext/>
      </w:pPr>
      <w:r>
        <w:t>Required Outcomes</w:t>
      </w:r>
    </w:p>
    <w:p>
      <w:pPr>
        <w:pStyle w:val="Bullet1"/>
        <w:spacing w:after="40" w:line="252" w:lineRule="auto"/>
      </w:pPr>
      <w:r>
        <w:rPr>
          <w:rFonts w:ascii="Noto Sans" w:hAnsi="Noto Sans"/>
        </w:rPr>
        <w:t>Coaches create high-quality plans quickly and members log with minimal friction.</w:t>
      </w:r>
    </w:p>
    <w:p>
      <w:pPr>
        <w:pStyle w:val="Bullet1"/>
        <w:spacing w:after="40" w:line="252" w:lineRule="auto"/>
      </w:pPr>
      <w:r>
        <w:rPr>
          <w:rFonts w:ascii="Noto Sans" w:hAnsi="Noto Sans"/>
        </w:rPr>
        <w:t>Progression and adherence are measurable from structured data.</w:t>
      </w:r>
    </w:p>
    <w:p>
      <w:pPr>
        <w:pStyle w:val="Heading3"/>
        <w:keepNext/>
      </w:pPr>
      <w:r>
        <w:t>Technical Realization Notes</w:t>
      </w:r>
    </w:p>
    <w:p>
      <w:pPr>
        <w:pStyle w:val="Bullet1"/>
        <w:spacing w:after="40" w:line="252" w:lineRule="auto"/>
      </w:pPr>
      <w:r>
        <w:t>Authority &amp; storage: Product PostgreSQL app schema with module-prefixed authoritative tables; no cross-domain write-table access. Authoritative entities/tables are Exercise, ExerciseVariant, ProgramTemplate, Program, TrainingBlock, Workout, ExercisePrescription, WorkoutLog, SetLog, PersonalRecord.</w:t>
      </w:r>
    </w:p>
    <w:p>
      <w:pPr>
        <w:pStyle w:val="Bullet1"/>
        <w:spacing w:after="40" w:line="252" w:lineRule="auto"/>
      </w:pPr>
      <w:r>
        <w:t>Command inventory: CreateProgramVersion, AssignProgram, StartWorkout, LogSet, EditSet, SubstituteExercise, CompleteWorkout, AdjustProgram. Every command declares permission, idempotency, expected aggregate version and transaction boundary.</w:t>
      </w:r>
    </w:p>
    <w:p>
      <w:pPr>
        <w:pStyle w:val="Bullet1"/>
        <w:spacing w:after="40" w:line="252" w:lineRule="auto"/>
      </w:pPr>
      <w:r>
        <w:t>Queries/read models: List/detail and history projections for Exercise, ExerciseVariant, ProgramTemplate, Program; role/surface-specific attention/summary read models for Coach App; Member App; Admin Web; every projection exposes freshness/version metadata when asynchronously built.</w:t>
      </w:r>
    </w:p>
    <w:p>
      <w:pPr>
        <w:pStyle w:val="Bullet1"/>
      </w:pPr>
      <w:r>
        <w:t>Indexes/concurrency: tenant-leading indexes for primary list/detail paths; unique external/provider identifiers are scoped by tenant/provider; aggregate version supports optimistic concurrency.</w:t>
      </w:r>
    </w:p>
    <w:p>
      <w:pPr>
        <w:pStyle w:val="Bullet1"/>
      </w:pPr>
      <w:r>
        <w:t>Published events: program.assigned, workout.started, set.logged, workout.completed, personal_record.achieved, program.adjusted. Consumed dependencies: COA-01, PPL-01, COA-05, DAT-01; dependencies are accessed by stable contracts/projections, never direct write-table joins.</w:t>
      </w:r>
    </w:p>
    <w:p>
      <w:pPr>
        <w:pStyle w:val="Bullet1"/>
      </w:pPr>
      <w:r>
        <w:t>Failure/degraded behavior: Preserve offline user observations with idempotent client IDs; never last-write-wins consequence-bearing assignments/constraints; surface conflicts for review.</w:t>
      </w:r>
    </w:p>
    <w:p>
      <w:pPr>
        <w:pStyle w:val="Bullet1"/>
      </w:pPr>
      <w:r>
        <w:t>Security/privacy: classification is enforced at field/resource level; tenant context and authorization are mandatory. Restricted data follows §21 controls; support/break-glass access creates delegated actor evidence.</w:t>
      </w:r>
    </w:p>
    <w:p>
      <w:pPr>
        <w:pStyle w:val="Bullet1"/>
      </w:pPr>
      <w:r>
        <w:t>SLI/SLO: Surface/domain API 99.9% initial target; p95 &lt;500-750 ms by workload; queue/projection freshness per §12.5.</w:t>
      </w:r>
    </w:p>
    <w:p>
      <w:pPr>
        <w:pStyle w:val="Bullet1"/>
      </w:pPr>
      <w:r>
        <w:t>Tests/runbook: invariant/property tests for each state transition; contract tests for APIs/events; tenant isolation negative test where tenant-owned; runbook RB-COA-02 covers stuck commands, reconciliation, provider/dependency outage and repair without history rewrite.</w:t>
      </w:r>
    </w:p>
    <w:p>
      <w:pPr>
        <w:pStyle w:val="Heading2"/>
        <w:keepNext/>
      </w:pPr>
      <w:r>
        <w:t>10.26 COA-03 - Nutrition Planning, Meals, Logging &amp; Adherence</w:t>
      </w:r>
    </w:p>
    <w:tbl>
      <w:tblPr>
        <w:tblStyle w:val="TableGrid"/>
        <w:tblW w:type="dxa" w:w="9684"/>
        <w:jc w:val="center"/>
        <w:tblLayout w:type="autofit"/>
        <w:tblLook w:firstColumn="1" w:firstRow="1" w:lastColumn="0" w:lastRow="0" w:noHBand="0" w:noVBand="1" w:val="04A0"/>
      </w:tblPr>
      <w:tblGrid>
        <w:gridCol w:w="4842"/>
        <w:gridCol w:w="4842"/>
      </w:tblGrid>
      <w:tr>
        <w:trPr>
          <w:tblHeader w:val="true"/>
          <w:tblHeader w:val="true"/>
        </w:trPr>
        <w:tc>
          <w:tcPr>
            <w:tcW w:type="dxa" w:w="219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Attribute</w:t>
            </w:r>
          </w:p>
        </w:tc>
        <w:tc>
          <w:tcPr>
            <w:tcW w:type="dxa" w:w="758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Technical Design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phase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V1.5 Growth</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surfaces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Coach App; Member App; Admin Web</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dependencies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COA-01, PPL-01, COA-04, COA-05, DAT-01</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Authoritative entities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NutritionPlan, NutritionTarget, MealSlot, MealPlanDay, Meal, Recipe, Food, Serving, MealAlternative, FoodLog, NutritionCheckIn, GroceryList</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Key events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nutrition_plan.assigned, meal.logged, meal.swapped, nutrition_checkin.submitted, adherence.changed, coach_review.required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store</w:t>
            </w:r>
          </w:p>
        </w:tc>
        <w:tc>
          <w:tcPr>
            <w:tcW w:type="dxa" w:w="7588"/>
            <w:tcMar>
              <w:top w:w="70" w:type="dxa"/>
              <w:start w:w="85" w:type="dxa"/>
              <w:bottom w:w="70" w:type="dxa"/>
              <w:end w:w="85" w:type="dxa"/>
              <w:left w:w="80" w:type="dxa"/>
              <w:right w:w="80" w:type="dxa"/>
            </w:tcMar>
            <w:vAlign w:val="center"/>
          </w:tcPr>
          <w:p>
            <w:r>
              <w:t>Product PostgreSQL app schema with module-prefixed authoritative tables; no cross-domain write-table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Data classification</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Restricted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Continuity tier</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Tier 2</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Technical interface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Domain command/query interface; no direct 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Async/workflow contract</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Transactional outbox for state changes; idempotent consumers. Durable workflow orchestration for multi-step/timer/provider processes.</w:t>
            </w:r>
          </w:p>
        </w:tc>
      </w:tr>
      <w:tr>
        <w:tc>
          <w:tcPr>
            <w:tcW w:type="dxa" w:w="4842"/>
            <w:tcMar>
              <w:top w:w="70" w:type="dxa"/>
              <w:left w:w="80" w:type="dxa"/>
              <w:bottom w:w="70" w:type="dxa"/>
              <w:right w:w="80" w:type="dxa"/>
            </w:tcMar>
          </w:tcPr>
          <w:p>
            <w:r>
              <w:t>Implementation slice</w:t>
            </w:r>
          </w:p>
        </w:tc>
        <w:tc>
          <w:tcPr>
            <w:tcW w:type="dxa" w:w="4842"/>
            <w:tcMar>
              <w:top w:w="70" w:type="dxa"/>
              <w:left w:w="80" w:type="dxa"/>
              <w:bottom w:w="70" w:type="dxa"/>
              <w:right w:w="80" w:type="dxa"/>
            </w:tcMar>
          </w:tcPr>
          <w:p>
            <w:r>
              <w:t>V1.5 Growth</w:t>
            </w:r>
          </w:p>
        </w:tc>
      </w:tr>
    </w:tbl>
    <w:p>
      <w:pPr>
        <w:spacing w:after="40"/>
      </w:pPr>
    </w:p>
    <w:p>
      <w:pPr>
        <w:spacing w:after="80" w:line="259" w:lineRule="auto"/>
      </w:pPr>
      <w:r>
        <w:rPr>
          <w:rFonts w:ascii="Noto Sans" w:hAnsi="Noto Sans"/>
        </w:rPr>
        <w:t>Deliver the best coach-to-member nutrition experience through rapid plan creation, flexible adherence and contextual guidance.</w:t>
      </w:r>
    </w:p>
    <w:p>
      <w:pPr>
        <w:pStyle w:val="Heading3"/>
        <w:keepNext/>
      </w:pPr>
      <w:r>
        <w:t>Required Capabilities Preserved</w:t>
      </w:r>
    </w:p>
    <w:p>
      <w:pPr>
        <w:pStyle w:val="Bullet1"/>
        <w:spacing w:after="40" w:line="252" w:lineRule="auto"/>
      </w:pPr>
      <w:r>
        <w:rPr>
          <w:rFonts w:ascii="Noto Sans" w:hAnsi="Noto Sans"/>
        </w:rPr>
        <w:t>Three plan modes: flexible targets, structured meals and hybrid plan with coach-configurable tracking level.</w:t>
      </w:r>
    </w:p>
    <w:p>
      <w:pPr>
        <w:pStyle w:val="Bullet1"/>
        <w:spacing w:after="40" w:line="252" w:lineRule="auto"/>
      </w:pPr>
      <w:r>
        <w:rPr>
          <w:rFonts w:ascii="Noto Sans" w:hAnsi="Noto Sans"/>
        </w:rPr>
        <w:t>Auto-load member age, measurements, goals, activity, training schedule and approved health context; request only missing data.</w:t>
      </w:r>
    </w:p>
    <w:p>
      <w:pPr>
        <w:pStyle w:val="Bullet1"/>
        <w:spacing w:after="40" w:line="252" w:lineRule="auto"/>
      </w:pPr>
      <w:r>
        <w:rPr>
          <w:rFonts w:ascii="Noto Sans" w:hAnsi="Noto Sans"/>
        </w:rPr>
        <w:t>Preferences for allergies, dietary pattern, halal, dislikes, cuisine, budget, cooking time, meal count and schedule.</w:t>
      </w:r>
    </w:p>
    <w:p>
      <w:pPr>
        <w:pStyle w:val="Bullet1"/>
        <w:spacing w:after="40" w:line="252" w:lineRule="auto"/>
      </w:pPr>
      <w:r>
        <w:rPr>
          <w:rFonts w:ascii="Noto Sans" w:hAnsi="Noto Sans"/>
        </w:rPr>
        <w:t>AI/template/scratch plan creation with calorie/macro targets, confidence, rationale and coach review.</w:t>
      </w:r>
    </w:p>
    <w:p>
      <w:pPr>
        <w:pStyle w:val="Bullet1"/>
        <w:spacing w:after="40" w:line="252" w:lineRule="auto"/>
      </w:pPr>
      <w:r>
        <w:rPr>
          <w:rFonts w:ascii="Noto Sans" w:hAnsi="Noto Sans"/>
        </w:rPr>
        <w:t>Meal builder with recipe search, favorites, recent items, local/MENA foods, portions, daily target feedback and one-click target repair.</w:t>
      </w:r>
    </w:p>
    <w:p>
      <w:pPr>
        <w:pStyle w:val="Bullet1"/>
        <w:spacing w:after="40" w:line="252" w:lineRule="auto"/>
      </w:pPr>
      <w:r>
        <w:rPr>
          <w:rFonts w:ascii="Noto Sans" w:hAnsi="Noto Sans"/>
        </w:rPr>
        <w:t>Generate or duplicate days, rotate meals, create meal slots and maintain alternatives within calorie/protein tolerance.</w:t>
      </w:r>
    </w:p>
    <w:p>
      <w:pPr>
        <w:pStyle w:val="Bullet1"/>
        <w:spacing w:after="40" w:line="252" w:lineRule="auto"/>
      </w:pPr>
      <w:r>
        <w:rPr>
          <w:rFonts w:ascii="Noto Sans" w:hAnsi="Noto Sans"/>
        </w:rPr>
        <w:t>Preview exactly as member, set start/duration/check-in, meal-swap permissions and exception thresholds, then assign.</w:t>
      </w:r>
    </w:p>
    <w:p>
      <w:pPr>
        <w:pStyle w:val="Bullet1"/>
        <w:spacing w:after="40" w:line="252" w:lineRule="auto"/>
      </w:pPr>
      <w:r>
        <w:rPr>
          <w:rFonts w:ascii="Noto Sans" w:hAnsi="Noto Sans"/>
        </w:rPr>
        <w:t>Member today view answering “what should I eat now?” with one-tap Eat &amp; Log.</w:t>
      </w:r>
    </w:p>
    <w:p>
      <w:pPr>
        <w:pStyle w:val="Bullet1"/>
        <w:spacing w:after="40" w:line="252" w:lineRule="auto"/>
      </w:pPr>
      <w:r>
        <w:rPr>
          <w:rFonts w:ascii="Noto Sans" w:hAnsi="Noto Sans"/>
        </w:rPr>
        <w:t>Smart swap, portion change, skip, log-something-else, barcode, favorites, recent and photo-based estimate with uncertainty.</w:t>
      </w:r>
    </w:p>
    <w:p>
      <w:pPr>
        <w:pStyle w:val="Bullet1"/>
        <w:spacing w:after="40" w:line="252" w:lineRule="auto"/>
      </w:pPr>
      <w:r>
        <w:rPr>
          <w:rFonts w:ascii="Noto Sans" w:hAnsi="Noto Sans"/>
        </w:rPr>
        <w:t>Automatic grocery list, restaurant alternatives, contextual coach question and weekly check-in.</w:t>
      </w:r>
    </w:p>
    <w:p>
      <w:pPr>
        <w:pStyle w:val="Bullet1"/>
        <w:spacing w:after="40" w:line="252" w:lineRule="auto"/>
      </w:pPr>
      <w:r>
        <w:rPr>
          <w:rFonts w:ascii="Noto Sans" w:hAnsi="Noto Sans"/>
        </w:rPr>
        <w:t>Coach exception inbox for low adherence, repeated missed protein, weight stall, swap request, hunger or energy issue.</w:t>
      </w:r>
    </w:p>
    <w:p>
      <w:pPr>
        <w:pStyle w:val="Bullet1"/>
        <w:spacing w:after="40" w:line="252" w:lineRule="auto"/>
      </w:pPr>
      <w:r>
        <w:rPr>
          <w:rFonts w:ascii="Noto Sans" w:hAnsi="Noto Sans"/>
        </w:rPr>
        <w:t>Food/recipe library governance, locale-specific serving units, nutrition-source provenance and edit history.</w:t>
      </w:r>
    </w:p>
    <w:p>
      <w:pPr>
        <w:pStyle w:val="Heading3"/>
        <w:keepNext/>
      </w:pPr>
      <w:r>
        <w:t>Critical Controls</w:t>
      </w:r>
    </w:p>
    <w:p>
      <w:pPr>
        <w:pStyle w:val="Bullet1"/>
        <w:spacing w:after="40" w:line="252" w:lineRule="auto"/>
      </w:pPr>
      <w:r>
        <w:rPr>
          <w:rFonts w:ascii="Noto Sans" w:hAnsi="Noto Sans"/>
        </w:rPr>
        <w:t>Nutrition guidance is not diagnosis or medical treatment; high-risk cases require qualified review.</w:t>
      </w:r>
    </w:p>
    <w:p>
      <w:pPr>
        <w:pStyle w:val="Bullet1"/>
        <w:spacing w:after="40" w:line="252" w:lineRule="auto"/>
      </w:pPr>
      <w:r>
        <w:rPr>
          <w:rFonts w:ascii="Noto Sans" w:hAnsi="Noto Sans"/>
        </w:rPr>
        <w:t>Allergen rules are hard constraints and cannot be overridden silently by AI or meal swaps.</w:t>
      </w:r>
    </w:p>
    <w:p>
      <w:pPr>
        <w:pStyle w:val="Bullet1"/>
        <w:spacing w:after="40" w:line="252" w:lineRule="auto"/>
      </w:pPr>
      <w:r>
        <w:rPr>
          <w:rFonts w:ascii="Noto Sans" w:hAnsi="Noto Sans"/>
        </w:rPr>
        <w:t>Photo estimates and food data display uncertainty and source where relevant.</w:t>
      </w:r>
    </w:p>
    <w:p>
      <w:pPr>
        <w:pStyle w:val="Heading3"/>
        <w:keepNext/>
      </w:pPr>
      <w:r>
        <w:t>Required Outcomes</w:t>
      </w:r>
    </w:p>
    <w:p>
      <w:pPr>
        <w:pStyle w:val="Bullet1"/>
        <w:spacing w:after="40" w:line="252" w:lineRule="auto"/>
      </w:pPr>
      <w:r>
        <w:rPr>
          <w:rFonts w:ascii="Noto Sans" w:hAnsi="Noto Sans"/>
        </w:rPr>
        <w:t>Coach assigns an excellent plan in roughly one minute from a template or AI draft.</w:t>
      </w:r>
    </w:p>
    <w:p>
      <w:pPr>
        <w:pStyle w:val="Bullet1"/>
        <w:spacing w:after="40" w:line="252" w:lineRule="auto"/>
      </w:pPr>
      <w:r>
        <w:rPr>
          <w:rFonts w:ascii="Noto Sans" w:hAnsi="Noto Sans"/>
        </w:rPr>
        <w:t>Member follows and logs planned meals in one to two taps.</w:t>
      </w:r>
    </w:p>
    <w:p>
      <w:pPr>
        <w:pStyle w:val="Bullet1"/>
        <w:spacing w:after="40" w:line="252" w:lineRule="auto"/>
      </w:pPr>
      <w:r>
        <w:rPr>
          <w:rFonts w:ascii="Noto Sans" w:hAnsi="Noto Sans"/>
        </w:rPr>
        <w:t>Flexible adherence improves without forcing obsessive tracking.</w:t>
      </w:r>
    </w:p>
    <w:p>
      <w:pPr>
        <w:pStyle w:val="Heading3"/>
        <w:keepNext/>
      </w:pPr>
      <w:r>
        <w:t>Technical Realization Notes</w:t>
      </w:r>
    </w:p>
    <w:p>
      <w:pPr>
        <w:pStyle w:val="Bullet1"/>
        <w:spacing w:after="40" w:line="252" w:lineRule="auto"/>
      </w:pPr>
      <w:r>
        <w:t>Authority &amp; storage: Product PostgreSQL app schema with module-prefixed authoritative tables; no cross-domain write-table access. Authoritative entities/tables are NutritionPlan, NutritionTarget, MealSlot, MealPlanDay, Meal, Recipe, Food, Serving, MealAlternative, FoodLog, NutritionCheckIn, GroceryList.</w:t>
      </w:r>
    </w:p>
    <w:p>
      <w:pPr>
        <w:pStyle w:val="Bullet1"/>
        <w:spacing w:after="40" w:line="252" w:lineRule="auto"/>
      </w:pPr>
      <w:r>
        <w:t>Command inventory: CreateNutritionPlanVersion, GeneratePlanDraft, ValidateConstraints, PublishNutritionPlan, AssignNutritionPlan, LogMeal, SwapMeal, SubmitNutritionCheckin, OverrideConstraint. Every command declares permission, idempotency, expected aggregate version and transaction boundary.</w:t>
      </w:r>
    </w:p>
    <w:p>
      <w:pPr>
        <w:pStyle w:val="Bullet1"/>
        <w:spacing w:after="40" w:line="252" w:lineRule="auto"/>
      </w:pPr>
      <w:r>
        <w:t>Queries/read models: List/detail and history projections for NutritionPlan, NutritionTarget, MealSlot, MealPlanDay; role/surface-specific attention/summary read models for Coach App; Member App; Admin Web; every projection exposes freshness/version metadata when asynchronously built.</w:t>
      </w:r>
    </w:p>
    <w:p>
      <w:pPr>
        <w:pStyle w:val="Bullet1"/>
        <w:spacing w:after="40" w:line="252" w:lineRule="auto"/>
      </w:pPr>
      <w:r>
        <w:t>Indexes/concurrency: tenant-leading indexes for primary list/detail paths; unique external/provider identifiers are scoped by tenant/provider; aggregate version supports optimistic concurrency.</w:t>
      </w:r>
    </w:p>
    <w:p>
      <w:pPr>
        <w:pStyle w:val="Bullet1"/>
      </w:pPr>
      <w:r>
        <w:t>Plan publish/swap/AI suggestion passes the same versioned allergen/constraint validator. Blocking constraints fail closed; audited qualified override only.</w:t>
      </w:r>
    </w:p>
    <w:p>
      <w:pPr>
        <w:pStyle w:val="Bullet1"/>
      </w:pPr>
      <w:r>
        <w:t>Published events: nutrition_plan.assigned, meal.logged, meal.swapped, nutrition_checkin.submitted, adherence.changed, coach_review.required, nutrition_checkin.scheduled. Consumed dependencies: COA-01, PPL-01, COA-04, COA-05, DAT-01; dependencies are accessed by stable contracts/projections, never direct write-table joins.</w:t>
      </w:r>
    </w:p>
    <w:p>
      <w:pPr>
        <w:pStyle w:val="Bullet1"/>
      </w:pPr>
      <w:r>
        <w:t>Failure/degraded behavior: Preserve offline user observations with idempotent client IDs; never last-write-wins consequence-bearing assignments/constraints; surface conflicts for review.</w:t>
      </w:r>
    </w:p>
    <w:p>
      <w:pPr>
        <w:pStyle w:val="Bullet1"/>
      </w:pPr>
      <w:r>
        <w:t>Security/privacy: classification is enforced at field/resource level; tenant context and authorization are mandatory. Restricted data follows §21 controls; support/break-glass access creates delegated actor evidence.</w:t>
      </w:r>
    </w:p>
    <w:p>
      <w:pPr>
        <w:pStyle w:val="Bullet1"/>
      </w:pPr>
      <w:r>
        <w:t>SLI/SLO: Surface/domain API 99.9% initial target; p95 &lt;500-750 ms by workload; queue/projection freshness per §12.5.</w:t>
      </w:r>
    </w:p>
    <w:p>
      <w:pPr>
        <w:pStyle w:val="Bullet1"/>
      </w:pPr>
      <w:r>
        <w:t>Tests/runbook: invariant/property tests for each state transition; contract tests for APIs/events; tenant isolation negative test where tenant-owned; runbook RB-COA-03 covers stuck commands, reconciliation, provider/dependency outage and repair without history rewrite.</w:t>
      </w:r>
    </w:p>
    <w:p>
      <w:pPr>
        <w:pStyle w:val="Heading2"/>
        <w:keepNext/>
      </w:pPr>
      <w:r>
        <w:t>10.27 COA-04 - Assessments, Measurements, Progress &amp; Outcomes</w:t>
      </w:r>
    </w:p>
    <w:tbl>
      <w:tblPr>
        <w:tblStyle w:val="TableGrid"/>
        <w:tblW w:type="dxa" w:w="9684"/>
        <w:jc w:val="center"/>
        <w:tblLayout w:type="autofit"/>
        <w:tblLook w:firstColumn="1" w:firstRow="1" w:lastColumn="0" w:lastRow="0" w:noHBand="0" w:noVBand="1" w:val="04A0"/>
      </w:tblPr>
      <w:tblGrid>
        <w:gridCol w:w="4842"/>
        <w:gridCol w:w="4842"/>
      </w:tblGrid>
      <w:tr>
        <w:trPr>
          <w:tblHeader w:val="true"/>
          <w:tblHeader w:val="true"/>
        </w:trPr>
        <w:tc>
          <w:tcPr>
            <w:tcW w:type="dxa" w:w="219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Attribute</w:t>
            </w:r>
          </w:p>
        </w:tc>
        <w:tc>
          <w:tcPr>
            <w:tcW w:type="dxa" w:w="758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Technical Design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phase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V1 General Availability</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surfaces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Coach App; Member App; Admin Web</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dependencies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PPL-01, IAM-03, SEC-01</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Authoritative entities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AssessmentTemplate, Assessment, MeasurementDefinition, Measurement, ProgressMedia, Goal, Milestone, OutcomeSummary</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Key events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assessment.completed, measurement.recorded, goal.created, milestone.achieved, progress_review.required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store</w:t>
            </w:r>
          </w:p>
        </w:tc>
        <w:tc>
          <w:tcPr>
            <w:tcW w:type="dxa" w:w="7588"/>
            <w:tcMar>
              <w:top w:w="70" w:type="dxa"/>
              <w:start w:w="85" w:type="dxa"/>
              <w:bottom w:w="70" w:type="dxa"/>
              <w:end w:w="85" w:type="dxa"/>
              <w:left w:w="80" w:type="dxa"/>
              <w:right w:w="80" w:type="dxa"/>
            </w:tcMar>
            <w:vAlign w:val="center"/>
          </w:tcPr>
          <w:p>
            <w:r>
              <w:t>Product PostgreSQL app schema with module-prefixed authoritative tables; no cross-domain write-table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Data classification</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Restricted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Continuity tier</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Tier 2</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Technical interface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Domain command/query interface; no direct 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Async/workflow contract</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Transactional outbox for state changes; idempotent consumers.</w:t>
            </w:r>
          </w:p>
        </w:tc>
      </w:tr>
      <w:tr>
        <w:tc>
          <w:tcPr>
            <w:tcW w:type="dxa" w:w="4842"/>
            <w:tcMar>
              <w:top w:w="70" w:type="dxa"/>
              <w:left w:w="80" w:type="dxa"/>
              <w:bottom w:w="70" w:type="dxa"/>
              <w:right w:w="80" w:type="dxa"/>
            </w:tcMar>
          </w:tcPr>
          <w:p>
            <w:r>
              <w:t>Implementation slice</w:t>
            </w:r>
          </w:p>
        </w:tc>
        <w:tc>
          <w:tcPr>
            <w:tcW w:type="dxa" w:w="4842"/>
            <w:tcMar>
              <w:top w:w="70" w:type="dxa"/>
              <w:left w:w="80" w:type="dxa"/>
              <w:bottom w:w="70" w:type="dxa"/>
              <w:right w:w="80" w:type="dxa"/>
            </w:tcMar>
          </w:tcPr>
          <w:p>
            <w:r>
              <w:t>Pilot core slice; complete domain depth by V1 GA</w:t>
            </w:r>
          </w:p>
        </w:tc>
      </w:tr>
    </w:tbl>
    <w:p>
      <w:pPr>
        <w:spacing w:after="40"/>
      </w:pPr>
    </w:p>
    <w:p>
      <w:pPr>
        <w:spacing w:after="80" w:line="259" w:lineRule="auto"/>
      </w:pPr>
      <w:r>
        <w:rPr>
          <w:rFonts w:ascii="Noto Sans" w:hAnsi="Noto Sans"/>
        </w:rPr>
        <w:t>Turn coaching, attendance and health-safe measurements into understandable progress and actionable review.</w:t>
      </w:r>
    </w:p>
    <w:p>
      <w:pPr>
        <w:pStyle w:val="Heading3"/>
        <w:keepNext/>
      </w:pPr>
      <w:r>
        <w:t>Required Capabilities Preserved</w:t>
      </w:r>
    </w:p>
    <w:p>
      <w:pPr>
        <w:pStyle w:val="Bullet1"/>
        <w:spacing w:after="40" w:line="252" w:lineRule="auto"/>
      </w:pPr>
      <w:r>
        <w:rPr>
          <w:rFonts w:ascii="Noto Sans" w:hAnsi="Noto Sans"/>
        </w:rPr>
        <w:t>Configurable assessment templates for goals, movement, fitness, strength, endurance, habits and wellbeing.</w:t>
      </w:r>
    </w:p>
    <w:p>
      <w:pPr>
        <w:pStyle w:val="Bullet1"/>
        <w:spacing w:after="40" w:line="252" w:lineRule="auto"/>
      </w:pPr>
      <w:r>
        <w:rPr>
          <w:rFonts w:ascii="Noto Sans" w:hAnsi="Noto Sans"/>
        </w:rPr>
        <w:t>Measurements for weight, circumference, body composition, performance, mobility and custom metrics with unit normalization.</w:t>
      </w:r>
    </w:p>
    <w:p>
      <w:pPr>
        <w:pStyle w:val="Bullet1"/>
        <w:spacing w:after="40" w:line="252" w:lineRule="auto"/>
      </w:pPr>
      <w:r>
        <w:rPr>
          <w:rFonts w:ascii="Noto Sans" w:hAnsi="Noto Sans"/>
        </w:rPr>
        <w:t>Progress photos and media with consent, privacy, comparison controls and retention.</w:t>
      </w:r>
    </w:p>
    <w:p>
      <w:pPr>
        <w:pStyle w:val="Bullet1"/>
        <w:spacing w:after="40" w:line="252" w:lineRule="auto"/>
      </w:pPr>
      <w:r>
        <w:rPr>
          <w:rFonts w:ascii="Noto Sans" w:hAnsi="Noto Sans"/>
        </w:rPr>
        <w:t>Goals with baseline, target, deadline, milestones, status and coach/member ownership.</w:t>
      </w:r>
    </w:p>
    <w:p>
      <w:pPr>
        <w:pStyle w:val="Bullet1"/>
        <w:spacing w:after="40" w:line="252" w:lineRule="auto"/>
      </w:pPr>
      <w:r>
        <w:rPr>
          <w:rFonts w:ascii="Noto Sans" w:hAnsi="Noto Sans"/>
        </w:rPr>
        <w:t>Device/body-scanner imports with source, calibration and confidence metadata.</w:t>
      </w:r>
    </w:p>
    <w:p>
      <w:pPr>
        <w:pStyle w:val="Bullet1"/>
        <w:spacing w:after="40" w:line="252" w:lineRule="auto"/>
      </w:pPr>
      <w:r>
        <w:rPr>
          <w:rFonts w:ascii="Noto Sans" w:hAnsi="Noto Sans"/>
        </w:rPr>
        <w:t>Member-friendly progress narrative alongside charts, consistency, attendance and program adherence.</w:t>
      </w:r>
    </w:p>
    <w:p>
      <w:pPr>
        <w:pStyle w:val="Bullet1"/>
        <w:spacing w:after="40" w:line="252" w:lineRule="auto"/>
      </w:pPr>
      <w:r>
        <w:rPr>
          <w:rFonts w:ascii="Noto Sans" w:hAnsi="Noto Sans"/>
        </w:rPr>
        <w:t>Stall, anomaly and safety alerts that route to qualified review rather than autonomous change.</w:t>
      </w:r>
    </w:p>
    <w:p>
      <w:pPr>
        <w:pStyle w:val="Heading3"/>
        <w:keepNext/>
      </w:pPr>
      <w:r>
        <w:t>Critical Controls</w:t>
      </w:r>
    </w:p>
    <w:p>
      <w:pPr>
        <w:pStyle w:val="Bullet1"/>
        <w:spacing w:after="40" w:line="252" w:lineRule="auto"/>
      </w:pPr>
      <w:r>
        <w:rPr>
          <w:rFonts w:ascii="Noto Sans" w:hAnsi="Noto Sans"/>
        </w:rPr>
        <w:t>Measurement source, unit and timestamp are immutable provenance.</w:t>
      </w:r>
    </w:p>
    <w:p>
      <w:pPr>
        <w:pStyle w:val="Bullet1"/>
        <w:spacing w:after="40" w:line="252" w:lineRule="auto"/>
      </w:pPr>
      <w:r>
        <w:rPr>
          <w:rFonts w:ascii="Noto Sans" w:hAnsi="Noto Sans"/>
        </w:rPr>
        <w:t>Sensitive images and health-like data use explicit access and retention policy.</w:t>
      </w:r>
    </w:p>
    <w:p>
      <w:pPr>
        <w:pStyle w:val="Heading3"/>
        <w:keepNext/>
      </w:pPr>
      <w:r>
        <w:t>Required Outcomes</w:t>
      </w:r>
    </w:p>
    <w:p>
      <w:pPr>
        <w:pStyle w:val="Bullet1"/>
        <w:spacing w:after="40" w:line="252" w:lineRule="auto"/>
      </w:pPr>
      <w:r>
        <w:rPr>
          <w:rFonts w:ascii="Noto Sans" w:hAnsi="Noto Sans"/>
        </w:rPr>
        <w:t>Members can see meaningful progress beyond scale weight.</w:t>
      </w:r>
    </w:p>
    <w:p>
      <w:pPr>
        <w:pStyle w:val="Bullet1"/>
        <w:spacing w:after="40" w:line="252" w:lineRule="auto"/>
      </w:pPr>
      <w:r>
        <w:rPr>
          <w:rFonts w:ascii="Noto Sans" w:hAnsi="Noto Sans"/>
        </w:rPr>
        <w:t>Coaches review objective trends with source quality and context.</w:t>
      </w:r>
    </w:p>
    <w:p>
      <w:pPr>
        <w:pStyle w:val="Heading3"/>
        <w:keepNext/>
      </w:pPr>
      <w:r>
        <w:t>Technical Realization Notes</w:t>
      </w:r>
    </w:p>
    <w:p>
      <w:pPr>
        <w:pStyle w:val="Bullet1"/>
        <w:spacing w:after="40" w:line="252" w:lineRule="auto"/>
      </w:pPr>
      <w:r>
        <w:t>Authority &amp; storage: Product PostgreSQL app schema with module-prefixed authoritative tables; no cross-domain write-table access. Authoritative entities/tables are AssessmentTemplate, Assessment, MeasurementDefinition, Measurement, ProgressMedia, Goal, Milestone, OutcomeSummary.</w:t>
      </w:r>
    </w:p>
    <w:p>
      <w:pPr>
        <w:pStyle w:val="Bullet1"/>
        <w:spacing w:after="40" w:line="252" w:lineRule="auto"/>
      </w:pPr>
      <w:r>
        <w:t>Command inventory: CreateAssessment, RecordMeasurement, CreateGoal, RecordMilestone, RequestProgressReview, CompleteProgressReview. Every command declares permission, idempotency, expected aggregate version and transaction boundary.</w:t>
      </w:r>
    </w:p>
    <w:p>
      <w:pPr>
        <w:pStyle w:val="Bullet1"/>
        <w:spacing w:after="40" w:line="252" w:lineRule="auto"/>
      </w:pPr>
      <w:r>
        <w:t>Queries/read models: List/detail and history projections for AssessmentTemplate, Assessment, MeasurementDefinition, Measurement; role/surface-specific attention/summary read models for Coach App; Member App; Admin Web; every projection exposes freshness/version metadata when asynchronously built.</w:t>
      </w:r>
    </w:p>
    <w:p>
      <w:pPr>
        <w:pStyle w:val="Bullet1"/>
      </w:pPr>
      <w:r>
        <w:t>Indexes/concurrency: tenant-leading indexes for primary list/detail paths; unique external/provider identifiers are scoped by tenant/provider; aggregate version supports optimistic concurrency.</w:t>
      </w:r>
    </w:p>
    <w:p>
      <w:pPr>
        <w:pStyle w:val="Bullet1"/>
      </w:pPr>
      <w:r>
        <w:t>Published events: assessment.completed, measurement.recorded, goal.created, milestone.achieved, progress_review.required. Consumed dependencies: PPL-01, IAM-03, SEC-01; dependencies are accessed by stable contracts/projections, never direct write-table joins.</w:t>
      </w:r>
    </w:p>
    <w:p>
      <w:pPr>
        <w:pStyle w:val="Bullet1"/>
      </w:pPr>
      <w:r>
        <w:t>Failure/degraded behavior: Write commands fail atomically; asynchronous effects retry idempotently; stale read models carry freshness and cannot authorize a consequence-bearing mutation beyond budget.</w:t>
      </w:r>
    </w:p>
    <w:p>
      <w:pPr>
        <w:pStyle w:val="Bullet1"/>
      </w:pPr>
      <w:r>
        <w:t>Security/privacy: classification is enforced at field/resource level; tenant context and authorization are mandatory. Restricted data follows §21 controls; support/break-glass access creates delegated actor evidence.</w:t>
      </w:r>
    </w:p>
    <w:p>
      <w:pPr>
        <w:pStyle w:val="Bullet1"/>
      </w:pPr>
      <w:r>
        <w:t>SLI/SLO: Surface/domain API 99.9% initial target; p95 &lt;500-750 ms by workload; queue/projection freshness per §12.5.</w:t>
      </w:r>
    </w:p>
    <w:p>
      <w:pPr>
        <w:pStyle w:val="Bullet1"/>
      </w:pPr>
      <w:r>
        <w:t>Tests/runbook: invariant/property tests for each state transition; contract tests for APIs/events; tenant isolation negative test where tenant-owned; runbook RB-COA-04 covers stuck commands, reconciliation, provider/dependency outage and repair without history rewrite.</w:t>
      </w:r>
    </w:p>
    <w:p>
      <w:pPr>
        <w:pStyle w:val="Heading2"/>
        <w:keepNext/>
      </w:pPr>
      <w:r>
        <w:t>10.28 COA-05 - Health, Safety, Consent &amp; Incident Management</w:t>
      </w:r>
    </w:p>
    <w:tbl>
      <w:tblPr>
        <w:tblStyle w:val="TableGrid"/>
        <w:tblW w:type="dxa" w:w="9684"/>
        <w:jc w:val="center"/>
        <w:tblLayout w:type="autofit"/>
        <w:tblLook w:firstColumn="1" w:firstRow="1" w:lastColumn="0" w:lastRow="0" w:noHBand="0" w:noVBand="1" w:val="04A0"/>
      </w:tblPr>
      <w:tblGrid>
        <w:gridCol w:w="4842"/>
        <w:gridCol w:w="4842"/>
      </w:tblGrid>
      <w:tr>
        <w:trPr>
          <w:tblHeader w:val="true"/>
          <w:tblHeader w:val="true"/>
        </w:trPr>
        <w:tc>
          <w:tcPr>
            <w:tcW w:type="dxa" w:w="219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Attribute</w:t>
            </w:r>
          </w:p>
        </w:tc>
        <w:tc>
          <w:tcPr>
            <w:tcW w:type="dxa" w:w="758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Technical Design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phase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V1 General Availability</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surfaces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Member App; Coach App; Admin Web; Front Desk</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dependencies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PPL-01, IAM-03, SEC-01, AUT-02</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Authoritative entities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HealthQuestionnaire, Waiver, Consent, Limitation, Allergy, EmergencyContact, Incident, Witness, CorrectiveAction, LegalHold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Key events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screening.submitted, consent.signed, limitation.updated, incident.reported, incident.escalated, corrective_action.closed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store</w:t>
            </w:r>
          </w:p>
        </w:tc>
        <w:tc>
          <w:tcPr>
            <w:tcW w:type="dxa" w:w="7588"/>
            <w:tcMar>
              <w:top w:w="70" w:type="dxa"/>
              <w:start w:w="85" w:type="dxa"/>
              <w:bottom w:w="70" w:type="dxa"/>
              <w:end w:w="85" w:type="dxa"/>
              <w:left w:w="80" w:type="dxa"/>
              <w:right w:w="80" w:type="dxa"/>
            </w:tcMar>
            <w:vAlign w:val="center"/>
          </w:tcPr>
          <w:p>
            <w:r>
              <w:t>Product PostgreSQL app schema with module-prefixed authoritative tables; no cross-domain write-table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Data classification</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Restricted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Continuity tier</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Tier 2</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Technical interface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Domain command/query interface; no direct 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Async/workflow contract</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Transactional outbox for state changes; idempotent consumers. Durable workflow orchestration for multi-step/timer/provider processes.</w:t>
            </w:r>
          </w:p>
        </w:tc>
      </w:tr>
      <w:tr>
        <w:tc>
          <w:tcPr>
            <w:tcW w:type="dxa" w:w="4842"/>
            <w:tcMar>
              <w:top w:w="70" w:type="dxa"/>
              <w:left w:w="80" w:type="dxa"/>
              <w:bottom w:w="70" w:type="dxa"/>
              <w:right w:w="80" w:type="dxa"/>
            </w:tcMar>
          </w:tcPr>
          <w:p>
            <w:r>
              <w:t>Implementation slice</w:t>
            </w:r>
          </w:p>
        </w:tc>
        <w:tc>
          <w:tcPr>
            <w:tcW w:type="dxa" w:w="4842"/>
            <w:tcMar>
              <w:top w:w="70" w:type="dxa"/>
              <w:left w:w="80" w:type="dxa"/>
              <w:bottom w:w="70" w:type="dxa"/>
              <w:right w:w="80" w:type="dxa"/>
            </w:tcMar>
          </w:tcPr>
          <w:p>
            <w:r>
              <w:t>V1 General Availability</w:t>
            </w:r>
          </w:p>
        </w:tc>
      </w:tr>
    </w:tbl>
    <w:p>
      <w:pPr>
        <w:spacing w:after="40"/>
      </w:pPr>
    </w:p>
    <w:p>
      <w:pPr>
        <w:spacing w:after="80" w:line="259" w:lineRule="auto"/>
      </w:pPr>
      <w:r>
        <w:rPr>
          <w:rFonts w:ascii="Noto Sans" w:hAnsi="Noto Sans"/>
        </w:rPr>
        <w:t>Protect members, staff and the business through screening, restrictions, emergency context and accountable incident workflows.</w:t>
      </w:r>
    </w:p>
    <w:p>
      <w:pPr>
        <w:pStyle w:val="Heading3"/>
        <w:keepNext/>
      </w:pPr>
      <w:r>
        <w:t>Required Capabilities Preserved</w:t>
      </w:r>
    </w:p>
    <w:p>
      <w:pPr>
        <w:pStyle w:val="Bullet1"/>
        <w:spacing w:after="40" w:line="252" w:lineRule="auto"/>
      </w:pPr>
      <w:r>
        <w:rPr>
          <w:rFonts w:ascii="Noto Sans" w:hAnsi="Noto Sans"/>
        </w:rPr>
        <w:t>PAR-Q-style screening, health questionnaire, waiver, informed consent and versioned signatures.</w:t>
      </w:r>
    </w:p>
    <w:p>
      <w:pPr>
        <w:pStyle w:val="Bullet1"/>
        <w:spacing w:after="40" w:line="252" w:lineRule="auto"/>
      </w:pPr>
      <w:r>
        <w:rPr>
          <w:rFonts w:ascii="Noto Sans" w:hAnsi="Noto Sans"/>
        </w:rPr>
        <w:t>Injury, limitation, allergy, contraindication and emergency contact with fine-grained visibility.</w:t>
      </w:r>
    </w:p>
    <w:p>
      <w:pPr>
        <w:pStyle w:val="Bullet1"/>
        <w:spacing w:after="40" w:line="252" w:lineRule="auto"/>
      </w:pPr>
      <w:r>
        <w:rPr>
          <w:rFonts w:ascii="Noto Sans" w:hAnsi="Noto Sans"/>
        </w:rPr>
        <w:t>Member-declared pain or symptom flow that pauses unsafe activity and routes to coach/qualified review.</w:t>
      </w:r>
    </w:p>
    <w:p>
      <w:pPr>
        <w:pStyle w:val="Bullet1"/>
        <w:spacing w:after="40" w:line="252" w:lineRule="auto"/>
      </w:pPr>
      <w:r>
        <w:rPr>
          <w:rFonts w:ascii="Noto Sans" w:hAnsi="Noto Sans"/>
        </w:rPr>
        <w:t>Incident reporting for injury, equipment, safeguarding, harassment, security, medical or operational event.</w:t>
      </w:r>
    </w:p>
    <w:p>
      <w:pPr>
        <w:pStyle w:val="Bullet1"/>
        <w:spacing w:after="40" w:line="252" w:lineRule="auto"/>
      </w:pPr>
      <w:r>
        <w:rPr>
          <w:rFonts w:ascii="Noto Sans" w:hAnsi="Noto Sans"/>
        </w:rPr>
        <w:t>Triage, immediate action, witnesses, evidence, notification, escalation, corrective action and closure.</w:t>
      </w:r>
    </w:p>
    <w:p>
      <w:pPr>
        <w:pStyle w:val="Bullet1"/>
        <w:spacing w:after="40" w:line="252" w:lineRule="auto"/>
      </w:pPr>
      <w:r>
        <w:rPr>
          <w:rFonts w:ascii="Noto Sans" w:hAnsi="Noto Sans"/>
        </w:rPr>
        <w:t>Emergency mode with minimal necessary member context and controlled break-glass access.</w:t>
      </w:r>
    </w:p>
    <w:p>
      <w:pPr>
        <w:pStyle w:val="Bullet1"/>
        <w:spacing w:after="40" w:line="252" w:lineRule="auto"/>
      </w:pPr>
      <w:r>
        <w:rPr>
          <w:rFonts w:ascii="Noto Sans" w:hAnsi="Noto Sans"/>
        </w:rPr>
        <w:t>Safety rules integrated into workout, nutrition, booking, access, facility and communication decisions.</w:t>
      </w:r>
    </w:p>
    <w:p>
      <w:pPr>
        <w:pStyle w:val="Bullet1"/>
        <w:spacing w:after="40" w:line="252" w:lineRule="auto"/>
      </w:pPr>
      <w:r>
        <w:rPr>
          <w:rFonts w:ascii="Noto Sans" w:hAnsi="Noto Sans"/>
        </w:rPr>
        <w:t>Policy versioning, jurisdiction mapping, retention and legal hold.</w:t>
      </w:r>
    </w:p>
    <w:p>
      <w:pPr>
        <w:pStyle w:val="Heading3"/>
        <w:keepNext/>
      </w:pPr>
      <w:r>
        <w:t>Critical Controls</w:t>
      </w:r>
    </w:p>
    <w:p>
      <w:pPr>
        <w:pStyle w:val="Bullet1"/>
        <w:spacing w:after="40" w:line="252" w:lineRule="auto"/>
      </w:pPr>
      <w:r>
        <w:rPr>
          <w:rFonts w:ascii="Noto Sans" w:hAnsi="Noto Sans"/>
        </w:rPr>
        <w:t>Veyro must not present itself as a medical diagnosis or treatment system.</w:t>
      </w:r>
    </w:p>
    <w:p>
      <w:pPr>
        <w:pStyle w:val="Bullet1"/>
        <w:spacing w:after="40" w:line="252" w:lineRule="auto"/>
      </w:pPr>
      <w:r>
        <w:rPr>
          <w:rFonts w:ascii="Noto Sans" w:hAnsi="Noto Sans"/>
        </w:rPr>
        <w:t>Only minimum necessary health context is exposed to each role.</w:t>
      </w:r>
    </w:p>
    <w:p>
      <w:pPr>
        <w:pStyle w:val="Bullet1"/>
        <w:spacing w:after="40" w:line="252" w:lineRule="auto"/>
      </w:pPr>
      <w:r>
        <w:rPr>
          <w:rFonts w:ascii="Noto Sans" w:hAnsi="Noto Sans"/>
        </w:rPr>
        <w:t>Emergency access is exceptional, time-limited and reviewed.</w:t>
      </w:r>
    </w:p>
    <w:p>
      <w:pPr>
        <w:pStyle w:val="Heading3"/>
        <w:keepNext/>
      </w:pPr>
      <w:r>
        <w:t>Required Outcomes</w:t>
      </w:r>
    </w:p>
    <w:p>
      <w:pPr>
        <w:pStyle w:val="Bullet1"/>
        <w:spacing w:after="40" w:line="252" w:lineRule="auto"/>
      </w:pPr>
      <w:r>
        <w:rPr>
          <w:rFonts w:ascii="Noto Sans" w:hAnsi="Noto Sans"/>
        </w:rPr>
        <w:t>Unsafe assignments and preventable incidents are reduced.</w:t>
      </w:r>
    </w:p>
    <w:p>
      <w:pPr>
        <w:pStyle w:val="Bullet1"/>
        <w:spacing w:after="40" w:line="252" w:lineRule="auto"/>
      </w:pPr>
      <w:r>
        <w:rPr>
          <w:rFonts w:ascii="Noto Sans" w:hAnsi="Noto Sans"/>
        </w:rPr>
        <w:t>The organization can prove consent, response and corrective action.</w:t>
      </w:r>
    </w:p>
    <w:p>
      <w:pPr>
        <w:pStyle w:val="Heading3"/>
        <w:keepNext/>
      </w:pPr>
      <w:r>
        <w:t>Technical Realization Notes</w:t>
      </w:r>
    </w:p>
    <w:p>
      <w:pPr>
        <w:pStyle w:val="Bullet1"/>
        <w:spacing w:after="40" w:line="252" w:lineRule="auto"/>
      </w:pPr>
      <w:r>
        <w:t>Authority &amp; storage: Product PostgreSQL app schema with module-prefixed authoritative tables; no cross-domain write-table access. Authoritative entities/tables are HealthQuestionnaire, Waiver, Consent, Limitation, Allergy, EmergencyContact, Incident, Witness, CorrectiveAction, LegalHold.</w:t>
      </w:r>
    </w:p>
    <w:p>
      <w:pPr>
        <w:pStyle w:val="Bullet1"/>
        <w:spacing w:after="40" w:line="252" w:lineRule="auto"/>
      </w:pPr>
      <w:r>
        <w:t>Command inventory: SubmitScreening, SignConsent, UpdateLimitation, ReportIncident, EscalateIncident, AddCorrectiveAction, CloseIncident, BreakGlassHealthAccess. Every command declares permission, idempotency, expected aggregate version and transaction boundary.</w:t>
      </w:r>
    </w:p>
    <w:p>
      <w:pPr>
        <w:pStyle w:val="Bullet1"/>
        <w:spacing w:after="40" w:line="252" w:lineRule="auto"/>
      </w:pPr>
      <w:r>
        <w:t>Queries/read models: List/detail and history projections for HealthQuestionnaire, Waiver, Consent, Limitation; role/surface-specific attention/summary read models for Member App; Coach App; Admin Web; Front Desk; every projection exposes freshness/version metadata when asynchronously built.</w:t>
      </w:r>
    </w:p>
    <w:p>
      <w:pPr>
        <w:pStyle w:val="Bullet1"/>
      </w:pPr>
      <w:r>
        <w:t>Indexes/concurrency: tenant-leading indexes for primary list/detail paths; unique external/provider identifiers are scoped by tenant/provider; aggregate version supports optimistic concurrency.</w:t>
      </w:r>
    </w:p>
    <w:p>
      <w:pPr>
        <w:pStyle w:val="Bullet1"/>
      </w:pPr>
      <w:r>
        <w:t>Published events: screening.submitted, consent.signed, limitation.updated, incident.reported, incident.escalated, corrective_action.closed. Consumed dependencies: PPL-01, IAM-03, SEC-01, AUT-02; dependencies are accessed by stable contracts/projections, never direct write-table joins.</w:t>
      </w:r>
    </w:p>
    <w:p>
      <w:pPr>
        <w:pStyle w:val="Bullet1"/>
      </w:pPr>
      <w:r>
        <w:t>Failure/degraded behavior: Write commands fail atomically; asynchronous effects retry idempotently; stale read models carry freshness and cannot authorize a consequence-bearing mutation beyond budget.</w:t>
      </w:r>
    </w:p>
    <w:p>
      <w:pPr>
        <w:pStyle w:val="Bullet1"/>
      </w:pPr>
      <w:r>
        <w:t>Security/privacy: classification is enforced at field/resource level; tenant context and authorization are mandatory. Restricted data follows §21 controls; support/break-glass access creates delegated actor evidence.</w:t>
      </w:r>
    </w:p>
    <w:p>
      <w:pPr>
        <w:pStyle w:val="Bullet1"/>
      </w:pPr>
      <w:r>
        <w:t>SLI/SLO: Surface/domain API 99.9% initial target; p95 &lt;500-750 ms by workload; queue/projection freshness per §12.5.</w:t>
      </w:r>
    </w:p>
    <w:p>
      <w:pPr>
        <w:pStyle w:val="Bullet1"/>
      </w:pPr>
      <w:r>
        <w:t>Tests/runbook: invariant/property tests for each state transition; contract tests for APIs/events; tenant isolation negative test where tenant-owned; runbook RB-COA-05 covers stuck commands, reconciliation, provider/dependency outage and repair without history rewrite.</w:t>
      </w:r>
    </w:p>
    <w:p>
      <w:pPr>
        <w:pStyle w:val="Heading2"/>
        <w:keepNext/>
      </w:pPr>
      <w:r>
        <w:t>10.29 ENG-01 - Unified Inbox, Messaging &amp; Contextual Communication</w:t>
      </w:r>
    </w:p>
    <w:tbl>
      <w:tblPr>
        <w:tblStyle w:val="TableGrid"/>
        <w:tblW w:type="dxa" w:w="9684"/>
        <w:jc w:val="center"/>
        <w:tblLayout w:type="autofit"/>
        <w:tblLook w:firstColumn="1" w:firstRow="1" w:lastColumn="0" w:lastRow="0" w:noHBand="0" w:noVBand="1" w:val="04A0"/>
      </w:tblPr>
      <w:tblGrid>
        <w:gridCol w:w="4842"/>
        <w:gridCol w:w="4842"/>
      </w:tblGrid>
      <w:tr>
        <w:trPr>
          <w:tblHeader w:val="true"/>
          <w:tblHeader w:val="true"/>
        </w:trPr>
        <w:tc>
          <w:tcPr>
            <w:tcW w:type="dxa" w:w="219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Attribute</w:t>
            </w:r>
          </w:p>
        </w:tc>
        <w:tc>
          <w:tcPr>
            <w:tcW w:type="dxa" w:w="758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Technical Design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phase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V1 General Availability</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surfaces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Admin Web; Coach App; Member App; Front Desk</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dependencies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PPL-01, GRO-01, IAM-03, ECO-02</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Authoritative entities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Conversation, Thread, Message, ChannelIdentity, Inbox, Assignment, Template, DeliveryStatus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Key events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message.received, message.sent, message.failed, conversation.assigned, conversation.sla_breached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store</w:t>
            </w:r>
          </w:p>
        </w:tc>
        <w:tc>
          <w:tcPr>
            <w:tcW w:type="dxa" w:w="7588"/>
            <w:tcMar>
              <w:top w:w="70" w:type="dxa"/>
              <w:start w:w="85" w:type="dxa"/>
              <w:bottom w:w="70" w:type="dxa"/>
              <w:end w:w="85" w:type="dxa"/>
              <w:left w:w="80" w:type="dxa"/>
              <w:right w:w="80" w:type="dxa"/>
            </w:tcMar>
            <w:vAlign w:val="center"/>
          </w:tcPr>
          <w:p>
            <w:r>
              <w:t>Product PostgreSQL app schema with module-prefixed authoritative tables; no cross-domain write-table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Data classification</w:t>
            </w:r>
          </w:p>
        </w:tc>
        <w:tc>
          <w:tcPr>
            <w:tcW w:type="dxa" w:w="7588"/>
            <w:tcMar>
              <w:top w:w="70" w:type="dxa"/>
              <w:start w:w="85" w:type="dxa"/>
              <w:bottom w:w="70" w:type="dxa"/>
              <w:end w:w="85" w:type="dxa"/>
              <w:left w:w="80" w:type="dxa"/>
              <w:right w:w="80" w:type="dxa"/>
            </w:tcMar>
            <w:vAlign w:val="center"/>
          </w:tcPr>
          <w:p>
            <w:r>
              <w:t>Field-level classification: Confidential by default; health/financial/payment/biometric-bearing fields are Restricted and inherit stronger policy/retention.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Continuity tier</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Tier 2</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Technical interface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Domain command/query interface; no direct table access. Publishes permission-safe search projection.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Async/workflow contract</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Transactional outbox for state changes; idempotent consumers. Durable workflow orchestration for multi-step/timer/provider processes.</w:t>
            </w:r>
          </w:p>
        </w:tc>
      </w:tr>
      <w:tr>
        <w:tc>
          <w:tcPr>
            <w:tcW w:type="dxa" w:w="4842"/>
            <w:tcMar>
              <w:top w:w="70" w:type="dxa"/>
              <w:left w:w="80" w:type="dxa"/>
              <w:bottom w:w="70" w:type="dxa"/>
              <w:right w:w="80" w:type="dxa"/>
            </w:tcMar>
          </w:tcPr>
          <w:p>
            <w:r>
              <w:t>Implementation slice</w:t>
            </w:r>
          </w:p>
        </w:tc>
        <w:tc>
          <w:tcPr>
            <w:tcW w:type="dxa" w:w="4842"/>
            <w:tcMar>
              <w:top w:w="70" w:type="dxa"/>
              <w:left w:w="80" w:type="dxa"/>
              <w:bottom w:w="70" w:type="dxa"/>
              <w:right w:w="80" w:type="dxa"/>
            </w:tcMar>
          </w:tcPr>
          <w:p>
            <w:r>
              <w:t>V1 General Availability</w:t>
            </w:r>
          </w:p>
        </w:tc>
      </w:tr>
    </w:tbl>
    <w:p>
      <w:pPr>
        <w:spacing w:after="40"/>
      </w:pPr>
    </w:p>
    <w:p>
      <w:pPr>
        <w:spacing w:after="80" w:line="259" w:lineRule="auto"/>
      </w:pPr>
      <w:r>
        <w:rPr>
          <w:rFonts w:ascii="Noto Sans" w:hAnsi="Noto Sans"/>
        </w:rPr>
        <w:t>Unify member, lead, coach and operational communication without losing channel history or business context.</w:t>
      </w:r>
    </w:p>
    <w:p>
      <w:pPr>
        <w:pStyle w:val="Heading3"/>
        <w:keepNext/>
      </w:pPr>
      <w:r>
        <w:t>Required Capabilities Preserved</w:t>
      </w:r>
    </w:p>
    <w:p>
      <w:pPr>
        <w:pStyle w:val="Bullet1"/>
        <w:spacing w:after="40" w:line="252" w:lineRule="auto"/>
      </w:pPr>
      <w:r>
        <w:rPr>
          <w:rFonts w:ascii="Noto Sans" w:hAnsi="Noto Sans"/>
        </w:rPr>
        <w:t>Unified conversation timeline for in-app chat, WhatsApp, SMS, email, call notes and staff notes.</w:t>
      </w:r>
    </w:p>
    <w:p>
      <w:pPr>
        <w:pStyle w:val="Bullet1"/>
        <w:spacing w:after="40" w:line="252" w:lineRule="auto"/>
      </w:pPr>
      <w:r>
        <w:rPr>
          <w:rFonts w:ascii="Noto Sans" w:hAnsi="Noto Sans"/>
        </w:rPr>
        <w:t>Threads anchored to member, lead, booking, workout, meal, invoice, incident or support case.</w:t>
      </w:r>
    </w:p>
    <w:p>
      <w:pPr>
        <w:pStyle w:val="Bullet1"/>
        <w:spacing w:after="40" w:line="252" w:lineRule="auto"/>
      </w:pPr>
      <w:r>
        <w:rPr>
          <w:rFonts w:ascii="Noto Sans" w:hAnsi="Noto Sans"/>
        </w:rPr>
        <w:t>Shared team inbox with routing, assignment, status, collision prevention, SLA and handoff.</w:t>
      </w:r>
    </w:p>
    <w:p>
      <w:pPr>
        <w:pStyle w:val="Bullet1"/>
        <w:spacing w:after="40" w:line="252" w:lineRule="auto"/>
      </w:pPr>
      <w:r>
        <w:rPr>
          <w:rFonts w:ascii="Noto Sans" w:hAnsi="Noto Sans"/>
        </w:rPr>
        <w:t>Channel templates, approved WhatsApp templates, localized variables and preview.</w:t>
      </w:r>
    </w:p>
    <w:p>
      <w:pPr>
        <w:pStyle w:val="Bullet1"/>
        <w:spacing w:after="40" w:line="252" w:lineRule="auto"/>
      </w:pPr>
      <w:r>
        <w:rPr>
          <w:rFonts w:ascii="Noto Sans" w:hAnsi="Noto Sans"/>
        </w:rPr>
        <w:t>Member-to-coach messaging with availability, response expectations, media and moderation controls.</w:t>
      </w:r>
    </w:p>
    <w:p>
      <w:pPr>
        <w:pStyle w:val="Bullet1"/>
        <w:spacing w:after="40" w:line="252" w:lineRule="auto"/>
      </w:pPr>
      <w:r>
        <w:rPr>
          <w:rFonts w:ascii="Noto Sans" w:hAnsi="Noto Sans"/>
        </w:rPr>
        <w:t>Consent, opt-out, quiet hours, communication preferences and legal retention by channel.</w:t>
      </w:r>
    </w:p>
    <w:p>
      <w:pPr>
        <w:pStyle w:val="Bullet1"/>
        <w:spacing w:after="40" w:line="252" w:lineRule="auto"/>
      </w:pPr>
      <w:r>
        <w:rPr>
          <w:rFonts w:ascii="Noto Sans" w:hAnsi="Noto Sans"/>
        </w:rPr>
        <w:t>Delivery, read, failure, reply and escalation status with provider reconciliation.</w:t>
      </w:r>
    </w:p>
    <w:p>
      <w:pPr>
        <w:pStyle w:val="Bullet1"/>
        <w:spacing w:after="40" w:line="252" w:lineRule="auto"/>
      </w:pPr>
      <w:r>
        <w:rPr>
          <w:rFonts w:ascii="Noto Sans" w:hAnsi="Noto Sans"/>
        </w:rPr>
        <w:t>AI-assisted drafts and summaries that never send without authorized policy.</w:t>
      </w:r>
    </w:p>
    <w:p>
      <w:pPr>
        <w:pStyle w:val="Heading3"/>
        <w:keepNext/>
      </w:pPr>
      <w:r>
        <w:t>Critical Controls</w:t>
      </w:r>
    </w:p>
    <w:p>
      <w:pPr>
        <w:pStyle w:val="Bullet1"/>
        <w:spacing w:after="40" w:line="252" w:lineRule="auto"/>
      </w:pPr>
      <w:r>
        <w:rPr>
          <w:rFonts w:ascii="Noto Sans" w:hAnsi="Noto Sans"/>
        </w:rPr>
        <w:t>Channel consent and recipient identity are checked at send time.</w:t>
      </w:r>
    </w:p>
    <w:p>
      <w:pPr>
        <w:pStyle w:val="Bullet1"/>
        <w:spacing w:after="40" w:line="252" w:lineRule="auto"/>
      </w:pPr>
      <w:r>
        <w:rPr>
          <w:rFonts w:ascii="Noto Sans" w:hAnsi="Noto Sans"/>
        </w:rPr>
        <w:t>Sensitive health or financial content is restricted from unsuitable channels.</w:t>
      </w:r>
    </w:p>
    <w:p>
      <w:pPr>
        <w:pStyle w:val="Heading3"/>
        <w:keepNext/>
      </w:pPr>
      <w:r>
        <w:t>Required Outcomes</w:t>
      </w:r>
    </w:p>
    <w:p>
      <w:pPr>
        <w:pStyle w:val="Bullet1"/>
        <w:spacing w:after="40" w:line="252" w:lineRule="auto"/>
      </w:pPr>
      <w:r>
        <w:rPr>
          <w:rFonts w:ascii="Noto Sans" w:hAnsi="Noto Sans"/>
        </w:rPr>
        <w:t>Staff communicate from one contextual workspace.</w:t>
      </w:r>
    </w:p>
    <w:p>
      <w:pPr>
        <w:pStyle w:val="Bullet1"/>
        <w:spacing w:after="40" w:line="252" w:lineRule="auto"/>
      </w:pPr>
      <w:r>
        <w:rPr>
          <w:rFonts w:ascii="Noto Sans" w:hAnsi="Noto Sans"/>
        </w:rPr>
        <w:t>Members do not repeat their history to each department.</w:t>
      </w:r>
    </w:p>
    <w:p>
      <w:pPr>
        <w:pStyle w:val="Heading3"/>
        <w:keepNext/>
      </w:pPr>
      <w:r>
        <w:t>Technical Realization Notes</w:t>
      </w:r>
    </w:p>
    <w:p>
      <w:pPr>
        <w:pStyle w:val="Bullet1"/>
        <w:spacing w:after="40" w:line="252" w:lineRule="auto"/>
      </w:pPr>
      <w:r>
        <w:t>Authority &amp; storage: Product PostgreSQL app schema with module-prefixed authoritative tables; no cross-domain write-table access. Authoritative entities/tables are Conversation, Thread, Message, ChannelIdentity, Inbox, Assignment, Template, DeliveryStatus.</w:t>
      </w:r>
    </w:p>
    <w:p>
      <w:pPr>
        <w:pStyle w:val="Bullet1"/>
        <w:spacing w:after="40" w:line="252" w:lineRule="auto"/>
      </w:pPr>
      <w:r>
        <w:t>Command inventory: OpenConversation, SendMessage, ReceiveMessage, AssignConversation, ResolveConversation, CreateHandoff, EscalateConversation. Every command declares permission, idempotency, expected aggregate version and transaction boundary.</w:t>
      </w:r>
    </w:p>
    <w:p>
      <w:pPr>
        <w:pStyle w:val="Bullet1"/>
        <w:spacing w:after="40" w:line="252" w:lineRule="auto"/>
      </w:pPr>
      <w:r>
        <w:t>Queries/read models: List/detail and history projections for Conversation, Thread, Message, ChannelIdentity; role/surface-specific attention/summary read models for Admin Web; Coach App; Member App; Front Desk; every projection exposes freshness/version metadata when asynchronously built.</w:t>
      </w:r>
    </w:p>
    <w:p>
      <w:pPr>
        <w:pStyle w:val="Bullet1"/>
      </w:pPr>
      <w:r>
        <w:t>Indexes/concurrency: tenant-leading indexes for primary list/detail paths; unique external/provider identifiers are scoped by tenant/provider; aggregate version supports optimistic concurrency.</w:t>
      </w:r>
    </w:p>
    <w:p>
      <w:pPr>
        <w:pStyle w:val="Bullet1"/>
      </w:pPr>
      <w:r>
        <w:t>Published events: message.received, message.sent, message.failed, conversation.assigned, conversation.sla_breached, conversation.resolved. Consumed dependencies: PPL-01, GRO-01, IAM-03, ECO-02; dependencies are accessed by stable contracts/projections, never direct write-table joins. Direction for this intentional bidirectional pair (GRO-01 &lt;-&gt; ENG-01) is normative in §6.3.</w:t>
      </w:r>
    </w:p>
    <w:p>
      <w:pPr>
        <w:pStyle w:val="Bullet1"/>
      </w:pPr>
      <w:r>
        <w:t>Failure/degraded behavior: Provider dispatch is asynchronous and deduped; delivery failure never rewrites the authored message/notification; retry/suppression state is visible.</w:t>
      </w:r>
    </w:p>
    <w:p>
      <w:pPr>
        <w:pStyle w:val="Bullet1"/>
      </w:pPr>
      <w:r>
        <w:t>Security/privacy: classification is enforced at field/resource level; tenant context and authorization are mandatory. Restricted data follows §21 controls; support/break-glass access creates delegated actor evidence.</w:t>
      </w:r>
    </w:p>
    <w:p>
      <w:pPr>
        <w:pStyle w:val="Bullet1"/>
      </w:pPr>
      <w:r>
        <w:t>SLI/SLO: Surface/domain API 99.9% initial target; p95 &lt;500-750 ms by workload; queue/projection freshness per §12.5.</w:t>
      </w:r>
    </w:p>
    <w:p>
      <w:pPr>
        <w:pStyle w:val="Bullet1"/>
      </w:pPr>
      <w:r>
        <w:t>Tests/runbook: invariant/property tests for each state transition; contract tests for APIs/events; tenant isolation negative test where tenant-owned; runbook RB-ENG-01 covers stuck commands, reconciliation, provider/dependency outage and repair without history rewrite.</w:t>
      </w:r>
    </w:p>
    <w:p>
      <w:pPr>
        <w:pStyle w:val="Heading2"/>
        <w:keepNext/>
      </w:pPr>
      <w:r>
        <w:t>10.30 ENG-02 - Notification Platform, Templates &amp; Preferences</w:t>
      </w:r>
    </w:p>
    <w:tbl>
      <w:tblPr>
        <w:tblStyle w:val="TableGrid"/>
        <w:tblW w:type="dxa" w:w="9684"/>
        <w:jc w:val="center"/>
        <w:tblLayout w:type="autofit"/>
        <w:tblLook w:firstColumn="1" w:firstRow="1" w:lastColumn="0" w:lastRow="0" w:noHBand="0" w:noVBand="1" w:val="04A0"/>
      </w:tblPr>
      <w:tblGrid>
        <w:gridCol w:w="4842"/>
        <w:gridCol w:w="4842"/>
      </w:tblGrid>
      <w:tr>
        <w:trPr>
          <w:tblHeader w:val="true"/>
          <w:tblHeader w:val="true"/>
        </w:trPr>
        <w:tc>
          <w:tcPr>
            <w:tcW w:type="dxa" w:w="219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Attribute</w:t>
            </w:r>
          </w:p>
        </w:tc>
        <w:tc>
          <w:tcPr>
            <w:tcW w:type="dxa" w:w="758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Technical Design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phase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Foundation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surfaces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All Apps; Internal SaaS Console</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dependencies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PLT-01, PLT-02, IAM-01, ECO-02</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Authoritative entities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Notification, NotificationTemplate, Preference, ChannelPolicy, DeliveryAttempt, Suppression, Digest</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Key events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notification.requested, notification.sent, notification.delivered, notification.failed, preference.changed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store</w:t>
            </w:r>
          </w:p>
        </w:tc>
        <w:tc>
          <w:tcPr>
            <w:tcW w:type="dxa" w:w="7588"/>
            <w:tcMar>
              <w:top w:w="70" w:type="dxa"/>
              <w:start w:w="85" w:type="dxa"/>
              <w:bottom w:w="70" w:type="dxa"/>
              <w:end w:w="85" w:type="dxa"/>
              <w:left w:w="80" w:type="dxa"/>
              <w:right w:w="80" w:type="dxa"/>
            </w:tcMar>
            <w:vAlign w:val="center"/>
          </w:tcPr>
          <w:p>
            <w:r>
              <w:t>Product PostgreSQL app schema with module-prefixed authoritative tables; no cross-domain write-table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Data classification</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Confidential/tenant-scoped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Continuity tier</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Tier 2</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Technical interface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Domain command/query interface; no direct 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Async/workflow contract</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Transactional outbox for state changes; idempotent consumers.</w:t>
            </w:r>
          </w:p>
        </w:tc>
      </w:tr>
      <w:tr>
        <w:tc>
          <w:tcPr>
            <w:tcW w:type="dxa" w:w="4842"/>
            <w:tcMar>
              <w:top w:w="70" w:type="dxa"/>
              <w:left w:w="80" w:type="dxa"/>
              <w:bottom w:w="70" w:type="dxa"/>
              <w:right w:w="80" w:type="dxa"/>
            </w:tcMar>
          </w:tcPr>
          <w:p>
            <w:r>
              <w:t>Implementation slice</w:t>
            </w:r>
          </w:p>
        </w:tc>
        <w:tc>
          <w:tcPr>
            <w:tcW w:type="dxa" w:w="4842"/>
            <w:tcMar>
              <w:top w:w="70" w:type="dxa"/>
              <w:left w:w="80" w:type="dxa"/>
              <w:bottom w:w="70" w:type="dxa"/>
              <w:right w:w="80" w:type="dxa"/>
            </w:tcMar>
          </w:tcPr>
          <w:p>
            <w:r>
              <w:t>Foundation</w:t>
            </w:r>
          </w:p>
        </w:tc>
      </w:tr>
    </w:tbl>
    <w:p>
      <w:pPr>
        <w:spacing w:after="40"/>
      </w:pPr>
    </w:p>
    <w:p>
      <w:pPr>
        <w:spacing w:after="80" w:line="259" w:lineRule="auto"/>
      </w:pPr>
      <w:r>
        <w:rPr>
          <w:rFonts w:ascii="Noto Sans" w:hAnsi="Noto Sans"/>
        </w:rPr>
        <w:t>Deliver timely, localized and non-spammy transactional and engagement notifications across channels.</w:t>
      </w:r>
    </w:p>
    <w:p>
      <w:pPr>
        <w:pStyle w:val="Heading3"/>
        <w:keepNext/>
      </w:pPr>
      <w:r>
        <w:t>Required Capabilities Preserved</w:t>
      </w:r>
    </w:p>
    <w:p>
      <w:pPr>
        <w:pStyle w:val="Bullet1"/>
        <w:spacing w:after="40" w:line="252" w:lineRule="auto"/>
      </w:pPr>
      <w:r>
        <w:rPr>
          <w:rFonts w:ascii="Noto Sans" w:hAnsi="Noto Sans"/>
        </w:rPr>
        <w:t>Event-triggered email, push, SMS, WhatsApp and in-app notifications through one orchestration API.</w:t>
      </w:r>
    </w:p>
    <w:p>
      <w:pPr>
        <w:pStyle w:val="Bullet1"/>
        <w:spacing w:after="40" w:line="252" w:lineRule="auto"/>
      </w:pPr>
      <w:r>
        <w:rPr>
          <w:rFonts w:ascii="Noto Sans" w:hAnsi="Noto Sans"/>
        </w:rPr>
        <w:t>Template versioning, localization, brand styling, variables, preview and approval.</w:t>
      </w:r>
    </w:p>
    <w:p>
      <w:pPr>
        <w:pStyle w:val="Bullet1"/>
        <w:spacing w:after="40" w:line="252" w:lineRule="auto"/>
      </w:pPr>
      <w:r>
        <w:rPr>
          <w:rFonts w:ascii="Noto Sans" w:hAnsi="Noto Sans"/>
        </w:rPr>
        <w:t>Transactional, operational, coaching and marketing categories with different consent rules.</w:t>
      </w:r>
    </w:p>
    <w:p>
      <w:pPr>
        <w:pStyle w:val="Bullet1"/>
        <w:spacing w:after="40" w:line="252" w:lineRule="auto"/>
      </w:pPr>
      <w:r>
        <w:rPr>
          <w:rFonts w:ascii="Noto Sans" w:hAnsi="Noto Sans"/>
        </w:rPr>
        <w:t>User preferences, quiet hours, frequency caps, digesting, priority and channel fallback.</w:t>
      </w:r>
    </w:p>
    <w:p>
      <w:pPr>
        <w:pStyle w:val="Bullet1"/>
        <w:spacing w:after="40" w:line="252" w:lineRule="auto"/>
      </w:pPr>
      <w:r>
        <w:rPr>
          <w:rFonts w:ascii="Noto Sans" w:hAnsi="Noto Sans"/>
        </w:rPr>
        <w:t>Scheduling, deduplication, idempotency, retry, provider failover and dead-letter handling.</w:t>
      </w:r>
    </w:p>
    <w:p>
      <w:pPr>
        <w:pStyle w:val="Bullet1"/>
        <w:spacing w:after="40" w:line="252" w:lineRule="auto"/>
      </w:pPr>
      <w:r>
        <w:rPr>
          <w:rFonts w:ascii="Noto Sans" w:hAnsi="Noto Sans"/>
        </w:rPr>
        <w:t>Delivery analytics, complaint/bounce suppression and cost by tenant/channel.</w:t>
      </w:r>
    </w:p>
    <w:p>
      <w:pPr>
        <w:pStyle w:val="Bullet1"/>
        <w:spacing w:after="40" w:line="252" w:lineRule="auto"/>
      </w:pPr>
      <w:r>
        <w:rPr>
          <w:rFonts w:ascii="Noto Sans" w:hAnsi="Noto Sans"/>
        </w:rPr>
        <w:t>Critical alerts that bypass selected preferences only under documented policy.</w:t>
      </w:r>
    </w:p>
    <w:p>
      <w:pPr>
        <w:pStyle w:val="Heading3"/>
        <w:keepNext/>
      </w:pPr>
      <w:r>
        <w:t>Critical Controls</w:t>
      </w:r>
    </w:p>
    <w:p>
      <w:pPr>
        <w:pStyle w:val="Bullet1"/>
        <w:spacing w:after="40" w:line="252" w:lineRule="auto"/>
      </w:pPr>
      <w:r>
        <w:rPr>
          <w:rFonts w:ascii="Noto Sans" w:hAnsi="Noto Sans"/>
        </w:rPr>
        <w:t>Marketing and transactional purposes are separated.</w:t>
      </w:r>
    </w:p>
    <w:p>
      <w:pPr>
        <w:pStyle w:val="Bullet1"/>
        <w:spacing w:after="40" w:line="252" w:lineRule="auto"/>
      </w:pPr>
      <w:r>
        <w:rPr>
          <w:rFonts w:ascii="Noto Sans" w:hAnsi="Noto Sans"/>
        </w:rPr>
        <w:t>The same logical notification cannot be delivered repeatedly because of retries.</w:t>
      </w:r>
    </w:p>
    <w:p>
      <w:pPr>
        <w:pStyle w:val="Heading3"/>
        <w:keepNext/>
      </w:pPr>
      <w:r>
        <w:t>Required Outcomes</w:t>
      </w:r>
    </w:p>
    <w:p>
      <w:pPr>
        <w:pStyle w:val="Bullet1"/>
        <w:spacing w:after="40" w:line="252" w:lineRule="auto"/>
      </w:pPr>
      <w:r>
        <w:rPr>
          <w:rFonts w:ascii="Noto Sans" w:hAnsi="Noto Sans"/>
        </w:rPr>
        <w:t>Members receive fewer, more relevant messages.</w:t>
      </w:r>
    </w:p>
    <w:p>
      <w:pPr>
        <w:pStyle w:val="Bullet1"/>
        <w:spacing w:after="40" w:line="252" w:lineRule="auto"/>
      </w:pPr>
      <w:r>
        <w:rPr>
          <w:rFonts w:ascii="Noto Sans" w:hAnsi="Noto Sans"/>
        </w:rPr>
        <w:t>Delivery reliability and communication cost are measurable.</w:t>
      </w:r>
    </w:p>
    <w:p>
      <w:pPr>
        <w:pStyle w:val="Heading3"/>
        <w:keepNext/>
      </w:pPr>
      <w:r>
        <w:t>Technical Realization Notes</w:t>
      </w:r>
    </w:p>
    <w:p>
      <w:pPr>
        <w:pStyle w:val="Bullet1"/>
        <w:spacing w:after="40" w:line="252" w:lineRule="auto"/>
      </w:pPr>
      <w:r>
        <w:t>Authority &amp; storage: Product PostgreSQL app schema with module-prefixed authoritative tables; no cross-domain write-table access. Authoritative entities/tables are Notification, NotificationTemplate, Preference, ChannelPolicy, DeliveryAttempt, Suppression, Digest.</w:t>
      </w:r>
    </w:p>
    <w:p>
      <w:pPr>
        <w:pStyle w:val="Bullet1"/>
        <w:spacing w:after="40" w:line="252" w:lineRule="auto"/>
      </w:pPr>
      <w:r>
        <w:t>Command inventory: CreateTemplate, PublishTemplate, SetPreference, RequestNotification, DispatchNotification, RecordDeliveryOutcome, SuppressNotification. Every command declares permission, idempotency, expected aggregate version and transaction boundary.</w:t>
      </w:r>
    </w:p>
    <w:p>
      <w:pPr>
        <w:pStyle w:val="Bullet1"/>
        <w:spacing w:after="40" w:line="252" w:lineRule="auto"/>
      </w:pPr>
      <w:r>
        <w:t>Queries/read models: List/detail and history projections for Notification, NotificationTemplate, Preference, ChannelPolicy; role/surface-specific attention/summary read models for All Apps; Internal SaaS Console; every projection exposes freshness/version metadata when asynchronously built.</w:t>
      </w:r>
    </w:p>
    <w:p>
      <w:pPr>
        <w:pStyle w:val="Bullet1"/>
      </w:pPr>
      <w:r>
        <w:t>Indexes/concurrency: tenant-leading indexes for primary list/detail paths; unique external/provider identifiers are scoped by tenant/provider; aggregate version supports optimistic concurrency.</w:t>
      </w:r>
    </w:p>
    <w:p>
      <w:pPr>
        <w:pStyle w:val="Bullet1"/>
      </w:pPr>
      <w:r>
        <w:t>Published events: notification.requested, notification.sent, notification.delivered, notification.failed, preference.changed, status_update.published. Consumed dependencies: PLT-01, PLT-02, IAM-01, ECO-02; dependencies are accessed by stable contracts/projections, never direct write-table joins.</w:t>
      </w:r>
    </w:p>
    <w:p>
      <w:pPr>
        <w:pStyle w:val="Bullet1"/>
      </w:pPr>
      <w:r>
        <w:t>Failure/degraded behavior: Provider dispatch is asynchronous and deduped; delivery failure never rewrites the authored message/notification; retry/suppression state is visible.</w:t>
      </w:r>
    </w:p>
    <w:p>
      <w:pPr>
        <w:pStyle w:val="Bullet1"/>
      </w:pPr>
      <w:r>
        <w:t>Security/privacy: classification is enforced at field/resource level; tenant context and authorization are mandatory. Restricted data follows §21 controls; support/break-glass access creates delegated actor evidence.</w:t>
      </w:r>
    </w:p>
    <w:p>
      <w:pPr>
        <w:pStyle w:val="Bullet1"/>
      </w:pPr>
      <w:r>
        <w:t>SLI/SLO: Surface/domain API 99.9% initial target; p95 &lt;500-750 ms by workload; queue/projection freshness per §12.5.</w:t>
      </w:r>
    </w:p>
    <w:p>
      <w:pPr>
        <w:pStyle w:val="Bullet1"/>
      </w:pPr>
      <w:r>
        <w:t>Tests/runbook: invariant/property tests for each state transition; contract tests for APIs/events; tenant isolation negative test where tenant-owned; runbook RB-ENG-02 covers stuck commands, reconciliation, provider/dependency outage and repair without history rewrite.</w:t>
      </w:r>
    </w:p>
    <w:p>
      <w:pPr>
        <w:pStyle w:val="Heading2"/>
        <w:keepNext/>
      </w:pPr>
      <w:r>
        <w:t>10.31 ENG-03 - Community, Challenges, Achievements &amp; Rewards</w:t>
      </w:r>
    </w:p>
    <w:tbl>
      <w:tblPr>
        <w:tblStyle w:val="TableGrid"/>
        <w:tblW w:type="dxa" w:w="9684"/>
        <w:jc w:val="center"/>
        <w:tblLayout w:type="autofit"/>
        <w:tblLook w:firstColumn="1" w:firstRow="1" w:lastColumn="0" w:lastRow="0" w:noHBand="0" w:noVBand="1" w:val="04A0"/>
      </w:tblPr>
      <w:tblGrid>
        <w:gridCol w:w="4842"/>
        <w:gridCol w:w="4842"/>
      </w:tblGrid>
      <w:tr>
        <w:trPr>
          <w:tblHeader w:val="true"/>
          <w:tblHeader w:val="true"/>
        </w:trPr>
        <w:tc>
          <w:tcPr>
            <w:tcW w:type="dxa" w:w="219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Attribute</w:t>
            </w:r>
          </w:p>
        </w:tc>
        <w:tc>
          <w:tcPr>
            <w:tcW w:type="dxa" w:w="758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Technical Design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phase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V1.5 Growth</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surfaces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Member App; Admin Web; Corporate Portal</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dependencies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DAT-01, COM-04, SEC-02, PPL-01</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Authoritative entities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Challenge, Participant, Leaderboard, Achievement, RewardRule, PointsAccount, RewardRedemption, CommunityPost, ModerationCase</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Key events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challenge.joined, challenge.progressed, achievement.earned, reward.issued, reward.redeemed, content.reported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store</w:t>
            </w:r>
          </w:p>
        </w:tc>
        <w:tc>
          <w:tcPr>
            <w:tcW w:type="dxa" w:w="7588"/>
            <w:tcMar>
              <w:top w:w="70" w:type="dxa"/>
              <w:start w:w="85" w:type="dxa"/>
              <w:bottom w:w="70" w:type="dxa"/>
              <w:end w:w="85" w:type="dxa"/>
              <w:left w:w="80" w:type="dxa"/>
              <w:right w:w="80" w:type="dxa"/>
            </w:tcMar>
            <w:vAlign w:val="center"/>
          </w:tcPr>
          <w:p>
            <w:r>
              <w:t>Product PostgreSQL app schema with module-prefixed authoritative tables; no cross-domain write-table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Data classification</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Confidential/tenant-scoped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Continuity tier</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Tier 2</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Technical interface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Domain command/query interface; no direct 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Async/workflow contract</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Transactional outbox for state changes; idempotent consumers.</w:t>
            </w:r>
          </w:p>
        </w:tc>
      </w:tr>
      <w:tr>
        <w:tc>
          <w:tcPr>
            <w:tcW w:type="dxa" w:w="4842"/>
            <w:tcMar>
              <w:top w:w="70" w:type="dxa"/>
              <w:left w:w="80" w:type="dxa"/>
              <w:bottom w:w="70" w:type="dxa"/>
              <w:right w:w="80" w:type="dxa"/>
            </w:tcMar>
          </w:tcPr>
          <w:p>
            <w:r>
              <w:t>Implementation slice</w:t>
            </w:r>
          </w:p>
        </w:tc>
        <w:tc>
          <w:tcPr>
            <w:tcW w:type="dxa" w:w="4842"/>
            <w:tcMar>
              <w:top w:w="70" w:type="dxa"/>
              <w:left w:w="80" w:type="dxa"/>
              <w:bottom w:w="70" w:type="dxa"/>
              <w:right w:w="80" w:type="dxa"/>
            </w:tcMar>
          </w:tcPr>
          <w:p>
            <w:r>
              <w:t>V1.5 Growth</w:t>
            </w:r>
          </w:p>
        </w:tc>
      </w:tr>
    </w:tbl>
    <w:p>
      <w:pPr>
        <w:spacing w:after="40"/>
      </w:pPr>
    </w:p>
    <w:p>
      <w:pPr>
        <w:spacing w:after="80" w:line="259" w:lineRule="auto"/>
      </w:pPr>
      <w:r>
        <w:rPr>
          <w:rFonts w:ascii="Noto Sans" w:hAnsi="Noto Sans"/>
        </w:rPr>
        <w:t>Increase motivation and belonging through purposeful social and reward mechanics without building an uncontrolled social network.</w:t>
      </w:r>
    </w:p>
    <w:p>
      <w:pPr>
        <w:pStyle w:val="Heading3"/>
        <w:keepNext/>
      </w:pPr>
      <w:r>
        <w:t>Required Capabilities Preserved</w:t>
      </w:r>
    </w:p>
    <w:p>
      <w:pPr>
        <w:pStyle w:val="Bullet1"/>
        <w:spacing w:after="40" w:line="252" w:lineRule="auto"/>
      </w:pPr>
      <w:r>
        <w:rPr>
          <w:rFonts w:ascii="Noto Sans" w:hAnsi="Noto Sans"/>
        </w:rPr>
        <w:t>Challenges based on attendance, workout completion, distance, consistency, team goals or custom verified events.</w:t>
      </w:r>
    </w:p>
    <w:p>
      <w:pPr>
        <w:pStyle w:val="Bullet1"/>
        <w:spacing w:after="40" w:line="252" w:lineRule="auto"/>
      </w:pPr>
      <w:r>
        <w:rPr>
          <w:rFonts w:ascii="Noto Sans" w:hAnsi="Noto Sans"/>
        </w:rPr>
        <w:t>Private, club, location, corporate and invitation-only participation scopes.</w:t>
      </w:r>
    </w:p>
    <w:p>
      <w:pPr>
        <w:pStyle w:val="Bullet1"/>
        <w:spacing w:after="40" w:line="252" w:lineRule="auto"/>
      </w:pPr>
      <w:r>
        <w:rPr>
          <w:rFonts w:ascii="Noto Sans" w:hAnsi="Noto Sans"/>
        </w:rPr>
        <w:t>Leaderboards with privacy aliases, fair ranking, eligibility and anti-cheat review.</w:t>
      </w:r>
    </w:p>
    <w:p>
      <w:pPr>
        <w:pStyle w:val="Bullet1"/>
        <w:spacing w:after="40" w:line="252" w:lineRule="auto"/>
      </w:pPr>
      <w:r>
        <w:rPr>
          <w:rFonts w:ascii="Noto Sans" w:hAnsi="Noto Sans"/>
        </w:rPr>
        <w:t>Achievements, streaks and milestones based on trusted event sources.</w:t>
      </w:r>
    </w:p>
    <w:p>
      <w:pPr>
        <w:pStyle w:val="Bullet1"/>
        <w:spacing w:after="40" w:line="252" w:lineRule="auto"/>
      </w:pPr>
      <w:r>
        <w:rPr>
          <w:rFonts w:ascii="Noto Sans" w:hAnsi="Noto Sans"/>
        </w:rPr>
        <w:t>Reward rules for attendance, consistency, referrals, renewals, purchases, challenges and coaching milestones.</w:t>
      </w:r>
    </w:p>
    <w:p>
      <w:pPr>
        <w:pStyle w:val="Bullet1"/>
        <w:spacing w:after="40" w:line="252" w:lineRule="auto"/>
      </w:pPr>
      <w:r>
        <w:rPr>
          <w:rFonts w:ascii="Noto Sans" w:hAnsi="Noto Sans"/>
        </w:rPr>
        <w:t>Reward catalog supporting points, wallet credit, guest pass, product, class or privilege.</w:t>
      </w:r>
    </w:p>
    <w:p>
      <w:pPr>
        <w:pStyle w:val="Bullet1"/>
        <w:spacing w:after="40" w:line="252" w:lineRule="auto"/>
      </w:pPr>
      <w:r>
        <w:rPr>
          <w:rFonts w:ascii="Noto Sans" w:hAnsi="Noto Sans"/>
        </w:rPr>
        <w:t>Lightweight posts, announcements, reactions and comments with reporting, blocking and moderation.</w:t>
      </w:r>
    </w:p>
    <w:p>
      <w:pPr>
        <w:pStyle w:val="Bullet1"/>
        <w:spacing w:after="40" w:line="252" w:lineRule="auto"/>
      </w:pPr>
      <w:r>
        <w:rPr>
          <w:rFonts w:ascii="Noto Sans" w:hAnsi="Noto Sans"/>
        </w:rPr>
        <w:t>Fraud, duplicate-event and incentive-abuse controls before reward settlement.</w:t>
      </w:r>
    </w:p>
    <w:p>
      <w:pPr>
        <w:pStyle w:val="Heading3"/>
        <w:keepNext/>
      </w:pPr>
      <w:r>
        <w:t>Critical Controls</w:t>
      </w:r>
    </w:p>
    <w:p>
      <w:pPr>
        <w:pStyle w:val="Bullet1"/>
        <w:spacing w:after="40" w:line="252" w:lineRule="auto"/>
      </w:pPr>
      <w:r>
        <w:rPr>
          <w:rFonts w:ascii="Noto Sans" w:hAnsi="Noto Sans"/>
        </w:rPr>
        <w:t>Participation is optional and privacy defaults are conservative.</w:t>
      </w:r>
    </w:p>
    <w:p>
      <w:pPr>
        <w:pStyle w:val="Bullet1"/>
        <w:spacing w:after="40" w:line="252" w:lineRule="auto"/>
      </w:pPr>
      <w:r>
        <w:rPr>
          <w:rFonts w:ascii="Noto Sans" w:hAnsi="Noto Sans"/>
        </w:rPr>
        <w:t>Health-sensitive metrics are never publicly ranked without explicit design review and consent.</w:t>
      </w:r>
    </w:p>
    <w:p>
      <w:pPr>
        <w:pStyle w:val="Heading3"/>
        <w:keepNext/>
      </w:pPr>
      <w:r>
        <w:t>Required Outcomes</w:t>
      </w:r>
    </w:p>
    <w:p>
      <w:pPr>
        <w:pStyle w:val="Bullet1"/>
        <w:spacing w:after="40" w:line="252" w:lineRule="auto"/>
      </w:pPr>
      <w:r>
        <w:rPr>
          <w:rFonts w:ascii="Noto Sans" w:hAnsi="Noto Sans"/>
        </w:rPr>
        <w:t>Higher consistency and community engagement.</w:t>
      </w:r>
    </w:p>
    <w:p>
      <w:pPr>
        <w:pStyle w:val="Bullet1"/>
        <w:spacing w:after="40" w:line="252" w:lineRule="auto"/>
      </w:pPr>
      <w:r>
        <w:rPr>
          <w:rFonts w:ascii="Noto Sans" w:hAnsi="Noto Sans"/>
        </w:rPr>
        <w:t>Rewards connect measurable behavior to business value.</w:t>
      </w:r>
    </w:p>
    <w:p>
      <w:pPr>
        <w:pStyle w:val="Heading3"/>
        <w:keepNext/>
      </w:pPr>
      <w:r>
        <w:t>Technical Realization Notes</w:t>
      </w:r>
    </w:p>
    <w:p>
      <w:pPr>
        <w:pStyle w:val="Bullet1"/>
        <w:spacing w:after="40" w:line="252" w:lineRule="auto"/>
      </w:pPr>
      <w:r>
        <w:t>Authority &amp; storage: Product PostgreSQL app schema with module-prefixed authoritative tables; no cross-domain write-table access. Authoritative entities/tables are Challenge, Participant, Leaderboard, Achievement, RewardRule, PointsAccount, RewardRedemption, CommunityPost, ModerationCase.</w:t>
      </w:r>
    </w:p>
    <w:p>
      <w:pPr>
        <w:pStyle w:val="Bullet1"/>
        <w:spacing w:after="40" w:line="252" w:lineRule="auto"/>
      </w:pPr>
      <w:r>
        <w:t>Command inventory: CreateChallenge, JoinChallenge, RecordChallengeProgress, AwardAchievement, IssueReward, RedeemReward, ReportContent. Every command declares permission, idempotency, expected aggregate version and transaction boundary.</w:t>
      </w:r>
    </w:p>
    <w:p>
      <w:pPr>
        <w:pStyle w:val="Bullet1"/>
        <w:spacing w:after="40" w:line="252" w:lineRule="auto"/>
      </w:pPr>
      <w:r>
        <w:t>Queries/read models: List/detail and history projections for Challenge, Participant, Leaderboard, Achievement; role/surface-specific attention/summary read models for Member App; Admin Web; Corporate Portal; every projection exposes freshness/version metadata when asynchronously built.</w:t>
      </w:r>
    </w:p>
    <w:p>
      <w:pPr>
        <w:pStyle w:val="Bullet1"/>
      </w:pPr>
      <w:r>
        <w:t>Indexes/concurrency: tenant-leading indexes for primary list/detail paths; unique external/provider identifiers are scoped by tenant/provider; aggregate version supports optimistic concurrency.</w:t>
      </w:r>
    </w:p>
    <w:p>
      <w:pPr>
        <w:pStyle w:val="Bullet1"/>
      </w:pPr>
      <w:r>
        <w:t>Published events: challenge.joined, challenge.progressed, achievement.earned, reward.issued, reward.redeemed, content.reported. Consumed dependencies: DAT-01, COM-04, SEC-02, PPL-01; dependencies are accessed by stable contracts/projections, never direct write-table joins.</w:t>
      </w:r>
    </w:p>
    <w:p>
      <w:pPr>
        <w:pStyle w:val="Bullet1"/>
      </w:pPr>
      <w:r>
        <w:t>Failure/degraded behavior: Provider dispatch is asynchronous and deduped; delivery failure never rewrites the authored message/notification; retry/suppression state is visible.</w:t>
      </w:r>
    </w:p>
    <w:p>
      <w:pPr>
        <w:pStyle w:val="Bullet1"/>
      </w:pPr>
      <w:r>
        <w:t>Security/privacy: classification is enforced at field/resource level; tenant context and authorization are mandatory. Restricted data follows §21 controls; support/break-glass access creates delegated actor evidence.</w:t>
      </w:r>
    </w:p>
    <w:p>
      <w:pPr>
        <w:pStyle w:val="Bullet1"/>
      </w:pPr>
      <w:r>
        <w:t>SLI/SLO: Surface/domain API 99.9% initial target; p95 &lt;500-750 ms by workload; queue/projection freshness per §12.5.</w:t>
      </w:r>
    </w:p>
    <w:p>
      <w:pPr>
        <w:pStyle w:val="Bullet1"/>
      </w:pPr>
      <w:r>
        <w:t>Tests/runbook: invariant/property tests for each state transition; contract tests for APIs/events; tenant isolation negative test where tenant-owned; runbook RB-ENG-03 covers stuck commands, reconciliation, provider/dependency outage and repair without history rewrite.</w:t>
      </w:r>
    </w:p>
    <w:p>
      <w:pPr>
        <w:pStyle w:val="Heading2"/>
        <w:keepNext/>
      </w:pPr>
      <w:r>
        <w:t>10.32 ENG-04 - Member Self-Service, Digital Card &amp; Service Requests</w:t>
      </w:r>
    </w:p>
    <w:tbl>
      <w:tblPr>
        <w:tblStyle w:val="TableGrid"/>
        <w:tblW w:type="dxa" w:w="9684"/>
        <w:jc w:val="center"/>
        <w:tblLayout w:type="autofit"/>
        <w:tblLook w:firstColumn="1" w:firstRow="1" w:lastColumn="0" w:lastRow="0" w:noHBand="0" w:noVBand="1" w:val="04A0"/>
      </w:tblPr>
      <w:tblGrid>
        <w:gridCol w:w="4842"/>
        <w:gridCol w:w="4842"/>
      </w:tblGrid>
      <w:tr>
        <w:trPr>
          <w:tblHeader w:val="true"/>
          <w:tblHeader w:val="true"/>
        </w:trPr>
        <w:tc>
          <w:tcPr>
            <w:tcW w:type="dxa" w:w="219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Attribute</w:t>
            </w:r>
          </w:p>
        </w:tc>
        <w:tc>
          <w:tcPr>
            <w:tcW w:type="dxa" w:w="758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Technical Design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phase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V1 General Availability</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surfaces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Member App; Member Web</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dependencies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COM-01, COM-03, OPS-02, OPS-03, IAM-01</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Authoritative entities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DigitalCard, WalletPass, SelfServiceRequest, RequestPolicy, MemberDocument, DataSubjectRequest</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Key events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wallet_pass.issued, self_service.requested, self_service.approved, payment_method.updated, data_export.requested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store</w:t>
            </w:r>
          </w:p>
        </w:tc>
        <w:tc>
          <w:tcPr>
            <w:tcW w:type="dxa" w:w="7588"/>
            <w:tcMar>
              <w:top w:w="70" w:type="dxa"/>
              <w:start w:w="85" w:type="dxa"/>
              <w:bottom w:w="70" w:type="dxa"/>
              <w:end w:w="85" w:type="dxa"/>
              <w:left w:w="80" w:type="dxa"/>
              <w:right w:w="80" w:type="dxa"/>
            </w:tcMar>
            <w:vAlign w:val="center"/>
          </w:tcPr>
          <w:p>
            <w:r>
              <w:t>Product PostgreSQL app schema with module-prefixed authoritative tables; no cross-domain write-table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Data classification</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Confidential/tenant-scoped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Continuity tier</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Tier 2</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Technical interface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Domain command/query interface; no direct 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Async/workflow contract</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Transactional outbox for state changes; idempotent consumers.</w:t>
            </w:r>
          </w:p>
        </w:tc>
      </w:tr>
      <w:tr>
        <w:tc>
          <w:tcPr>
            <w:tcW w:type="dxa" w:w="4842"/>
            <w:tcMar>
              <w:top w:w="70" w:type="dxa"/>
              <w:left w:w="80" w:type="dxa"/>
              <w:bottom w:w="70" w:type="dxa"/>
              <w:right w:w="80" w:type="dxa"/>
            </w:tcMar>
          </w:tcPr>
          <w:p>
            <w:r>
              <w:t>Implementation slice</w:t>
            </w:r>
          </w:p>
        </w:tc>
        <w:tc>
          <w:tcPr>
            <w:tcW w:type="dxa" w:w="4842"/>
            <w:tcMar>
              <w:top w:w="70" w:type="dxa"/>
              <w:left w:w="80" w:type="dxa"/>
              <w:bottom w:w="70" w:type="dxa"/>
              <w:right w:w="80" w:type="dxa"/>
            </w:tcMar>
          </w:tcPr>
          <w:p>
            <w:r>
              <w:t>Pilot core slice; complete domain depth by V1 GA</w:t>
            </w:r>
          </w:p>
        </w:tc>
      </w:tr>
    </w:tbl>
    <w:p>
      <w:pPr>
        <w:spacing w:after="40"/>
      </w:pPr>
    </w:p>
    <w:p>
      <w:pPr>
        <w:spacing w:after="80" w:line="259" w:lineRule="auto"/>
      </w:pPr>
      <w:r>
        <w:rPr>
          <w:rFonts w:ascii="Noto Sans" w:hAnsi="Noto Sans"/>
        </w:rPr>
        <w:t>Let members safely resolve routine needs without contacting reception while retaining policy, approval and audit.</w:t>
      </w:r>
    </w:p>
    <w:p>
      <w:pPr>
        <w:pStyle w:val="Heading3"/>
        <w:keepNext/>
      </w:pPr>
      <w:r>
        <w:t>Required Capabilities Preserved</w:t>
      </w:r>
    </w:p>
    <w:p>
      <w:pPr>
        <w:pStyle w:val="Bullet1"/>
        <w:spacing w:after="40" w:line="252" w:lineRule="auto"/>
      </w:pPr>
      <w:r>
        <w:rPr>
          <w:rFonts w:ascii="Noto Sans" w:hAnsi="Noto Sans"/>
        </w:rPr>
        <w:t>Digital membership card, QR/NFC credential and wallet pass with live status.</w:t>
      </w:r>
    </w:p>
    <w:p>
      <w:pPr>
        <w:pStyle w:val="Bullet1"/>
        <w:spacing w:after="40" w:line="252" w:lineRule="auto"/>
      </w:pPr>
      <w:r>
        <w:rPr>
          <w:rFonts w:ascii="Noto Sans" w:hAnsi="Noto Sans"/>
        </w:rPr>
        <w:t>Renew, upgrade, downgrade, freeze, resume, cancel or request transfer with transparent effects and fees.</w:t>
      </w:r>
    </w:p>
    <w:p>
      <w:pPr>
        <w:pStyle w:val="Bullet1"/>
        <w:spacing w:after="40" w:line="252" w:lineRule="auto"/>
      </w:pPr>
      <w:r>
        <w:rPr>
          <w:rFonts w:ascii="Noto Sans" w:hAnsi="Noto Sans"/>
        </w:rPr>
        <w:t>Manage payment methods, settle balances, view invoices/receipts/statements and download documents.</w:t>
      </w:r>
    </w:p>
    <w:p>
      <w:pPr>
        <w:pStyle w:val="Bullet1"/>
        <w:spacing w:after="40" w:line="252" w:lineRule="auto"/>
      </w:pPr>
      <w:r>
        <w:rPr>
          <w:rFonts w:ascii="Noto Sans" w:hAnsi="Noto Sans"/>
        </w:rPr>
        <w:t>Buy packages, services, products, guest passes and gift cards.</w:t>
      </w:r>
    </w:p>
    <w:p>
      <w:pPr>
        <w:pStyle w:val="Bullet1"/>
        <w:spacing w:after="40" w:line="252" w:lineRule="auto"/>
      </w:pPr>
      <w:r>
        <w:rPr>
          <w:rFonts w:ascii="Noto Sans" w:hAnsi="Noto Sans"/>
        </w:rPr>
        <w:t>Manage bookings, waitlist, household, dependents, consents, preferences, devices and access methods.</w:t>
      </w:r>
    </w:p>
    <w:p>
      <w:pPr>
        <w:pStyle w:val="Bullet1"/>
        <w:spacing w:after="40" w:line="252" w:lineRule="auto"/>
      </w:pPr>
      <w:r>
        <w:rPr>
          <w:rFonts w:ascii="Noto Sans" w:hAnsi="Noto Sans"/>
        </w:rPr>
        <w:t>Service-request center with status, SLA, required documents, communication and resolution.</w:t>
      </w:r>
    </w:p>
    <w:p>
      <w:pPr>
        <w:pStyle w:val="Bullet1"/>
        <w:spacing w:after="40" w:line="252" w:lineRule="auto"/>
      </w:pPr>
      <w:r>
        <w:rPr>
          <w:rFonts w:ascii="Noto Sans" w:hAnsi="Noto Sans"/>
        </w:rPr>
        <w:t>Export personal data, correct profile information and request account/data deletion where applicable.</w:t>
      </w:r>
    </w:p>
    <w:p>
      <w:pPr>
        <w:pStyle w:val="Heading3"/>
        <w:keepNext/>
      </w:pPr>
      <w:r>
        <w:t>Critical Controls</w:t>
      </w:r>
    </w:p>
    <w:p>
      <w:pPr>
        <w:pStyle w:val="Bullet1"/>
        <w:spacing w:after="40" w:line="252" w:lineRule="auto"/>
      </w:pPr>
      <w:r>
        <w:rPr>
          <w:rFonts w:ascii="Noto Sans" w:hAnsi="Noto Sans"/>
        </w:rPr>
        <w:t>High-impact changes show terms, financial impact and effective date before confirmation.</w:t>
      </w:r>
    </w:p>
    <w:p>
      <w:pPr>
        <w:pStyle w:val="Bullet1"/>
        <w:spacing w:after="40" w:line="252" w:lineRule="auto"/>
      </w:pPr>
      <w:r>
        <w:rPr>
          <w:rFonts w:ascii="Noto Sans" w:hAnsi="Noto Sans"/>
        </w:rPr>
        <w:t>Risky actions require step-up authentication and may require approval.</w:t>
      </w:r>
    </w:p>
    <w:p>
      <w:pPr>
        <w:pStyle w:val="Heading3"/>
        <w:keepNext/>
      </w:pPr>
      <w:r>
        <w:t>Required Outcomes</w:t>
      </w:r>
    </w:p>
    <w:p>
      <w:pPr>
        <w:pStyle w:val="Bullet1"/>
        <w:spacing w:after="40" w:line="252" w:lineRule="auto"/>
      </w:pPr>
      <w:r>
        <w:rPr>
          <w:rFonts w:ascii="Noto Sans" w:hAnsi="Noto Sans"/>
        </w:rPr>
        <w:t>Lower reception workload and faster member resolution.</w:t>
      </w:r>
    </w:p>
    <w:p>
      <w:pPr>
        <w:pStyle w:val="Bullet1"/>
        <w:spacing w:after="40" w:line="252" w:lineRule="auto"/>
      </w:pPr>
      <w:r>
        <w:rPr>
          <w:rFonts w:ascii="Noto Sans" w:hAnsi="Noto Sans"/>
        </w:rPr>
        <w:t>Members retain clear control over identity, billing and privacy.</w:t>
      </w:r>
    </w:p>
    <w:p>
      <w:pPr>
        <w:pStyle w:val="Heading3"/>
        <w:keepNext/>
      </w:pPr>
      <w:r>
        <w:t>Technical Realization Notes</w:t>
      </w:r>
    </w:p>
    <w:p>
      <w:pPr>
        <w:pStyle w:val="Bullet1"/>
        <w:spacing w:after="40" w:line="252" w:lineRule="auto"/>
      </w:pPr>
      <w:r>
        <w:t>Authority &amp; storage: Product PostgreSQL app schema with module-prefixed authoritative tables; no cross-domain write-table access. Authoritative entities/tables are DigitalCard, WalletPass, SelfServiceRequest, RequestPolicy, MemberDocument, DataSubjectRequest.</w:t>
      </w:r>
    </w:p>
    <w:p>
      <w:pPr>
        <w:pStyle w:val="Bullet1"/>
        <w:spacing w:after="40" w:line="252" w:lineRule="auto"/>
      </w:pPr>
      <w:r>
        <w:t>Command inventory: IssueDigitalPass, RequestSelfServiceChange, ApproveSelfServiceChange, UpdatePaymentMethod, RequestDataExport, RevokePass. Every command declares permission, idempotency, expected aggregate version and transaction boundary.</w:t>
      </w:r>
    </w:p>
    <w:p>
      <w:pPr>
        <w:pStyle w:val="Bullet1"/>
        <w:spacing w:after="40" w:line="252" w:lineRule="auto"/>
      </w:pPr>
      <w:r>
        <w:t>Queries/read models: List/detail and history projections for DigitalCard, WalletPass, SelfServiceRequest, RequestPolicy; role/surface-specific attention/summary read models for Member App; Member Web; every projection exposes freshness/version metadata when asynchronously built.</w:t>
      </w:r>
    </w:p>
    <w:p>
      <w:pPr>
        <w:pStyle w:val="Bullet1"/>
      </w:pPr>
      <w:r>
        <w:t>Indexes/concurrency: tenant-leading indexes for primary list/detail paths; unique external/provider identifiers are scoped by tenant/provider; aggregate version supports optimistic concurrency.</w:t>
      </w:r>
    </w:p>
    <w:p>
      <w:pPr>
        <w:pStyle w:val="Bullet1"/>
      </w:pPr>
      <w:r>
        <w:t>Published events: wallet_pass.issued, self_service.requested, self_service.approved, payment_method.updated, data_export.requested. Consumed dependencies: COM-01, COM-03, OPS-02, OPS-03, IAM-01; dependencies are accessed by stable contracts/projections, never direct write-table joins.</w:t>
      </w:r>
    </w:p>
    <w:p>
      <w:pPr>
        <w:pStyle w:val="Bullet1"/>
      </w:pPr>
      <w:r>
        <w:t>Failure/degraded behavior: Provider dispatch is asynchronous and deduped; delivery failure never rewrites the authored message/notification; retry/suppression state is visible.</w:t>
      </w:r>
    </w:p>
    <w:p>
      <w:pPr>
        <w:pStyle w:val="Bullet1"/>
      </w:pPr>
      <w:r>
        <w:t>Security/privacy: classification is enforced at field/resource level; tenant context and authorization are mandatory. Restricted data follows §21 controls; support/break-glass access creates delegated actor evidence.</w:t>
      </w:r>
    </w:p>
    <w:p>
      <w:pPr>
        <w:pStyle w:val="Bullet1"/>
      </w:pPr>
      <w:r>
        <w:t>SLI/SLO: Surface/domain API 99.9% initial target; p95 &lt;500-750 ms by workload; queue/projection freshness per §12.5.</w:t>
      </w:r>
    </w:p>
    <w:p>
      <w:pPr>
        <w:pStyle w:val="Bullet1"/>
      </w:pPr>
      <w:r>
        <w:t>Tests/runbook: invariant/property tests for each state transition; contract tests for APIs/events; tenant isolation negative test where tenant-owned; runbook RB-ENG-04 covers stuck commands, reconciliation, provider/dependency outage and repair without history rewrite.</w:t>
      </w:r>
    </w:p>
    <w:p>
      <w:pPr>
        <w:pStyle w:val="Heading2"/>
        <w:keepNext/>
      </w:pPr>
      <w:r>
        <w:t>10.33 AUT-01 - Automation &amp; Workflow Orchestration</w:t>
      </w:r>
    </w:p>
    <w:tbl>
      <w:tblPr>
        <w:tblStyle w:val="TableGrid"/>
        <w:tblW w:type="dxa" w:w="9684"/>
        <w:jc w:val="center"/>
        <w:tblLayout w:type="autofit"/>
        <w:tblLook w:firstColumn="1" w:firstRow="1" w:lastColumn="0" w:lastRow="0" w:noHBand="0" w:noVBand="1" w:val="04A0"/>
      </w:tblPr>
      <w:tblGrid>
        <w:gridCol w:w="4842"/>
        <w:gridCol w:w="4842"/>
      </w:tblGrid>
      <w:tr>
        <w:trPr>
          <w:tblHeader w:val="true"/>
          <w:tblHeader w:val="true"/>
        </w:trPr>
        <w:tc>
          <w:tcPr>
            <w:tcW w:type="dxa" w:w="219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Attribute</w:t>
            </w:r>
          </w:p>
        </w:tc>
        <w:tc>
          <w:tcPr>
            <w:tcW w:type="dxa" w:w="758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Technical Design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phase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V1.5 Growth</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surfaces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Admin Web; Internal SaaS Console</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dependencies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DAT-01, IAM-03, ENG-02, AUT-02</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Authoritative entities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WorkflowDefinition, WorkflowVersion, Trigger, Condition, Action, WorkflowRun, StepRun, DeadLetter</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Key events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workflow.published, workflow.started, workflow.step.failed, workflow.completed, workflow.replayed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store</w:t>
            </w:r>
          </w:p>
        </w:tc>
        <w:tc>
          <w:tcPr>
            <w:tcW w:type="dxa" w:w="7588"/>
            <w:tcMar>
              <w:top w:w="70" w:type="dxa"/>
              <w:start w:w="85" w:type="dxa"/>
              <w:bottom w:w="70" w:type="dxa"/>
              <w:end w:w="85" w:type="dxa"/>
              <w:left w:w="80" w:type="dxa"/>
              <w:right w:w="80" w:type="dxa"/>
            </w:tcMar>
            <w:vAlign w:val="center"/>
          </w:tcPr>
          <w:p>
            <w:r>
              <w:t>Product PostgreSQL app schema with module-prefixed authoritative tables; no cross-domain write-table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Data classification</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Confidential/tenant-scoped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Continuity tier</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Tier 2</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Technical interface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Domain command/query interface; no direct 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Async/workflow contract</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Transactional outbox for state changes; idempotent consumers. Durable workflow orchestration for multi-step/timer/provider processes.</w:t>
            </w:r>
          </w:p>
        </w:tc>
      </w:tr>
      <w:tr>
        <w:tc>
          <w:tcPr>
            <w:tcW w:type="dxa" w:w="4842"/>
            <w:tcMar>
              <w:top w:w="70" w:type="dxa"/>
              <w:left w:w="80" w:type="dxa"/>
              <w:bottom w:w="70" w:type="dxa"/>
              <w:right w:w="80" w:type="dxa"/>
            </w:tcMar>
          </w:tcPr>
          <w:p>
            <w:r>
              <w:t>Implementation slice</w:t>
            </w:r>
          </w:p>
        </w:tc>
        <w:tc>
          <w:tcPr>
            <w:tcW w:type="dxa" w:w="4842"/>
            <w:tcMar>
              <w:top w:w="70" w:type="dxa"/>
              <w:left w:w="80" w:type="dxa"/>
              <w:bottom w:w="70" w:type="dxa"/>
              <w:right w:w="80" w:type="dxa"/>
            </w:tcMar>
          </w:tcPr>
          <w:p>
            <w:r>
              <w:t>V1.5 Growth</w:t>
            </w:r>
          </w:p>
        </w:tc>
      </w:tr>
    </w:tbl>
    <w:p>
      <w:pPr>
        <w:spacing w:after="40"/>
      </w:pPr>
    </w:p>
    <w:p>
      <w:pPr>
        <w:spacing w:after="80" w:line="259" w:lineRule="auto"/>
      </w:pPr>
      <w:r>
        <w:rPr>
          <w:rFonts w:ascii="Noto Sans" w:hAnsi="Noto Sans"/>
        </w:rPr>
        <w:t>Turn domain events into reliable, explainable and permission-safe multi-step business workflows.</w:t>
      </w:r>
    </w:p>
    <w:p>
      <w:pPr>
        <w:pStyle w:val="Heading3"/>
        <w:keepNext/>
      </w:pPr>
      <w:r>
        <w:t>Required Capabilities Preserved</w:t>
      </w:r>
    </w:p>
    <w:p>
      <w:pPr>
        <w:pStyle w:val="Bullet1"/>
        <w:spacing w:after="40" w:line="252" w:lineRule="auto"/>
      </w:pPr>
      <w:r>
        <w:rPr>
          <w:rFonts w:ascii="Noto Sans" w:hAnsi="Noto Sans"/>
        </w:rPr>
        <w:t>Visual or structured builder using trigger, conditions, branches, waits, actions and stop criteria.</w:t>
      </w:r>
    </w:p>
    <w:p>
      <w:pPr>
        <w:pStyle w:val="Bullet1"/>
        <w:spacing w:after="40" w:line="252" w:lineRule="auto"/>
      </w:pPr>
      <w:r>
        <w:rPr>
          <w:rFonts w:ascii="Noto Sans" w:hAnsi="Noto Sans"/>
        </w:rPr>
        <w:t>Triggers from events, schedules, thresholds, inbound messages, webhooks and manual commands.</w:t>
      </w:r>
    </w:p>
    <w:p>
      <w:pPr>
        <w:pStyle w:val="Bullet1"/>
        <w:spacing w:after="40" w:line="252" w:lineRule="auto"/>
      </w:pPr>
      <w:r>
        <w:rPr>
          <w:rFonts w:ascii="Noto Sans" w:hAnsi="Noto Sans"/>
        </w:rPr>
        <w:t>Actions for notifications, tasks, tags, offers, booking, membership request, webhook, API and AI draft.</w:t>
      </w:r>
    </w:p>
    <w:p>
      <w:pPr>
        <w:pStyle w:val="Bullet1"/>
        <w:spacing w:after="40" w:line="252" w:lineRule="auto"/>
      </w:pPr>
      <w:r>
        <w:rPr>
          <w:rFonts w:ascii="Noto Sans" w:hAnsi="Noto Sans"/>
        </w:rPr>
        <w:t>Tenant-safe execution context, service identity, permission checks and secret references.</w:t>
      </w:r>
    </w:p>
    <w:p>
      <w:pPr>
        <w:pStyle w:val="Bullet1"/>
        <w:spacing w:after="40" w:line="252" w:lineRule="auto"/>
      </w:pPr>
      <w:r>
        <w:rPr>
          <w:rFonts w:ascii="Noto Sans" w:hAnsi="Noto Sans"/>
        </w:rPr>
        <w:t>Idempotency, retries, timeout, compensation, dead-letter queue and manual replay.</w:t>
      </w:r>
    </w:p>
    <w:p>
      <w:pPr>
        <w:pStyle w:val="Bullet1"/>
        <w:spacing w:after="40" w:line="252" w:lineRule="auto"/>
      </w:pPr>
      <w:r>
        <w:rPr>
          <w:rFonts w:ascii="Noto Sans" w:hAnsi="Noto Sans"/>
        </w:rPr>
        <w:t>Versioning, draft/publish, test mode, simulation, impact estimate and rollback.</w:t>
      </w:r>
    </w:p>
    <w:p>
      <w:pPr>
        <w:pStyle w:val="Bullet1"/>
        <w:spacing w:after="40" w:line="252" w:lineRule="auto"/>
      </w:pPr>
      <w:r>
        <w:rPr>
          <w:rFonts w:ascii="Noto Sans" w:hAnsi="Noto Sans"/>
        </w:rPr>
        <w:t>Execution timeline, reason, inputs, outputs, cost, errors and business outcome.</w:t>
      </w:r>
    </w:p>
    <w:p>
      <w:pPr>
        <w:pStyle w:val="Bullet1"/>
        <w:spacing w:after="40" w:line="252" w:lineRule="auto"/>
      </w:pPr>
      <w:r>
        <w:rPr>
          <w:rFonts w:ascii="Noto Sans" w:hAnsi="Noto Sans"/>
        </w:rPr>
        <w:t>Frequency caps and contact governance inherited from notification/communication policy.</w:t>
      </w:r>
    </w:p>
    <w:p>
      <w:pPr>
        <w:pStyle w:val="Heading3"/>
        <w:keepNext/>
      </w:pPr>
      <w:r>
        <w:t>Critical Controls</w:t>
      </w:r>
    </w:p>
    <w:p>
      <w:pPr>
        <w:pStyle w:val="Bullet1"/>
        <w:spacing w:after="40" w:line="252" w:lineRule="auto"/>
      </w:pPr>
      <w:r>
        <w:rPr>
          <w:rFonts w:ascii="Noto Sans" w:hAnsi="Noto Sans"/>
        </w:rPr>
        <w:t>Workflows cannot exceed the privileges of their owner/service identity.</w:t>
      </w:r>
    </w:p>
    <w:p>
      <w:pPr>
        <w:pStyle w:val="Bullet1"/>
        <w:spacing w:after="40" w:line="252" w:lineRule="auto"/>
      </w:pPr>
      <w:r>
        <w:rPr>
          <w:rFonts w:ascii="Noto Sans" w:hAnsi="Noto Sans"/>
        </w:rPr>
        <w:t>Financial, access and health actions require purpose-built guarded actions, not generic mutation.</w:t>
      </w:r>
    </w:p>
    <w:p>
      <w:pPr>
        <w:pStyle w:val="Heading3"/>
        <w:keepNext/>
      </w:pPr>
      <w:r>
        <w:t>Required Outcomes</w:t>
      </w:r>
    </w:p>
    <w:p>
      <w:pPr>
        <w:pStyle w:val="Bullet1"/>
        <w:spacing w:after="40" w:line="252" w:lineRule="auto"/>
      </w:pPr>
      <w:r>
        <w:rPr>
          <w:rFonts w:ascii="Noto Sans" w:hAnsi="Noto Sans"/>
        </w:rPr>
        <w:t>Repeatable operations scale without hidden manual work.</w:t>
      </w:r>
    </w:p>
    <w:p>
      <w:pPr>
        <w:pStyle w:val="Bullet1"/>
        <w:spacing w:after="40" w:line="252" w:lineRule="auto"/>
      </w:pPr>
      <w:r>
        <w:rPr>
          <w:rFonts w:ascii="Noto Sans" w:hAnsi="Noto Sans"/>
        </w:rPr>
        <w:t>Every automated outcome is explainable and recoverable.</w:t>
      </w:r>
    </w:p>
    <w:p>
      <w:pPr>
        <w:pStyle w:val="Heading3"/>
        <w:keepNext/>
      </w:pPr>
      <w:r>
        <w:t>Technical Realization Notes</w:t>
      </w:r>
    </w:p>
    <w:p>
      <w:pPr>
        <w:pStyle w:val="Bullet1"/>
        <w:spacing w:after="40" w:line="252" w:lineRule="auto"/>
      </w:pPr>
      <w:r>
        <w:t>Authority &amp; storage: Product PostgreSQL app schema with module-prefixed authoritative tables; no cross-domain write-table access. Authoritative entities/tables are WorkflowDefinition, WorkflowVersion, Trigger, Condition, Action, WorkflowRun, StepRun, DeadLetter.</w:t>
      </w:r>
    </w:p>
    <w:p>
      <w:pPr>
        <w:pStyle w:val="Bullet1"/>
        <w:spacing w:after="40" w:line="252" w:lineRule="auto"/>
      </w:pPr>
      <w:r>
        <w:t>Command inventory: CreateWorkflowDraft, PublishWorkflow, StartWorkflow, PauseWorkflow, ResumeWorkflow, RetryStep, CancelWorkflow, ReplayWorkflow. Every command declares permission, idempotency, expected aggregate version and transaction boundary.</w:t>
      </w:r>
    </w:p>
    <w:p>
      <w:pPr>
        <w:pStyle w:val="Bullet1"/>
        <w:spacing w:after="40" w:line="252" w:lineRule="auto"/>
      </w:pPr>
      <w:r>
        <w:t>Queries/read models: List/detail and history projections for WorkflowDefinition, WorkflowVersion, Trigger, Condition; role/surface-specific attention/summary read models for Admin Web; Internal SaaS Console; every projection exposes freshness/version metadata when asynchronously built.</w:t>
      </w:r>
    </w:p>
    <w:p>
      <w:pPr>
        <w:pStyle w:val="Bullet1"/>
      </w:pPr>
      <w:r>
        <w:t>Indexes/concurrency: tenant-leading indexes for primary list/detail paths; unique external/provider identifiers are scoped by tenant/provider; aggregate version supports optimistic concurrency.</w:t>
      </w:r>
    </w:p>
    <w:p>
      <w:pPr>
        <w:pStyle w:val="Bullet1"/>
      </w:pPr>
      <w:r>
        <w:t>Published events: workflow.published, workflow.started, workflow.step.failed, workflow.completed, workflow.replayed. Consumed dependencies: DAT-01, IAM-03, ENG-02, AUT-02; dependencies are accessed by stable contracts/projections, never direct write-table joins.</w:t>
      </w:r>
    </w:p>
    <w:p>
      <w:pPr>
        <w:pStyle w:val="Bullet1"/>
      </w:pPr>
      <w:r>
        <w:t>Failure/degraded behavior: Write commands fail atomically; asynchronous effects retry idempotently; stale read models carry freshness and cannot authorize a consequence-bearing mutation beyond budget.</w:t>
      </w:r>
    </w:p>
    <w:p>
      <w:pPr>
        <w:pStyle w:val="Bullet1"/>
      </w:pPr>
      <w:r>
        <w:t>Security/privacy: classification is enforced at field/resource level; tenant context and authorization are mandatory. Restricted data follows §21 controls; support/break-glass access creates delegated actor evidence.</w:t>
      </w:r>
    </w:p>
    <w:p>
      <w:pPr>
        <w:pStyle w:val="Bullet1"/>
      </w:pPr>
      <w:r>
        <w:t>SLI/SLO: Surface/domain API 99.9% initial target; p95 &lt;500-750 ms by workload; queue/projection freshness per §12.5.</w:t>
      </w:r>
    </w:p>
    <w:p>
      <w:pPr>
        <w:pStyle w:val="Bullet1"/>
      </w:pPr>
      <w:r>
        <w:t>Tests/runbook: invariant/property tests for each state transition; contract tests for APIs/events; tenant isolation negative test where tenant-owned; runbook RB-AUT-01 covers stuck commands, reconciliation, provider/dependency outage and repair without history rewrite.</w:t>
      </w:r>
    </w:p>
    <w:p>
      <w:pPr>
        <w:pStyle w:val="Heading2"/>
        <w:keepNext/>
      </w:pPr>
      <w:r>
        <w:t>10.34 AUT-02 - Tasks, Cases, Approvals, SLAs &amp; Escalations</w:t>
      </w:r>
    </w:p>
    <w:tbl>
      <w:tblPr>
        <w:tblStyle w:val="TableGrid"/>
        <w:tblW w:type="dxa" w:w="9684"/>
        <w:jc w:val="center"/>
        <w:tblLayout w:type="autofit"/>
        <w:tblLook w:firstColumn="1" w:firstRow="1" w:lastColumn="0" w:lastRow="0" w:noHBand="0" w:noVBand="1" w:val="04A0"/>
      </w:tblPr>
      <w:tblGrid>
        <w:gridCol w:w="4842"/>
        <w:gridCol w:w="4842"/>
      </w:tblGrid>
      <w:tr>
        <w:trPr>
          <w:tblHeader w:val="true"/>
          <w:tblHeader w:val="true"/>
        </w:trPr>
        <w:tc>
          <w:tcPr>
            <w:tcW w:type="dxa" w:w="219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Attribute</w:t>
            </w:r>
          </w:p>
        </w:tc>
        <w:tc>
          <w:tcPr>
            <w:tcW w:type="dxa" w:w="758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Technical Design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phase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V1 General Availability</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surfaces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Admin Web; Coach App; Internal SaaS Console</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dependencies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IAM-03, PPL-01, ENG-02</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Authoritative entities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Task, TaskTemplate, Case, ApprovalPolicy, ApprovalRequest, ApprovalDecision, SLA, Escalation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Key events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task.created, task.overdue, case.opened, approval.requested, approval.rejected, sla.breached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store</w:t>
            </w:r>
          </w:p>
        </w:tc>
        <w:tc>
          <w:tcPr>
            <w:tcW w:type="dxa" w:w="7588"/>
            <w:tcMar>
              <w:top w:w="70" w:type="dxa"/>
              <w:start w:w="85" w:type="dxa"/>
              <w:bottom w:w="70" w:type="dxa"/>
              <w:end w:w="85" w:type="dxa"/>
              <w:left w:w="80" w:type="dxa"/>
              <w:right w:w="80" w:type="dxa"/>
            </w:tcMar>
            <w:vAlign w:val="center"/>
          </w:tcPr>
          <w:p>
            <w:r>
              <w:t>Product PostgreSQL app schema with module-prefixed authoritative tables; no cross-domain write-table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Data classification</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Confidential/tenant-scoped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Continuity tier</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Tier 2</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Technical interface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Domain command/query interface; no direct 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Async/workflow contract</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Transactional outbox for state changes; idempotent consumers. Durable workflow orchestration for multi-step/timer/provider processes.</w:t>
            </w:r>
          </w:p>
        </w:tc>
      </w:tr>
      <w:tr>
        <w:tc>
          <w:tcPr>
            <w:tcW w:type="dxa" w:w="4842"/>
            <w:tcMar>
              <w:top w:w="70" w:type="dxa"/>
              <w:left w:w="80" w:type="dxa"/>
              <w:bottom w:w="70" w:type="dxa"/>
              <w:right w:w="80" w:type="dxa"/>
            </w:tcMar>
          </w:tcPr>
          <w:p>
            <w:r>
              <w:t>Implementation slice</w:t>
            </w:r>
          </w:p>
        </w:tc>
        <w:tc>
          <w:tcPr>
            <w:tcW w:type="dxa" w:w="4842"/>
            <w:tcMar>
              <w:top w:w="70" w:type="dxa"/>
              <w:left w:w="80" w:type="dxa"/>
              <w:bottom w:w="70" w:type="dxa"/>
              <w:right w:w="80" w:type="dxa"/>
            </w:tcMar>
          </w:tcPr>
          <w:p>
            <w:r>
              <w:t>V1 General Availability</w:t>
            </w:r>
          </w:p>
        </w:tc>
      </w:tr>
    </w:tbl>
    <w:p>
      <w:pPr>
        <w:spacing w:after="40"/>
      </w:pPr>
    </w:p>
    <w:p>
      <w:pPr>
        <w:spacing w:after="80" w:line="259" w:lineRule="auto"/>
      </w:pPr>
      <w:r>
        <w:rPr>
          <w:rFonts w:ascii="Noto Sans" w:hAnsi="Noto Sans"/>
        </w:rPr>
        <w:t>Provide accountable human work management for exceptions, decisions, follow-ups and regulated actions.</w:t>
      </w:r>
    </w:p>
    <w:p>
      <w:pPr>
        <w:pStyle w:val="Heading3"/>
        <w:keepNext/>
      </w:pPr>
      <w:r>
        <w:t>Required Capabilities Preserved</w:t>
      </w:r>
    </w:p>
    <w:p>
      <w:pPr>
        <w:pStyle w:val="Bullet1"/>
        <w:spacing w:after="40" w:line="252" w:lineRule="auto"/>
      </w:pPr>
      <w:r>
        <w:rPr>
          <w:rFonts w:ascii="Noto Sans" w:hAnsi="Noto Sans"/>
        </w:rPr>
        <w:t>Tasks linked to member, lead, tenant, invoice, incident, device, booking, asset or workflow.</w:t>
      </w:r>
    </w:p>
    <w:p>
      <w:pPr>
        <w:pStyle w:val="Bullet1"/>
        <w:spacing w:after="40" w:line="252" w:lineRule="auto"/>
      </w:pPr>
      <w:r>
        <w:rPr>
          <w:rFonts w:ascii="Noto Sans" w:hAnsi="Noto Sans"/>
        </w:rPr>
        <w:t>Assignee, team queue, priority, due date, checklist, evidence, dependency and status.</w:t>
      </w:r>
    </w:p>
    <w:p>
      <w:pPr>
        <w:pStyle w:val="Bullet1"/>
        <w:spacing w:after="40" w:line="252" w:lineRule="auto"/>
      </w:pPr>
      <w:r>
        <w:rPr>
          <w:rFonts w:ascii="Noto Sans" w:hAnsi="Noto Sans"/>
        </w:rPr>
        <w:t>Case container for multi-step problems with communication, timeline, documents and resolution reason.</w:t>
      </w:r>
    </w:p>
    <w:p>
      <w:pPr>
        <w:pStyle w:val="Bullet1"/>
        <w:spacing w:after="40" w:line="252" w:lineRule="auto"/>
      </w:pPr>
      <w:r>
        <w:rPr>
          <w:rFonts w:ascii="Noto Sans" w:hAnsi="Noto Sans"/>
        </w:rPr>
        <w:t>Approval policies for refunds, discounts, price overrides, payroll, access exceptions, data export and deletion.</w:t>
      </w:r>
    </w:p>
    <w:p>
      <w:pPr>
        <w:pStyle w:val="Bullet1"/>
        <w:spacing w:after="40" w:line="252" w:lineRule="auto"/>
      </w:pPr>
      <w:r>
        <w:rPr>
          <w:rFonts w:ascii="Noto Sans" w:hAnsi="Noto Sans"/>
        </w:rPr>
        <w:t>Sequential, parallel, quorum and amount-based approvals with delegation and expiry.</w:t>
      </w:r>
    </w:p>
    <w:p>
      <w:pPr>
        <w:pStyle w:val="Bullet1"/>
        <w:spacing w:after="40" w:line="252" w:lineRule="auto"/>
      </w:pPr>
      <w:r>
        <w:rPr>
          <w:rFonts w:ascii="Noto Sans" w:hAnsi="Noto Sans"/>
        </w:rPr>
        <w:t>SLA clocks, business hours, pause reasons, breach warning and escalation routes.</w:t>
      </w:r>
    </w:p>
    <w:p>
      <w:pPr>
        <w:pStyle w:val="Bullet1"/>
        <w:spacing w:after="40" w:line="252" w:lineRule="auto"/>
      </w:pPr>
      <w:r>
        <w:rPr>
          <w:rFonts w:ascii="Noto Sans" w:hAnsi="Noto Sans"/>
        </w:rPr>
        <w:t>Workload, aging, bottleneck, outcome and compliance reporting.</w:t>
      </w:r>
    </w:p>
    <w:p>
      <w:pPr>
        <w:pStyle w:val="Heading3"/>
        <w:keepNext/>
      </w:pPr>
      <w:r>
        <w:t>Critical Controls</w:t>
      </w:r>
    </w:p>
    <w:p>
      <w:pPr>
        <w:pStyle w:val="Bullet1"/>
        <w:spacing w:after="40" w:line="252" w:lineRule="auto"/>
      </w:pPr>
      <w:r>
        <w:rPr>
          <w:rFonts w:ascii="Noto Sans" w:hAnsi="Noto Sans"/>
        </w:rPr>
        <w:t>Approvers cannot approve their own restricted actions unless explicit emergency policy applies.</w:t>
      </w:r>
    </w:p>
    <w:p>
      <w:pPr>
        <w:pStyle w:val="Bullet1"/>
        <w:spacing w:after="40" w:line="252" w:lineRule="auto"/>
      </w:pPr>
      <w:r>
        <w:rPr>
          <w:rFonts w:ascii="Noto Sans" w:hAnsi="Noto Sans"/>
        </w:rPr>
        <w:t>SLA calculation is time-zone and business-calendar aware.</w:t>
      </w:r>
    </w:p>
    <w:p>
      <w:pPr>
        <w:pStyle w:val="Heading3"/>
        <w:keepNext/>
      </w:pPr>
      <w:r>
        <w:t>Required Outcomes</w:t>
      </w:r>
    </w:p>
    <w:p>
      <w:pPr>
        <w:pStyle w:val="Bullet1"/>
        <w:spacing w:after="40" w:line="252" w:lineRule="auto"/>
      </w:pPr>
      <w:r>
        <w:rPr>
          <w:rFonts w:ascii="Noto Sans" w:hAnsi="Noto Sans"/>
        </w:rPr>
        <w:t>Exceptions have clear ownership and do not disappear in messages.</w:t>
      </w:r>
    </w:p>
    <w:p>
      <w:pPr>
        <w:pStyle w:val="Bullet1"/>
        <w:spacing w:after="40" w:line="252" w:lineRule="auto"/>
      </w:pPr>
      <w:r>
        <w:rPr>
          <w:rFonts w:ascii="Noto Sans" w:hAnsi="Noto Sans"/>
        </w:rPr>
        <w:t>High-risk actions are controlled without blocking routine work.</w:t>
      </w:r>
    </w:p>
    <w:p>
      <w:pPr>
        <w:pStyle w:val="Heading3"/>
        <w:keepNext/>
      </w:pPr>
      <w:r>
        <w:t>Technical Realization Notes</w:t>
      </w:r>
    </w:p>
    <w:p>
      <w:pPr>
        <w:pStyle w:val="Bullet1"/>
        <w:spacing w:after="40" w:line="252" w:lineRule="auto"/>
      </w:pPr>
      <w:r>
        <w:t>Authority &amp; storage: Product PostgreSQL app schema with module-prefixed authoritative tables; no cross-domain write-table access. Authoritative entities/tables are Task, TaskTemplate, Case, ApprovalPolicy, ApprovalRequest, ApprovalDecision, SLA, Escalation.</w:t>
      </w:r>
    </w:p>
    <w:p>
      <w:pPr>
        <w:pStyle w:val="Bullet1"/>
        <w:spacing w:after="40" w:line="252" w:lineRule="auto"/>
      </w:pPr>
      <w:r>
        <w:t>Command inventory: CreateTask, AssignTask, CompleteTask, OpenCase, RequestApproval, DecideApproval, EscalateSLA, CloseCase. Every command declares permission, idempotency, expected aggregate version and transaction boundary.</w:t>
      </w:r>
    </w:p>
    <w:p>
      <w:pPr>
        <w:pStyle w:val="Bullet1"/>
        <w:spacing w:after="40" w:line="252" w:lineRule="auto"/>
      </w:pPr>
      <w:r>
        <w:t>Queries/read models: List/detail and history projections for Task, TaskTemplate, Case, ApprovalPolicy; role/surface-specific attention/summary read models for Admin Web; Coach App; Internal SaaS Console; every projection exposes freshness/version metadata when asynchronously built.</w:t>
      </w:r>
    </w:p>
    <w:p>
      <w:pPr>
        <w:pStyle w:val="Bullet1"/>
      </w:pPr>
      <w:r>
        <w:t>Indexes/concurrency: tenant-leading indexes for primary list/detail paths; unique external/provider identifiers are scoped by tenant/provider; aggregate version supports optimistic concurrency.</w:t>
      </w:r>
    </w:p>
    <w:p>
      <w:pPr>
        <w:pStyle w:val="Bullet1"/>
      </w:pPr>
      <w:r>
        <w:t>Published events: task.created, task.overdue, case.opened, approval.requested, approval.rejected, sla.breached. Consumed dependencies: IAM-03, PPL-01, ENG-02; dependencies are accessed by stable contracts/projections, never direct write-table joins.</w:t>
      </w:r>
    </w:p>
    <w:p>
      <w:pPr>
        <w:pStyle w:val="Bullet1"/>
      </w:pPr>
      <w:r>
        <w:t>Failure/degraded behavior: Write commands fail atomically; asynchronous effects retry idempotently; stale read models carry freshness and cannot authorize a consequence-bearing mutation beyond budget.</w:t>
      </w:r>
    </w:p>
    <w:p>
      <w:pPr>
        <w:pStyle w:val="Bullet1"/>
      </w:pPr>
      <w:r>
        <w:t>Security/privacy: classification is enforced at field/resource level; tenant context and authorization are mandatory. Restricted data follows §21 controls; support/break-glass access creates delegated actor evidence.</w:t>
      </w:r>
    </w:p>
    <w:p>
      <w:pPr>
        <w:pStyle w:val="Bullet1"/>
      </w:pPr>
      <w:r>
        <w:t>SLI/SLO: Surface/domain API 99.9% initial target; p95 &lt;500-750 ms by workload; queue/projection freshness per §12.5.</w:t>
      </w:r>
    </w:p>
    <w:p>
      <w:pPr>
        <w:pStyle w:val="Bullet1"/>
      </w:pPr>
      <w:r>
        <w:t>Tests/runbook: invariant/property tests for each state transition; contract tests for APIs/events; tenant isolation negative test where tenant-owned; runbook RB-AUT-02 covers stuck commands, reconciliation, provider/dependency outage and repair without history rewrite.</w:t>
      </w:r>
    </w:p>
    <w:p>
      <w:pPr>
        <w:pStyle w:val="Heading2"/>
        <w:keepNext/>
      </w:pPr>
      <w:r>
        <w:t>10.35 INT-01 - Operational Analytics, BI, Forecasting &amp; Benchmarking</w:t>
      </w:r>
    </w:p>
    <w:tbl>
      <w:tblPr>
        <w:tblStyle w:val="TableGrid"/>
        <w:tblW w:type="dxa" w:w="9684"/>
        <w:jc w:val="center"/>
        <w:tblLayout w:type="autofit"/>
        <w:tblLook w:firstColumn="1" w:firstRow="1" w:lastColumn="0" w:lastRow="0" w:noHBand="0" w:noVBand="1" w:val="04A0"/>
      </w:tblPr>
      <w:tblGrid>
        <w:gridCol w:w="4842"/>
        <w:gridCol w:w="4842"/>
      </w:tblGrid>
      <w:tr>
        <w:trPr>
          <w:tblHeader w:val="true"/>
          <w:tblHeader w:val="true"/>
        </w:trPr>
        <w:tc>
          <w:tcPr>
            <w:tcW w:type="dxa" w:w="219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Attribute</w:t>
            </w:r>
          </w:p>
        </w:tc>
        <w:tc>
          <w:tcPr>
            <w:tcW w:type="dxa" w:w="758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Technical Design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phase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V1.5 Growth</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surfaces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Admin Web; Coach App; Internal SaaS Console</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dependencies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DAT-01, DAT-02, IAM-03</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Authoritative entities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MetricDefinition, Dimension, Fact, Dashboard, Report, Forecast, Target, BenchmarkCohort, Anomaly</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Key events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metric.updated, anomaly.detected, forecast.generated, target.missed, report.delivered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store</w:t>
            </w:r>
          </w:p>
        </w:tc>
        <w:tc>
          <w:tcPr>
            <w:tcW w:type="dxa" w:w="7588"/>
            <w:tcMar>
              <w:top w:w="70" w:type="dxa"/>
              <w:start w:w="85" w:type="dxa"/>
              <w:bottom w:w="70" w:type="dxa"/>
              <w:end w:w="85" w:type="dxa"/>
              <w:left w:w="80" w:type="dxa"/>
              <w:right w:w="80" w:type="dxa"/>
            </w:tcMar>
            <w:vAlign w:val="center"/>
          </w:tcPr>
          <w:p>
            <w:r>
              <w:t>Product PostgreSQL app schema with module-prefixed authoritative tables; no cross-domain write-table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Data classification</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Confidential/tenant-scoped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Continuity tier</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Tier 3</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Technical interface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Domain command/query interface; no direct 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Async/workflow contract</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Transactional outbox for state changes; idempotent consumers.</w:t>
            </w:r>
          </w:p>
        </w:tc>
      </w:tr>
      <w:tr>
        <w:tc>
          <w:tcPr>
            <w:tcW w:type="dxa" w:w="4842"/>
            <w:tcMar>
              <w:top w:w="70" w:type="dxa"/>
              <w:left w:w="80" w:type="dxa"/>
              <w:bottom w:w="70" w:type="dxa"/>
              <w:right w:w="80" w:type="dxa"/>
            </w:tcMar>
          </w:tcPr>
          <w:p>
            <w:r>
              <w:t>Implementation slice</w:t>
            </w:r>
          </w:p>
        </w:tc>
        <w:tc>
          <w:tcPr>
            <w:tcW w:type="dxa" w:w="4842"/>
            <w:tcMar>
              <w:top w:w="70" w:type="dxa"/>
              <w:left w:w="80" w:type="dxa"/>
              <w:bottom w:w="70" w:type="dxa"/>
              <w:right w:w="80" w:type="dxa"/>
            </w:tcMar>
          </w:tcPr>
          <w:p>
            <w:r>
              <w:t>Pilot basic operational read models; V1.5 advanced analytics/forecasting</w:t>
            </w:r>
          </w:p>
        </w:tc>
      </w:tr>
    </w:tbl>
    <w:p>
      <w:pPr>
        <w:spacing w:after="40"/>
      </w:pPr>
    </w:p>
    <w:p>
      <w:pPr>
        <w:spacing w:after="80" w:line="259" w:lineRule="auto"/>
      </w:pPr>
      <w:r>
        <w:rPr>
          <w:rFonts w:ascii="Noto Sans" w:hAnsi="Noto Sans"/>
        </w:rPr>
        <w:t>Explain what happened, why it happened, what is likely next and what action should be considered.</w:t>
      </w:r>
    </w:p>
    <w:p>
      <w:pPr>
        <w:pStyle w:val="Heading3"/>
        <w:keepNext/>
      </w:pPr>
      <w:r>
        <w:t>Required Capabilities Preserved</w:t>
      </w:r>
    </w:p>
    <w:p>
      <w:pPr>
        <w:pStyle w:val="Bullet1"/>
        <w:spacing w:after="40" w:line="252" w:lineRule="auto"/>
      </w:pPr>
      <w:r>
        <w:rPr>
          <w:rFonts w:ascii="Noto Sans" w:hAnsi="Noto Sans"/>
        </w:rPr>
        <w:t>Role-specific scorecards for owner, region, club, sales, finance, coaching, operations and customer success.</w:t>
      </w:r>
    </w:p>
    <w:p>
      <w:pPr>
        <w:pStyle w:val="Bullet1"/>
        <w:spacing w:after="40" w:line="252" w:lineRule="auto"/>
      </w:pPr>
      <w:r>
        <w:rPr>
          <w:rFonts w:ascii="Noto Sans" w:hAnsi="Noto Sans"/>
        </w:rPr>
        <w:t>Metric semantic layer with definition, owner, grain, source, freshness and tenant-safe access.</w:t>
      </w:r>
    </w:p>
    <w:p>
      <w:pPr>
        <w:pStyle w:val="Bullet1"/>
        <w:spacing w:after="40" w:line="252" w:lineRule="auto"/>
      </w:pPr>
      <w:r>
        <w:rPr>
          <w:rFonts w:ascii="Noto Sans" w:hAnsi="Noto Sans"/>
        </w:rPr>
        <w:t>Revenue, collections, membership, retention, attendance, booking, PT, nutrition, POS, inventory, staff and NPS analytics.</w:t>
      </w:r>
    </w:p>
    <w:p>
      <w:pPr>
        <w:pStyle w:val="Bullet1"/>
        <w:spacing w:after="40" w:line="252" w:lineRule="auto"/>
      </w:pPr>
      <w:r>
        <w:rPr>
          <w:rFonts w:ascii="Noto Sans" w:hAnsi="Noto Sans"/>
        </w:rPr>
        <w:t>Drill from KPI to cohort, location, segment and permission-aware underlying records.</w:t>
      </w:r>
    </w:p>
    <w:p>
      <w:pPr>
        <w:pStyle w:val="Bullet1"/>
        <w:spacing w:after="40" w:line="252" w:lineRule="auto"/>
      </w:pPr>
      <w:r>
        <w:rPr>
          <w:rFonts w:ascii="Noto Sans" w:hAnsi="Noto Sans"/>
        </w:rPr>
        <w:t>Variance explanations, anomaly detection, forecasts, targets and scenario comparisons.</w:t>
      </w:r>
    </w:p>
    <w:p>
      <w:pPr>
        <w:pStyle w:val="Bullet1"/>
        <w:spacing w:after="40" w:line="252" w:lineRule="auto"/>
      </w:pPr>
      <w:r>
        <w:rPr>
          <w:rFonts w:ascii="Noto Sans" w:hAnsi="Noto Sans"/>
        </w:rPr>
        <w:t>Benchmarking across a chain and optional privacy-preserving industry cohorts.</w:t>
      </w:r>
    </w:p>
    <w:p>
      <w:pPr>
        <w:pStyle w:val="Bullet1"/>
        <w:spacing w:after="40" w:line="252" w:lineRule="auto"/>
      </w:pPr>
      <w:r>
        <w:rPr>
          <w:rFonts w:ascii="Noto Sans" w:hAnsi="Noto Sans"/>
        </w:rPr>
        <w:t>Scheduled reports, exports, alerts and embedded analytics.</w:t>
      </w:r>
    </w:p>
    <w:p>
      <w:pPr>
        <w:pStyle w:val="Bullet1"/>
        <w:spacing w:after="40" w:line="252" w:lineRule="auto"/>
      </w:pPr>
      <w:r>
        <w:rPr>
          <w:rFonts w:ascii="Noto Sans" w:hAnsi="Noto Sans"/>
        </w:rPr>
        <w:t>Data quality, freshness and completeness indicators displayed with decisions.</w:t>
      </w:r>
    </w:p>
    <w:p>
      <w:pPr>
        <w:pStyle w:val="Heading3"/>
        <w:keepNext/>
      </w:pPr>
      <w:r>
        <w:t>Critical Controls</w:t>
      </w:r>
    </w:p>
    <w:p>
      <w:pPr>
        <w:pStyle w:val="Bullet1"/>
        <w:spacing w:after="40" w:line="252" w:lineRule="auto"/>
      </w:pPr>
      <w:r>
        <w:rPr>
          <w:rFonts w:ascii="Noto Sans" w:hAnsi="Noto Sans"/>
        </w:rPr>
        <w:t>Metric definitions are governed and cannot differ silently across dashboards.</w:t>
      </w:r>
    </w:p>
    <w:p>
      <w:pPr>
        <w:pStyle w:val="Bullet1"/>
        <w:spacing w:after="40" w:line="252" w:lineRule="auto"/>
      </w:pPr>
      <w:r>
        <w:rPr>
          <w:rFonts w:ascii="Noto Sans" w:hAnsi="Noto Sans"/>
        </w:rPr>
        <w:t>Small cohorts and sensitive attributes are protected from re-identification.</w:t>
      </w:r>
    </w:p>
    <w:p>
      <w:pPr>
        <w:pStyle w:val="Heading3"/>
        <w:keepNext/>
      </w:pPr>
      <w:r>
        <w:t>Required Outcomes</w:t>
      </w:r>
    </w:p>
    <w:p>
      <w:pPr>
        <w:pStyle w:val="Bullet1"/>
        <w:spacing w:after="40" w:line="252" w:lineRule="auto"/>
      </w:pPr>
      <w:r>
        <w:rPr>
          <w:rFonts w:ascii="Noto Sans" w:hAnsi="Noto Sans"/>
        </w:rPr>
        <w:t>Leaders act on explanations and exceptions, not exported spreadsheets.</w:t>
      </w:r>
    </w:p>
    <w:p>
      <w:pPr>
        <w:pStyle w:val="Bullet1"/>
        <w:spacing w:after="40" w:line="252" w:lineRule="auto"/>
      </w:pPr>
      <w:r>
        <w:rPr>
          <w:rFonts w:ascii="Noto Sans" w:hAnsi="Noto Sans"/>
        </w:rPr>
        <w:t>Forecasts show uncertainty and improve through measured feedback.</w:t>
      </w:r>
    </w:p>
    <w:p>
      <w:pPr>
        <w:pStyle w:val="Heading3"/>
        <w:keepNext/>
      </w:pPr>
      <w:r>
        <w:t>Technical Realization Notes</w:t>
      </w:r>
    </w:p>
    <w:p>
      <w:pPr>
        <w:pStyle w:val="Bullet1"/>
        <w:spacing w:after="40" w:line="252" w:lineRule="auto"/>
      </w:pPr>
      <w:r>
        <w:t>Authority &amp; storage: Product PostgreSQL app schema with module-prefixed authoritative tables; no cross-domain write-table access. Authoritative entities/tables are MetricDefinition, Dimension, Fact, Dashboard, Report, Forecast, Target, BenchmarkCohort, Anomaly.</w:t>
      </w:r>
    </w:p>
    <w:p>
      <w:pPr>
        <w:pStyle w:val="Bullet1"/>
        <w:spacing w:after="40" w:line="252" w:lineRule="auto"/>
      </w:pPr>
      <w:r>
        <w:t>Command inventory: DefineMetric, ComputeMetric, DetectAnomaly, GenerateForecast, SetTarget, PublishReport, CreateBenchmark. Every command declares permission, idempotency, expected aggregate version and transaction boundary.</w:t>
      </w:r>
    </w:p>
    <w:p>
      <w:pPr>
        <w:pStyle w:val="Bullet1"/>
        <w:spacing w:after="40" w:line="252" w:lineRule="auto"/>
      </w:pPr>
      <w:r>
        <w:t>Queries/read models: List/detail and history projections for MetricDefinition, Dimension, Fact, Dashboard; role/surface-specific attention/summary read models for Admin Web; Coach App; Internal SaaS Console; every projection exposes freshness/version metadata when asynchronously built.</w:t>
      </w:r>
    </w:p>
    <w:p>
      <w:pPr>
        <w:pStyle w:val="Bullet1"/>
      </w:pPr>
      <w:r>
        <w:t>Indexes/concurrency: tenant-leading indexes for primary list/detail paths; unique external/provider identifiers are scoped by tenant/provider; aggregate version supports optimistic concurrency.</w:t>
      </w:r>
    </w:p>
    <w:p>
      <w:pPr>
        <w:pStyle w:val="Bullet1"/>
      </w:pPr>
      <w:r>
        <w:t>Published events: metric.updated, anomaly.detected, forecast.generated, target.missed, report.delivered. Consumed dependencies: DAT-01, DAT-02, IAM-03; dependencies are accessed by stable contracts/projections, never direct write-table joins.</w:t>
      </w:r>
    </w:p>
    <w:p>
      <w:pPr>
        <w:pStyle w:val="Bullet1"/>
      </w:pPr>
      <w:r>
        <w:t>Failure/degraded behavior: Stale/low-quality projections are labelled and may not authorize mutations; AI/analytics failure degrades to deterministic product behavior.</w:t>
      </w:r>
    </w:p>
    <w:p>
      <w:pPr>
        <w:pStyle w:val="Bullet1"/>
      </w:pPr>
      <w:r>
        <w:t>Security/privacy: classification is enforced at field/resource level; tenant context and authorization are mandatory. Restricted data follows §21 controls; support/break-glass access creates delegated actor evidence.</w:t>
      </w:r>
    </w:p>
    <w:p>
      <w:pPr>
        <w:pStyle w:val="Bullet1"/>
      </w:pPr>
      <w:r>
        <w:t>SLI/SLO: Surface/domain API 99.9% initial target; p95 &lt;500-750 ms by workload; queue/projection freshness per §12.5.</w:t>
      </w:r>
    </w:p>
    <w:p>
      <w:pPr>
        <w:pStyle w:val="Bullet1"/>
      </w:pPr>
      <w:r>
        <w:t>Tests/runbook: invariant/property tests for each state transition; contract tests for APIs/events; tenant isolation negative test where tenant-owned; runbook RB-INT-01 covers stuck commands, reconciliation, provider/dependency outage and repair without history rewrite.</w:t>
      </w:r>
    </w:p>
    <w:p>
      <w:pPr>
        <w:pStyle w:val="Heading2"/>
        <w:keepNext/>
      </w:pPr>
      <w:r>
        <w:t>10.36 INT-02 - AI Platform, Copilots, Agents &amp; Governance</w:t>
      </w:r>
    </w:p>
    <w:tbl>
      <w:tblPr>
        <w:tblStyle w:val="TableGrid"/>
        <w:tblW w:type="dxa" w:w="9684"/>
        <w:jc w:val="center"/>
        <w:tblLayout w:type="autofit"/>
        <w:tblLook w:firstColumn="1" w:firstRow="1" w:lastColumn="0" w:lastRow="0" w:noHBand="0" w:noVBand="1" w:val="04A0"/>
      </w:tblPr>
      <w:tblGrid>
        <w:gridCol w:w="4842"/>
        <w:gridCol w:w="4842"/>
      </w:tblGrid>
      <w:tr>
        <w:trPr>
          <w:tblHeader w:val="true"/>
          <w:tblHeader w:val="true"/>
        </w:trPr>
        <w:tc>
          <w:tcPr>
            <w:tcW w:type="dxa" w:w="219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Attribute</w:t>
            </w:r>
          </w:p>
        </w:tc>
        <w:tc>
          <w:tcPr>
            <w:tcW w:type="dxa" w:w="758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Technical Design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phase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V1.5 Growth</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surfaces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All Product Surfaces; Internal SaaS Console</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dependencies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IAM-03, DAT-01, DAT-02, AUT-02, SEC-01</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Authoritative entities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AIUseCase, PromptVersion, ModelRoute, AIConversation, AIMessage, ToolDefinition, ToolRun, Evaluation, SafetyPolicy, AIBudget</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Key events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ai.requested, ai.response.generated, ai.tool.proposed, ai.tool.approved, ai.tool.executed, ai.safety.blocked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store</w:t>
            </w:r>
          </w:p>
        </w:tc>
        <w:tc>
          <w:tcPr>
            <w:tcW w:type="dxa" w:w="7588"/>
            <w:tcMar>
              <w:top w:w="70" w:type="dxa"/>
              <w:start w:w="85" w:type="dxa"/>
              <w:bottom w:w="70" w:type="dxa"/>
              <w:end w:w="85" w:type="dxa"/>
              <w:left w:w="80" w:type="dxa"/>
              <w:right w:w="80" w:type="dxa"/>
            </w:tcMar>
            <w:vAlign w:val="center"/>
          </w:tcPr>
          <w:p>
            <w:r>
              <w:t>Product PostgreSQL app schema with module-prefixed authoritative tables; no cross-domain write-table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Data classification</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Confidential/tenant-scoped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Continuity tier</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Tier 3</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Technical interface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Domain command/query interface; no direct 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Async/workflow contract</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Transactional outbox for state changes; idempotent consumers. Durable workflow orchestration for multi-step/timer/provider processes.</w:t>
            </w:r>
          </w:p>
        </w:tc>
      </w:tr>
      <w:tr>
        <w:tc>
          <w:tcPr>
            <w:tcW w:type="dxa" w:w="4842"/>
            <w:tcMar>
              <w:top w:w="70" w:type="dxa"/>
              <w:left w:w="80" w:type="dxa"/>
              <w:bottom w:w="70" w:type="dxa"/>
              <w:right w:w="80" w:type="dxa"/>
            </w:tcMar>
          </w:tcPr>
          <w:p>
            <w:r>
              <w:t>Implementation slice</w:t>
            </w:r>
          </w:p>
        </w:tc>
        <w:tc>
          <w:tcPr>
            <w:tcW w:type="dxa" w:w="4842"/>
            <w:tcMar>
              <w:top w:w="70" w:type="dxa"/>
              <w:left w:w="80" w:type="dxa"/>
              <w:bottom w:w="70" w:type="dxa"/>
              <w:right w:w="80" w:type="dxa"/>
            </w:tcMar>
          </w:tcPr>
          <w:p>
            <w:r>
              <w:t>V1.5 Growth</w:t>
            </w:r>
          </w:p>
        </w:tc>
      </w:tr>
    </w:tbl>
    <w:p>
      <w:pPr>
        <w:spacing w:after="40"/>
      </w:pPr>
    </w:p>
    <w:p>
      <w:pPr>
        <w:spacing w:after="80" w:line="259" w:lineRule="auto"/>
      </w:pPr>
      <w:r>
        <w:rPr>
          <w:rFonts w:ascii="Noto Sans" w:hAnsi="Noto Sans"/>
        </w:rPr>
        <w:t>Make the entire Veyro AI-native while keeping data isolation, safety, cost and human accountability explicit.</w:t>
      </w:r>
    </w:p>
    <w:p>
      <w:pPr>
        <w:pStyle w:val="Heading3"/>
        <w:keepNext/>
      </w:pPr>
      <w:r>
        <w:t>Required Capabilities Preserved</w:t>
      </w:r>
    </w:p>
    <w:p>
      <w:pPr>
        <w:pStyle w:val="Bullet1"/>
        <w:spacing w:after="40" w:line="252" w:lineRule="auto"/>
      </w:pPr>
      <w:r>
        <w:rPr>
          <w:rFonts w:ascii="Noto Sans" w:hAnsi="Noto Sans"/>
        </w:rPr>
        <w:t>Admin Copilot for business questions, explanations, prioritized actions, draft campaigns and guarded execution.</w:t>
      </w:r>
    </w:p>
    <w:p>
      <w:pPr>
        <w:pStyle w:val="Bullet1"/>
        <w:spacing w:after="40" w:line="252" w:lineRule="auto"/>
      </w:pPr>
      <w:r>
        <w:rPr>
          <w:rFonts w:ascii="Noto Sans" w:hAnsi="Noto Sans"/>
        </w:rPr>
        <w:t>Sales Copilot for lead prioritization, conversation summary, next action, objection help and follow-up draft.</w:t>
      </w:r>
    </w:p>
    <w:p>
      <w:pPr>
        <w:pStyle w:val="Bullet1"/>
        <w:spacing w:after="40" w:line="252" w:lineRule="auto"/>
      </w:pPr>
      <w:r>
        <w:rPr>
          <w:rFonts w:ascii="Noto Sans" w:hAnsi="Noto Sans"/>
        </w:rPr>
        <w:t>Coach Copilot for attention list, program/nutrition draft, adaptation, review summary and client message.</w:t>
      </w:r>
    </w:p>
    <w:p>
      <w:pPr>
        <w:pStyle w:val="Bullet1"/>
        <w:spacing w:after="40" w:line="252" w:lineRule="auto"/>
      </w:pPr>
      <w:r>
        <w:rPr>
          <w:rFonts w:ascii="Noto Sans" w:hAnsi="Noto Sans"/>
        </w:rPr>
        <w:t>Member Assistant for navigation, booking, plan explanation and low-risk allowed substitutions.</w:t>
      </w:r>
    </w:p>
    <w:p>
      <w:pPr>
        <w:pStyle w:val="Bullet1"/>
        <w:spacing w:after="40" w:line="252" w:lineRule="auto"/>
      </w:pPr>
      <w:r>
        <w:rPr>
          <w:rFonts w:ascii="Noto Sans" w:hAnsi="Noto Sans"/>
        </w:rPr>
        <w:t>Retrieval layer with tenant, role, purpose and record-level authorization at query and response time.</w:t>
      </w:r>
    </w:p>
    <w:p>
      <w:pPr>
        <w:pStyle w:val="Bullet1"/>
        <w:spacing w:after="40" w:line="252" w:lineRule="auto"/>
      </w:pPr>
      <w:r>
        <w:rPr>
          <w:rFonts w:ascii="Noto Sans" w:hAnsi="Noto Sans"/>
        </w:rPr>
        <w:t>Tool/action registry with schemas, permission checks, risk tiers, approvals, idempotency and compensating actions.</w:t>
      </w:r>
    </w:p>
    <w:p>
      <w:pPr>
        <w:pStyle w:val="Bullet1"/>
        <w:spacing w:after="40" w:line="252" w:lineRule="auto"/>
      </w:pPr>
      <w:r>
        <w:rPr>
          <w:rFonts w:ascii="Noto Sans" w:hAnsi="Noto Sans"/>
        </w:rPr>
        <w:t>Prompt/model/version registry, evaluation sets, routing, fallback, latency and budget controls.</w:t>
      </w:r>
    </w:p>
    <w:p>
      <w:pPr>
        <w:pStyle w:val="Bullet1"/>
        <w:spacing w:after="40" w:line="252" w:lineRule="auto"/>
      </w:pPr>
      <w:r>
        <w:rPr>
          <w:rFonts w:ascii="Noto Sans" w:hAnsi="Noto Sans"/>
        </w:rPr>
        <w:t>AI audit recording context references, model, prompt version, outputs, confidence, citations, actions and approver.</w:t>
      </w:r>
    </w:p>
    <w:p>
      <w:pPr>
        <w:pStyle w:val="Bullet1"/>
        <w:spacing w:after="40" w:line="252" w:lineRule="auto"/>
      </w:pPr>
      <w:r>
        <w:rPr>
          <w:rFonts w:ascii="Noto Sans" w:hAnsi="Noto Sans"/>
        </w:rPr>
        <w:t>Safety boundaries for health, nutrition, finance, biometric, employment and legal-sensitive use cases.</w:t>
      </w:r>
    </w:p>
    <w:p>
      <w:pPr>
        <w:pStyle w:val="Bullet1"/>
        <w:spacing w:after="40" w:line="252" w:lineRule="auto"/>
      </w:pPr>
      <w:r>
        <w:rPr>
          <w:rFonts w:ascii="Noto Sans" w:hAnsi="Noto Sans"/>
        </w:rPr>
        <w:t>Tenant-level opt-in, data-use controls, regional model policy, cost budget and feature disablement.</w:t>
      </w:r>
    </w:p>
    <w:p>
      <w:pPr>
        <w:pStyle w:val="Heading3"/>
        <w:keepNext/>
      </w:pPr>
      <w:r>
        <w:t>Critical Controls</w:t>
      </w:r>
    </w:p>
    <w:p>
      <w:pPr>
        <w:pStyle w:val="Bullet1"/>
        <w:spacing w:after="40" w:line="252" w:lineRule="auto"/>
      </w:pPr>
      <w:r>
        <w:rPr>
          <w:rFonts w:ascii="Noto Sans" w:hAnsi="Noto Sans"/>
        </w:rPr>
        <w:t>AI never receives broader data access than the requesting user and purpose.</w:t>
      </w:r>
    </w:p>
    <w:p>
      <w:pPr>
        <w:pStyle w:val="Bullet1"/>
        <w:spacing w:after="40" w:line="252" w:lineRule="auto"/>
      </w:pPr>
      <w:r>
        <w:rPr>
          <w:rFonts w:ascii="Noto Sans" w:hAnsi="Noto Sans"/>
        </w:rPr>
        <w:t>Irreversible or high-impact actions require explicit human approval.</w:t>
      </w:r>
    </w:p>
    <w:p>
      <w:pPr>
        <w:pStyle w:val="Bullet1"/>
        <w:spacing w:after="40" w:line="252" w:lineRule="auto"/>
      </w:pPr>
      <w:r>
        <w:rPr>
          <w:rFonts w:ascii="Noto Sans" w:hAnsi="Noto Sans"/>
        </w:rPr>
        <w:t>Health and nutrition outputs include scope limits and qualified escalation paths.</w:t>
      </w:r>
    </w:p>
    <w:p>
      <w:pPr>
        <w:pStyle w:val="Heading3"/>
        <w:keepNext/>
      </w:pPr>
      <w:r>
        <w:t>Required Outcomes</w:t>
      </w:r>
    </w:p>
    <w:p>
      <w:pPr>
        <w:pStyle w:val="Bullet1"/>
        <w:spacing w:after="40" w:line="252" w:lineRule="auto"/>
      </w:pPr>
      <w:r>
        <w:rPr>
          <w:rFonts w:ascii="Noto Sans" w:hAnsi="Noto Sans"/>
        </w:rPr>
        <w:t>Users obtain answers and actions without navigating the system structure.</w:t>
      </w:r>
    </w:p>
    <w:p>
      <w:pPr>
        <w:pStyle w:val="Bullet1"/>
        <w:spacing w:after="40" w:line="252" w:lineRule="auto"/>
      </w:pPr>
      <w:r>
        <w:rPr>
          <w:rFonts w:ascii="Noto Sans" w:hAnsi="Noto Sans"/>
        </w:rPr>
        <w:t>AI value, quality, latency, safety and cost are measured per use case and tenant.</w:t>
      </w:r>
    </w:p>
    <w:p>
      <w:pPr>
        <w:pStyle w:val="Heading3"/>
        <w:keepNext/>
      </w:pPr>
      <w:r>
        <w:t>Technical Realization Notes</w:t>
      </w:r>
    </w:p>
    <w:p>
      <w:pPr>
        <w:pStyle w:val="Bullet1"/>
        <w:spacing w:after="40" w:line="252" w:lineRule="auto"/>
      </w:pPr>
      <w:r>
        <w:t>Authority &amp; storage: Product PostgreSQL app schema with module-prefixed authoritative tables; no cross-domain write-table access. Authoritative entities/tables are AIUseCase, PromptVersion, ModelRoute, AIConversation, AIMessage, ToolDefinition, ToolRun, Evaluation, SafetyPolicy, AIBudget.</w:t>
      </w:r>
    </w:p>
    <w:p>
      <w:pPr>
        <w:pStyle w:val="Bullet1"/>
        <w:spacing w:after="40" w:line="252" w:lineRule="auto"/>
      </w:pPr>
      <w:r>
        <w:t>Command inventory: RegisterAIUseCase, EvaluateModelBundle, GenerateAIResponse, ProposeToolAction, ApproveToolAction, ExecuteAITool, RollbackModelBundle, RecordSafetyBlock. Every command declares permission, idempotency, expected aggregate version and transaction boundary.</w:t>
      </w:r>
    </w:p>
    <w:p>
      <w:pPr>
        <w:pStyle w:val="Bullet1"/>
        <w:spacing w:after="40" w:line="252" w:lineRule="auto"/>
      </w:pPr>
      <w:r>
        <w:t>Queries/read models: List/detail and history projections for AIUseCase, PromptVersion, ModelRoute, AIConversation; role/surface-specific attention/summary read models for All Product Surfaces; Internal SaaS Console; every projection exposes freshness/version metadata when asynchronously built.</w:t>
      </w:r>
    </w:p>
    <w:p>
      <w:pPr>
        <w:pStyle w:val="Bullet1"/>
        <w:spacing w:after="40" w:line="252" w:lineRule="auto"/>
      </w:pPr>
      <w:r>
        <w:t>Indexes/concurrency: tenant-leading indexes for primary list/detail paths; unique external/provider identifiers are scoped by tenant/provider; aggregate version supports optimistic concurrency.</w:t>
      </w:r>
    </w:p>
    <w:p>
      <w:pPr>
        <w:pStyle w:val="Bullet1"/>
      </w:pPr>
      <w:r>
        <w:t>Published events: ai.requested, ai.response.generated, ai.tool.proposed, ai.tool.approved, ai.tool.executed, ai.safety.blocked. Consumed dependencies: IAM-03, DAT-01, DAT-02, AUT-02, SEC-01; dependencies are accessed by stable contracts/projections, never direct write-table joins.</w:t>
      </w:r>
    </w:p>
    <w:p>
      <w:pPr>
        <w:pStyle w:val="Bullet1"/>
      </w:pPr>
      <w:r>
        <w:t>Failure/degraded behavior: Stale/low-quality projections are labelled and may not authorize mutations; AI/analytics failure degrades to deterministic product behavior.</w:t>
      </w:r>
    </w:p>
    <w:p>
      <w:pPr>
        <w:pStyle w:val="Bullet1"/>
      </w:pPr>
      <w:r>
        <w:t>Security/privacy: classification is enforced at field/resource level; tenant context and authorization are mandatory. Restricted data follows §21 controls; support/break-glass access creates delegated actor evidence.</w:t>
      </w:r>
    </w:p>
    <w:p>
      <w:pPr>
        <w:pStyle w:val="Bullet1"/>
      </w:pPr>
      <w:r>
        <w:t>SLI/SLO: Surface/domain API 99.9% initial target; p95 &lt;500-750 ms by workload; queue/projection freshness per §12.5.</w:t>
      </w:r>
    </w:p>
    <w:p>
      <w:pPr>
        <w:pStyle w:val="Bullet1"/>
      </w:pPr>
      <w:r>
        <w:t>Tests/runbook: invariant/property tests for each state transition; contract tests for APIs/events; tenant isolation negative test where tenant-owned; runbook RB-INT-02 covers stuck commands, reconciliation, provider/dependency outage and repair without history rewrite.</w:t>
      </w:r>
    </w:p>
    <w:p>
      <w:pPr>
        <w:pStyle w:val="Heading2"/>
        <w:keepNext/>
      </w:pPr>
      <w:r>
        <w:t>10.37 INT-03 - Global Search, Command Bar &amp; Knowledge Navigation</w:t>
      </w:r>
    </w:p>
    <w:tbl>
      <w:tblPr>
        <w:tblStyle w:val="TableGrid"/>
        <w:tblW w:type="dxa" w:w="9684"/>
        <w:jc w:val="center"/>
        <w:tblLayout w:type="autofit"/>
        <w:tblLook w:firstColumn="1" w:firstRow="1" w:lastColumn="0" w:lastRow="0" w:noHBand="0" w:noVBand="1" w:val="04A0"/>
      </w:tblPr>
      <w:tblGrid>
        <w:gridCol w:w="4842"/>
        <w:gridCol w:w="4842"/>
      </w:tblGrid>
      <w:tr>
        <w:trPr>
          <w:tblHeader w:val="true"/>
          <w:tblHeader w:val="true"/>
        </w:trPr>
        <w:tc>
          <w:tcPr>
            <w:tcW w:type="dxa" w:w="219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Attribute</w:t>
            </w:r>
          </w:p>
        </w:tc>
        <w:tc>
          <w:tcPr>
            <w:tcW w:type="dxa" w:w="758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Technical Design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phase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V1.5 Growth</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surfaces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Admin Web; Coach App; Internal SaaS Console</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dependencies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IAM-03, DAT-01, INT-02</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Authoritative entities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SearchDocument, SearchIndex, SavedSearch, Command, CommandAction, KnowledgeArticle</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Key events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search.executed, search.zero_result, command.previewed, command.executed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store</w:t>
            </w:r>
          </w:p>
        </w:tc>
        <w:tc>
          <w:tcPr>
            <w:tcW w:type="dxa" w:w="7588"/>
            <w:tcMar>
              <w:top w:w="70" w:type="dxa"/>
              <w:start w:w="85" w:type="dxa"/>
              <w:bottom w:w="70" w:type="dxa"/>
              <w:end w:w="85" w:type="dxa"/>
              <w:left w:w="80" w:type="dxa"/>
              <w:right w:w="80" w:type="dxa"/>
            </w:tcMar>
            <w:vAlign w:val="center"/>
          </w:tcPr>
          <w:p>
            <w:r>
              <w:t>V1 PostgreSQL FTS/pg_trgm projections; OpenSearch may replace the adapter at V1.5+.</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Data classification</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Confidential/tenant-scoped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Continuity tier</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Tier 3</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Technical interface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Domain command/query interface; no direct table access. Publishes permission-safe search projection.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Async/workflow contract</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Transactional outbox for state changes; idempotent consumers.</w:t>
            </w:r>
          </w:p>
        </w:tc>
      </w:tr>
      <w:tr>
        <w:tc>
          <w:tcPr>
            <w:tcW w:type="dxa" w:w="4842"/>
            <w:tcMar>
              <w:top w:w="70" w:type="dxa"/>
              <w:left w:w="80" w:type="dxa"/>
              <w:bottom w:w="70" w:type="dxa"/>
              <w:right w:w="80" w:type="dxa"/>
            </w:tcMar>
          </w:tcPr>
          <w:p>
            <w:r>
              <w:t>Implementation slice</w:t>
            </w:r>
          </w:p>
        </w:tc>
        <w:tc>
          <w:tcPr>
            <w:tcW w:type="dxa" w:w="4842"/>
            <w:tcMar>
              <w:top w:w="70" w:type="dxa"/>
              <w:left w:w="80" w:type="dxa"/>
              <w:bottom w:w="70" w:type="dxa"/>
              <w:right w:w="80" w:type="dxa"/>
            </w:tcMar>
          </w:tcPr>
          <w:p>
            <w:r>
              <w:t>V1.5 Growth</w:t>
            </w:r>
          </w:p>
        </w:tc>
      </w:tr>
    </w:tbl>
    <w:p>
      <w:pPr>
        <w:spacing w:after="40"/>
      </w:pPr>
    </w:p>
    <w:p>
      <w:pPr>
        <w:spacing w:after="80" w:line="259" w:lineRule="auto"/>
      </w:pPr>
      <w:r>
        <w:rPr>
          <w:rFonts w:ascii="Noto Sans" w:hAnsi="Noto Sans"/>
        </w:rPr>
        <w:t>Provide a secure, fast entry point to records, actions, help and AI-assisted commands across the platform.</w:t>
      </w:r>
    </w:p>
    <w:p>
      <w:pPr>
        <w:pStyle w:val="Heading3"/>
        <w:keepNext/>
      </w:pPr>
      <w:r>
        <w:t>Required Capabilities Preserved</w:t>
      </w:r>
    </w:p>
    <w:p>
      <w:pPr>
        <w:pStyle w:val="Bullet1"/>
        <w:spacing w:after="40" w:line="252" w:lineRule="auto"/>
      </w:pPr>
      <w:r>
        <w:rPr>
          <w:rFonts w:ascii="Noto Sans" w:hAnsi="Noto Sans"/>
        </w:rPr>
        <w:t>Keyboard-first global command bar on Admin Web and role-appropriate search on mobile.</w:t>
      </w:r>
    </w:p>
    <w:p>
      <w:pPr>
        <w:pStyle w:val="Bullet1"/>
        <w:spacing w:after="40" w:line="252" w:lineRule="auto"/>
      </w:pPr>
      <w:r>
        <w:rPr>
          <w:rFonts w:ascii="Noto Sans" w:hAnsi="Noto Sans"/>
        </w:rPr>
        <w:t>Search members, leads, staff, bookings, invoices, products, orders, tasks, incidents, assets and settings.</w:t>
      </w:r>
    </w:p>
    <w:p>
      <w:pPr>
        <w:pStyle w:val="Bullet1"/>
        <w:spacing w:after="40" w:line="252" w:lineRule="auto"/>
      </w:pPr>
      <w:r>
        <w:rPr>
          <w:rFonts w:ascii="Noto Sans" w:hAnsi="Noto Sans"/>
        </w:rPr>
        <w:t>Permission-aware indexing, query filtering, result masking and post-filter validation.</w:t>
      </w:r>
    </w:p>
    <w:p>
      <w:pPr>
        <w:pStyle w:val="Bullet1"/>
        <w:spacing w:after="40" w:line="252" w:lineRule="auto"/>
      </w:pPr>
      <w:r>
        <w:rPr>
          <w:rFonts w:ascii="Noto Sans" w:hAnsi="Noto Sans"/>
        </w:rPr>
        <w:t>Recent, pinned, suggested and context-sensitive actions such as create, refund, book, message or navigate.</w:t>
      </w:r>
    </w:p>
    <w:p>
      <w:pPr>
        <w:pStyle w:val="Bullet1"/>
        <w:spacing w:after="40" w:line="252" w:lineRule="auto"/>
      </w:pPr>
      <w:r>
        <w:rPr>
          <w:rFonts w:ascii="Noto Sans" w:hAnsi="Noto Sans"/>
        </w:rPr>
        <w:t>Natural-language commands converted to previewable structured actions.</w:t>
      </w:r>
    </w:p>
    <w:p>
      <w:pPr>
        <w:pStyle w:val="Bullet1"/>
        <w:spacing w:after="40" w:line="252" w:lineRule="auto"/>
      </w:pPr>
      <w:r>
        <w:rPr>
          <w:rFonts w:ascii="Noto Sans" w:hAnsi="Noto Sans"/>
        </w:rPr>
        <w:t>Help and knowledge results matched to page, role, tenant configuration and product version.</w:t>
      </w:r>
    </w:p>
    <w:p>
      <w:pPr>
        <w:pStyle w:val="Bullet1"/>
        <w:spacing w:after="40" w:line="252" w:lineRule="auto"/>
      </w:pPr>
      <w:r>
        <w:rPr>
          <w:rFonts w:ascii="Noto Sans" w:hAnsi="Noto Sans"/>
        </w:rPr>
        <w:t>Search analytics for zero-result, latency, permission denial and task-completion improvement.</w:t>
      </w:r>
    </w:p>
    <w:p>
      <w:pPr>
        <w:pStyle w:val="Heading3"/>
        <w:keepNext/>
      </w:pPr>
      <w:r>
        <w:t>Critical Controls</w:t>
      </w:r>
    </w:p>
    <w:p>
      <w:pPr>
        <w:pStyle w:val="Bullet1"/>
        <w:spacing w:after="40" w:line="252" w:lineRule="auto"/>
      </w:pPr>
      <w:r>
        <w:rPr>
          <w:rFonts w:ascii="Noto Sans" w:hAnsi="Noto Sans"/>
        </w:rPr>
        <w:t>Search can never be used to bypass field or record permissions.</w:t>
      </w:r>
    </w:p>
    <w:p>
      <w:pPr>
        <w:pStyle w:val="Bullet1"/>
        <w:spacing w:after="40" w:line="252" w:lineRule="auto"/>
      </w:pPr>
      <w:r>
        <w:rPr>
          <w:rFonts w:ascii="Noto Sans" w:hAnsi="Noto Sans"/>
        </w:rPr>
        <w:t>Commands show target, effect and required approval before execution.</w:t>
      </w:r>
    </w:p>
    <w:p>
      <w:pPr>
        <w:pStyle w:val="Heading3"/>
        <w:keepNext/>
      </w:pPr>
      <w:r>
        <w:t>Required Outcomes</w:t>
      </w:r>
    </w:p>
    <w:p>
      <w:pPr>
        <w:pStyle w:val="Bullet1"/>
        <w:spacing w:after="40" w:line="252" w:lineRule="auto"/>
      </w:pPr>
      <w:r>
        <w:rPr>
          <w:rFonts w:ascii="Noto Sans" w:hAnsi="Noto Sans"/>
        </w:rPr>
        <w:t>Experienced users complete cross-module work dramatically faster.</w:t>
      </w:r>
    </w:p>
    <w:p>
      <w:pPr>
        <w:pStyle w:val="Bullet1"/>
        <w:spacing w:after="40" w:line="252" w:lineRule="auto"/>
      </w:pPr>
      <w:r>
        <w:rPr>
          <w:rFonts w:ascii="Noto Sans" w:hAnsi="Noto Sans"/>
        </w:rPr>
        <w:t>New users discover capabilities without learning the entire navigation tree.</w:t>
      </w:r>
    </w:p>
    <w:p>
      <w:pPr>
        <w:pStyle w:val="Heading3"/>
        <w:keepNext/>
      </w:pPr>
      <w:r>
        <w:t>Technical Realization Notes</w:t>
      </w:r>
    </w:p>
    <w:p>
      <w:pPr>
        <w:pStyle w:val="Bullet1"/>
        <w:spacing w:after="40" w:line="252" w:lineRule="auto"/>
      </w:pPr>
      <w:r>
        <w:t>Authority &amp; storage: V1 PostgreSQL FTS/pg_trgm projections; OpenSearch may replace the adapter at V1.5+. Authoritative entities/tables are SearchDocument, SearchIndex, SavedSearch, Command, CommandAction, KnowledgeArticle.</w:t>
      </w:r>
    </w:p>
    <w:p>
      <w:pPr>
        <w:pStyle w:val="Bullet1"/>
        <w:spacing w:after="40" w:line="252" w:lineRule="auto"/>
      </w:pPr>
      <w:r>
        <w:t>Command inventory: IndexEntity, SearchEntities, ExecuteCommandSearch, SaveSearch, RebuildSearchProjection, RemoveRestrictedDocument. Every command declares permission, idempotency, expected aggregate version and transaction boundary.</w:t>
      </w:r>
    </w:p>
    <w:p>
      <w:pPr>
        <w:pStyle w:val="Bullet1"/>
        <w:spacing w:after="40" w:line="252" w:lineRule="auto"/>
      </w:pPr>
      <w:r>
        <w:t>Queries/read models: List/detail and history projections for SearchDocument, SearchIndex, SavedSearch, Command; role/surface-specific attention/summary read models for Admin Web; Coach App; Internal SaaS Console; every projection exposes freshness/version metadata when asynchronously built.</w:t>
      </w:r>
    </w:p>
    <w:p>
      <w:pPr>
        <w:pStyle w:val="Bullet1"/>
      </w:pPr>
      <w:r>
        <w:t>Indexes/concurrency: tenant-leading indexes for primary list/detail paths; unique external/provider identifiers are scoped by tenant/provider; aggregate version supports optimistic concurrency.</w:t>
      </w:r>
    </w:p>
    <w:p>
      <w:pPr>
        <w:pStyle w:val="Bullet1"/>
      </w:pPr>
      <w:r>
        <w:t>Published events: search.executed, search.zero_result, command.previewed, command.executed. Consumed dependencies: IAM-03, DAT-01, INT-02; dependencies are accessed by stable contracts/projections, never direct write-table joins.</w:t>
      </w:r>
    </w:p>
    <w:p>
      <w:pPr>
        <w:pStyle w:val="Bullet1"/>
      </w:pPr>
      <w:r>
        <w:t>Failure/degraded behavior: Stale/low-quality projections are labelled and may not authorize mutations; AI/analytics failure degrades to deterministic product behavior.</w:t>
      </w:r>
    </w:p>
    <w:p>
      <w:pPr>
        <w:pStyle w:val="Bullet1"/>
      </w:pPr>
      <w:r>
        <w:t>Security/privacy: classification is enforced at field/resource level; tenant context and authorization are mandatory. Restricted data follows §21 controls; support/break-glass access creates delegated actor evidence.</w:t>
      </w:r>
    </w:p>
    <w:p>
      <w:pPr>
        <w:pStyle w:val="Bullet1"/>
      </w:pPr>
      <w:r>
        <w:t>SLI/SLO: Surface/domain API 99.9% initial target; p95 &lt;500-750 ms by workload; queue/projection freshness per §12.5.</w:t>
      </w:r>
    </w:p>
    <w:p>
      <w:pPr>
        <w:pStyle w:val="Bullet1"/>
      </w:pPr>
      <w:r>
        <w:t>Tests/runbook: invariant/property tests for each state transition; contract tests for APIs/events; tenant isolation negative test where tenant-owned; runbook RB-INT-03 covers stuck commands, reconciliation, provider/dependency outage and repair without history rewrite.</w:t>
      </w:r>
    </w:p>
    <w:p>
      <w:pPr>
        <w:pStyle w:val="Heading2"/>
        <w:keepNext/>
      </w:pPr>
      <w:r>
        <w:t>10.38 B2B-01 - Corporate Memberships &amp; Employer Portal</w:t>
      </w:r>
    </w:p>
    <w:tbl>
      <w:tblPr>
        <w:tblStyle w:val="TableGrid"/>
        <w:tblW w:type="dxa" w:w="9684"/>
        <w:jc w:val="center"/>
        <w:tblLayout w:type="autofit"/>
        <w:tblLook w:firstColumn="1" w:firstRow="1" w:lastColumn="0" w:lastRow="0" w:noHBand="0" w:noVBand="1" w:val="04A0"/>
      </w:tblPr>
      <w:tblGrid>
        <w:gridCol w:w="4842"/>
        <w:gridCol w:w="4842"/>
      </w:tblGrid>
      <w:tr>
        <w:trPr>
          <w:tblHeader w:val="true"/>
          <w:tblHeader w:val="true"/>
          <w:tblHeader w:val="true"/>
        </w:trPr>
        <w:tc>
          <w:tcPr>
            <w:tcW w:type="dxa" w:w="2198"/>
            <w:shd w:fill="2E6F73"/>
            <w:tcMar>
              <w:top w:w="70" w:type="dxa"/>
              <w:start w:w="90" w:type="dxa"/>
              <w:bottom w:w="70" w:type="dxa"/>
              <w:end w:w="90" w:type="dxa"/>
              <w:left w:w="80" w:type="dxa"/>
              <w:right w:w="80" w:type="dxa"/>
            </w:tcMar>
            <w:vAlign w:val="center"/>
          </w:tcPr>
          <w:p>
            <w:pPr>
              <w:spacing w:before="0" w:after="30"/>
              <w:jc w:val="center"/>
            </w:pPr>
            <w:r>
              <w:rPr>
                <w:rFonts w:ascii="Noto Sans" w:hAnsi="Noto Sans"/>
                <w:b/>
                <w:color w:val="FFFFFF"/>
                <w:sz w:val="16"/>
              </w:rPr>
              <w:t>Attribute</w:t>
            </w:r>
          </w:p>
        </w:tc>
        <w:tc>
          <w:tcPr>
            <w:tcW w:type="dxa" w:w="7588"/>
            <w:shd w:fill="2E6F73"/>
            <w:tcMar>
              <w:top w:w="70" w:type="dxa"/>
              <w:start w:w="90" w:type="dxa"/>
              <w:bottom w:w="70" w:type="dxa"/>
              <w:end w:w="90" w:type="dxa"/>
              <w:left w:w="80" w:type="dxa"/>
              <w:right w:w="80" w:type="dxa"/>
            </w:tcMar>
            <w:vAlign w:val="center"/>
          </w:tcPr>
          <w:p>
            <w:pPr>
              <w:spacing w:before="0" w:after="30"/>
              <w:jc w:val="center"/>
            </w:pPr>
            <w:r>
              <w:rPr>
                <w:rFonts w:ascii="Noto Sans" w:hAnsi="Noto Sans"/>
                <w:b/>
                <w:color w:val="FFFFFF"/>
                <w:sz w:val="16"/>
              </w:rPr>
              <w:t>Technical Design</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Blueprint phase</w:t>
            </w:r>
          </w:p>
        </w:tc>
        <w:tc>
          <w:tcPr>
            <w:tcW w:type="dxa" w:w="758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Enterprise</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Primary surfaces</w:t>
            </w:r>
          </w:p>
        </w:tc>
        <w:tc>
          <w:tcPr>
            <w:tcW w:type="dxa" w:w="758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Corporate Portal; Admin Web; Member App</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Blueprint dependencies</w:t>
            </w:r>
          </w:p>
        </w:tc>
        <w:tc>
          <w:tcPr>
            <w:tcW w:type="dxa" w:w="758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PPL-02, COM-01, COM-03, IAM-01, DAT-02</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Authoritative entities</w:t>
            </w:r>
          </w:p>
        </w:tc>
        <w:tc>
          <w:tcPr>
            <w:tcW w:type="dxa" w:w="758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CorporateAccount, CorporateContract, BenefitPlan, EligibilityRoster, EmployeeEnrollment, EmployerInvoice, CorporateReport</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Key events</w:t>
            </w:r>
          </w:p>
        </w:tc>
        <w:tc>
          <w:tcPr>
            <w:tcW w:type="dxa" w:w="758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corporate.contract.started, eligibility.added, employee.enrolled, employee.eligibility.ended, corporate.invoice.issued</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Primary store</w:t>
            </w:r>
          </w:p>
        </w:tc>
        <w:tc>
          <w:tcPr>
            <w:tcW w:type="dxa" w:w="7588"/>
            <w:tcMar>
              <w:top w:w="70" w:type="dxa"/>
              <w:start w:w="85" w:type="dxa"/>
              <w:bottom w:w="70" w:type="dxa"/>
              <w:end w:w="85" w:type="dxa"/>
              <w:left w:w="80" w:type="dxa"/>
              <w:right w:w="80" w:type="dxa"/>
            </w:tcMar>
            <w:vAlign w:val="center"/>
          </w:tcPr>
          <w:p>
            <w:pPr>
              <w:spacing w:before="0" w:after="30"/>
            </w:pPr>
            <w:r>
              <w:rPr>
                <w:sz w:val="16"/>
              </w:rPr>
              <w:t>Product-plane PostgreSQL app schema; module-prefixed tables; RLS and module SQL lint enforced.</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Data classification</w:t>
            </w:r>
          </w:p>
        </w:tc>
        <w:tc>
          <w:tcPr>
            <w:tcW w:type="dxa" w:w="758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Confidential/tenant-scoped</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Continuity tier</w:t>
            </w:r>
          </w:p>
        </w:tc>
        <w:tc>
          <w:tcPr>
            <w:tcW w:type="dxa" w:w="758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Tier 2</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Technical interface</w:t>
            </w:r>
          </w:p>
        </w:tc>
        <w:tc>
          <w:tcPr>
            <w:tcW w:type="dxa" w:w="758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Domain command/query interface; no direct table access.</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Async/workflow contract</w:t>
            </w:r>
          </w:p>
        </w:tc>
        <w:tc>
          <w:tcPr>
            <w:tcW w:type="dxa" w:w="758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Transactional outbox for state changes; idempotent consumers.</w:t>
            </w:r>
          </w:p>
        </w:tc>
      </w:tr>
      <w:tr>
        <w:tc>
          <w:tcPr>
            <w:tcW w:type="dxa" w:w="4842"/>
            <w:vAlign w:val="center"/>
          </w:tcPr>
          <w:p>
            <w:pPr>
              <w:spacing w:before="0" w:after="30"/>
            </w:pPr>
            <w:r>
              <w:rPr>
                <w:sz w:val="16"/>
              </w:rPr>
              <w:t>Implementation slice</w:t>
            </w:r>
          </w:p>
        </w:tc>
        <w:tc>
          <w:tcPr>
            <w:tcW w:type="dxa" w:w="4842"/>
            <w:vAlign w:val="center"/>
          </w:tcPr>
          <w:p>
            <w:pPr>
              <w:spacing w:before="0" w:after="30"/>
            </w:pPr>
            <w:r>
              <w:rPr>
                <w:sz w:val="16"/>
              </w:rPr>
              <w:t>Enterprise</w:t>
            </w:r>
          </w:p>
        </w:tc>
      </w:tr>
    </w:tbl>
    <w:p>
      <w:pPr>
        <w:spacing w:after="40"/>
      </w:pPr>
    </w:p>
    <w:p>
      <w:pPr>
        <w:spacing w:after="80" w:line="259" w:lineRule="auto"/>
      </w:pPr>
      <w:r>
        <w:rPr>
          <w:rFonts w:ascii="Noto Sans" w:hAnsi="Noto Sans"/>
        </w:rPr>
        <w:t>Support business-to-business membership programs from eligibility and enrollment through utilization, billing and renewal.</w:t>
      </w:r>
    </w:p>
    <w:p>
      <w:pPr>
        <w:pStyle w:val="Heading3"/>
        <w:keepNext/>
      </w:pPr>
      <w:r>
        <w:t>Required Capabilities Preserved</w:t>
      </w:r>
    </w:p>
    <w:p>
      <w:pPr>
        <w:pStyle w:val="Bullet1"/>
        <w:spacing w:after="40" w:line="252" w:lineRule="auto"/>
      </w:pPr>
      <w:r>
        <w:rPr>
          <w:rFonts w:ascii="Noto Sans" w:hAnsi="Noto Sans"/>
        </w:rPr>
        <w:t>Corporate account, contract, eligible population, benefit package, subsidy and employee contribution.</w:t>
      </w:r>
    </w:p>
    <w:p>
      <w:pPr>
        <w:pStyle w:val="Bullet1"/>
        <w:spacing w:after="40" w:line="252" w:lineRule="auto"/>
      </w:pPr>
      <w:r>
        <w:rPr>
          <w:rFonts w:ascii="Noto Sans" w:hAnsi="Noto Sans"/>
        </w:rPr>
        <w:t>Eligibility via roster upload, HRIS/API, email domain, code or enterprise identity.</w:t>
      </w:r>
    </w:p>
    <w:p>
      <w:pPr>
        <w:pStyle w:val="Bullet1"/>
        <w:spacing w:after="40" w:line="252" w:lineRule="auto"/>
      </w:pPr>
      <w:r>
        <w:rPr>
          <w:rFonts w:ascii="Noto Sans" w:hAnsi="Noto Sans"/>
        </w:rPr>
        <w:t>Employee invitation, self-enrollment, dependent rules, location access and plan selection.</w:t>
      </w:r>
    </w:p>
    <w:p>
      <w:pPr>
        <w:pStyle w:val="Bullet1"/>
        <w:spacing w:after="40" w:line="252" w:lineRule="auto"/>
      </w:pPr>
      <w:r>
        <w:rPr>
          <w:rFonts w:ascii="Noto Sans" w:hAnsi="Noto Sans"/>
        </w:rPr>
        <w:t>Joiner, mover and leaver synchronization with grace and conversion to personal membership.</w:t>
      </w:r>
    </w:p>
    <w:p>
      <w:pPr>
        <w:pStyle w:val="Bullet1"/>
        <w:spacing w:after="40" w:line="252" w:lineRule="auto"/>
      </w:pPr>
      <w:r>
        <w:rPr>
          <w:rFonts w:ascii="Noto Sans" w:hAnsi="Noto Sans"/>
        </w:rPr>
        <w:t>Consolidated invoice, employee copay, adjustments, credits and reconciliation.</w:t>
      </w:r>
    </w:p>
    <w:p>
      <w:pPr>
        <w:pStyle w:val="Bullet1"/>
        <w:spacing w:after="40" w:line="252" w:lineRule="auto"/>
      </w:pPr>
      <w:r>
        <w:rPr>
          <w:rFonts w:ascii="Noto Sans" w:hAnsi="Noto Sans"/>
        </w:rPr>
        <w:t>Privacy-preserving aggregate utilization, engagement, attendance and program-outcome reporting.</w:t>
      </w:r>
    </w:p>
    <w:p>
      <w:pPr>
        <w:pStyle w:val="Bullet1"/>
        <w:spacing w:after="40" w:line="252" w:lineRule="auto"/>
      </w:pPr>
      <w:r>
        <w:rPr>
          <w:rFonts w:ascii="Noto Sans" w:hAnsi="Noto Sans"/>
        </w:rPr>
        <w:t>Corporate challenges, events, communications and support contacts.</w:t>
      </w:r>
    </w:p>
    <w:p>
      <w:pPr>
        <w:pStyle w:val="Heading3"/>
        <w:keepNext/>
      </w:pPr>
      <w:r>
        <w:t>Critical Controls</w:t>
      </w:r>
    </w:p>
    <w:p>
      <w:pPr>
        <w:pStyle w:val="Bullet1"/>
        <w:spacing w:after="40" w:line="252" w:lineRule="auto"/>
      </w:pPr>
      <w:r>
        <w:rPr>
          <w:rFonts w:ascii="Noto Sans" w:hAnsi="Noto Sans"/>
        </w:rPr>
        <w:t>Employers receive only contractually permitted aggregate data.</w:t>
      </w:r>
    </w:p>
    <w:p>
      <w:pPr>
        <w:pStyle w:val="Bullet1"/>
        <w:spacing w:after="40" w:line="252" w:lineRule="auto"/>
      </w:pPr>
      <w:r>
        <w:rPr>
          <w:rFonts w:ascii="Noto Sans" w:hAnsi="Noto Sans"/>
        </w:rPr>
        <w:t>Individual health, coaching and sensitive activity remains private unless explicitly authorized.</w:t>
      </w:r>
    </w:p>
    <w:p>
      <w:pPr>
        <w:pStyle w:val="Heading3"/>
        <w:keepNext/>
      </w:pPr>
      <w:r>
        <w:t>Required Outcomes</w:t>
      </w:r>
    </w:p>
    <w:p>
      <w:pPr>
        <w:pStyle w:val="Bullet1"/>
        <w:spacing w:after="40" w:line="252" w:lineRule="auto"/>
      </w:pPr>
      <w:r>
        <w:rPr>
          <w:rFonts w:ascii="Noto Sans" w:hAnsi="Noto Sans"/>
        </w:rPr>
        <w:t>Enterprise contracts are operable without manual spreadsheets.</w:t>
      </w:r>
    </w:p>
    <w:p>
      <w:pPr>
        <w:pStyle w:val="Bullet1"/>
        <w:spacing w:after="40" w:line="252" w:lineRule="auto"/>
      </w:pPr>
      <w:r>
        <w:rPr>
          <w:rFonts w:ascii="Noto Sans" w:hAnsi="Noto Sans"/>
        </w:rPr>
        <w:t>Corporate customers can prove utilization and value while protecting employees.</w:t>
      </w:r>
    </w:p>
    <w:p>
      <w:pPr>
        <w:pStyle w:val="Heading3"/>
        <w:keepNext/>
      </w:pPr>
      <w:r>
        <w:t>Technical Realization Notes</w:t>
      </w:r>
    </w:p>
    <w:p>
      <w:pPr>
        <w:pStyle w:val="Bullet1"/>
        <w:spacing w:after="40" w:line="252" w:lineRule="auto"/>
      </w:pPr>
      <w:r>
        <w:t>Authority &amp; storage: product-plane PostgreSQL app schema. Authoritative aggregates are CorporateAccount, CorporateContract, BenefitPlan, EligibilityRoster, EmployeeEnrollment, EmployerInvoice and CorporateReport. Contract and eligibility versions are effective-dated; reporting projections never become membership or billing authority.</w:t>
      </w:r>
    </w:p>
    <w:p>
      <w:pPr>
        <w:pStyle w:val="Bullet1"/>
        <w:spacing w:after="40" w:line="252" w:lineRule="auto"/>
      </w:pPr>
      <w:r>
        <w:t>Command inventory: CreateCorporateAccount, StartCorporateContract, AmendBenefitPlan, ImportEligibilityRoster, UpsertEligibility, InviteEmployee, EnrollEmployee, EndEligibility, ApplyEligibilityGraceOrConversion, IssueEmployerInvoice, ApplyEmployerAdjustment, ReconcileEmployerInvoice, GenerateCorporateReport. Every mutation carries tenant/employer scope, idempotency and expected aggregate version where stateful.</w:t>
      </w:r>
    </w:p>
    <w:p>
      <w:pPr>
        <w:pStyle w:val="Bullet1"/>
        <w:spacing w:after="40" w:line="252" w:lineRule="auto"/>
      </w:pPr>
      <w:r>
        <w:t>Queries/read models: CorporateAccountDetail, ContractAndBenefitPlan, EligibilityRosterStatus, EnrollmentQueue, EmployerBillingSummary, ReconciliationStatus and PrivacyPreservingUtilizationReport for Corporate Portal/Admin/Member self-enrollment. Aggregate reports expose cohort/privacy thresholds and freshness metadata.</w:t>
      </w:r>
    </w:p>
    <w:p>
      <w:pPr>
        <w:pStyle w:val="Bullet1"/>
      </w:pPr>
      <w:r>
        <w:t>Indexes/concurrency: unique (tenant_id, corporate_account_id, external_employee_id) where supplied; non-overlapping effective eligibility windows per employee/benefit plan; contract and roster imports use optimistic versioning; enrollment uses idempotent source mappings so roster/API retries cannot create duplicate memberships.</w:t>
      </w:r>
    </w:p>
    <w:p>
      <w:pPr>
        <w:pStyle w:val="Bullet1"/>
      </w:pPr>
      <w:r>
        <w:t>Published events: corporate.contract.started, eligibility.added, employee.enrolled, employee.eligibility.ended, corporate.invoice.issued. Consumed dependencies: PPL-02, COM-01, COM-03, IAM-01, DAT-02 through stable contracts/projections; no direct cross-domain write-table joins.</w:t>
      </w:r>
    </w:p>
    <w:p>
      <w:pPr>
        <w:pStyle w:val="Bullet1"/>
      </w:pPr>
      <w:r>
        <w:t>Failure/degraded behavior: HRIS/roster sync failure does not silently revoke active eligibility; policy-defined grace preserves current access until an authoritative leaver/effective-end is reconciled. Enrollment and employer invoicing retry idempotently. Billing or eligibility divergence opens a reconciliation case rather than rewriting history.</w:t>
      </w:r>
    </w:p>
    <w:p>
      <w:pPr>
        <w:pStyle w:val="Bullet1"/>
      </w:pPr>
      <w:r>
        <w:t>Security/privacy: employer users see only contractually permitted employee fields and aggregate utilization. Health, coaching, nutrition and sensitive activity remain inaccessible unless a separately authorized purpose permits them. Export/report queries enforce tenant + corporate-account scope and minimum cohort/privacy thresholds.</w:t>
      </w:r>
    </w:p>
    <w:p>
      <w:pPr>
        <w:pStyle w:val="Bullet1"/>
      </w:pPr>
      <w:r>
        <w:t>SLI/SLO: Enterprise corporate-portal and admin APIs target 99.9% monthly availability; enrollment/eligibility mutation p95 &lt;500 ms excluding upstream HRIS; roster-sync and billing projection freshness budgets are explicit and surfaced when stale.</w:t>
      </w:r>
    </w:p>
    <w:p>
      <w:pPr>
        <w:pStyle w:val="Bullet1"/>
      </w:pPr>
      <w:r>
        <w:t>Tests/runbook: property tests cover eligibility effective windows, duplicate roster retries, leaver grace/conversion and employer-invoice reconciliation; privacy tests prove individual Restricted records cannot leak into employer reports. Runbook RB-B2B-01 covers roster/HRIS outage, eligibility divergence, enrollment duplication and employer-invoice reconciliation without history rewrite.</w:t>
      </w:r>
    </w:p>
    <w:p>
      <w:pPr>
        <w:pStyle w:val="Heading2"/>
        <w:keepNext/>
      </w:pPr>
      <w:r>
        <w:t>10.39 B2B-02 - Franchise, Multi-brand &amp; Chain Command Center</w:t>
      </w:r>
    </w:p>
    <w:tbl>
      <w:tblPr>
        <w:tblStyle w:val="TableGrid"/>
        <w:tblW w:type="dxa" w:w="9684"/>
        <w:jc w:val="center"/>
        <w:tblLayout w:type="autofit"/>
        <w:tblLook w:firstColumn="1" w:firstRow="1" w:lastColumn="0" w:lastRow="0" w:noHBand="0" w:noVBand="1" w:val="04A0"/>
      </w:tblPr>
      <w:tblGrid>
        <w:gridCol w:w="4842"/>
        <w:gridCol w:w="4842"/>
      </w:tblGrid>
      <w:tr>
        <w:trPr>
          <w:tblHeader w:val="true"/>
          <w:tblHeader w:val="true"/>
          <w:tblHeader w:val="true"/>
        </w:trPr>
        <w:tc>
          <w:tcPr>
            <w:tcW w:type="dxa" w:w="2198"/>
            <w:shd w:fill="2E6F73"/>
            <w:tcMar>
              <w:top w:w="70" w:type="dxa"/>
              <w:start w:w="90" w:type="dxa"/>
              <w:bottom w:w="70" w:type="dxa"/>
              <w:end w:w="90" w:type="dxa"/>
              <w:left w:w="80" w:type="dxa"/>
              <w:right w:w="80" w:type="dxa"/>
            </w:tcMar>
            <w:vAlign w:val="center"/>
          </w:tcPr>
          <w:p>
            <w:pPr>
              <w:spacing w:before="0" w:after="30"/>
              <w:jc w:val="center"/>
            </w:pPr>
            <w:r>
              <w:rPr>
                <w:rFonts w:ascii="Noto Sans" w:hAnsi="Noto Sans"/>
                <w:b/>
                <w:color w:val="FFFFFF"/>
                <w:sz w:val="16"/>
              </w:rPr>
              <w:t>Attribute</w:t>
            </w:r>
          </w:p>
        </w:tc>
        <w:tc>
          <w:tcPr>
            <w:tcW w:type="dxa" w:w="7588"/>
            <w:shd w:fill="2E6F73"/>
            <w:tcMar>
              <w:top w:w="70" w:type="dxa"/>
              <w:start w:w="90" w:type="dxa"/>
              <w:bottom w:w="70" w:type="dxa"/>
              <w:end w:w="90" w:type="dxa"/>
              <w:left w:w="80" w:type="dxa"/>
              <w:right w:w="80" w:type="dxa"/>
            </w:tcMar>
            <w:vAlign w:val="center"/>
          </w:tcPr>
          <w:p>
            <w:pPr>
              <w:spacing w:before="0" w:after="30"/>
              <w:jc w:val="center"/>
            </w:pPr>
            <w:r>
              <w:rPr>
                <w:rFonts w:ascii="Noto Sans" w:hAnsi="Noto Sans"/>
                <w:b/>
                <w:color w:val="FFFFFF"/>
                <w:sz w:val="16"/>
              </w:rPr>
              <w:t>Technical Design</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Blueprint phase</w:t>
            </w:r>
          </w:p>
        </w:tc>
        <w:tc>
          <w:tcPr>
            <w:tcW w:type="dxa" w:w="758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Enterprise</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Primary surfaces</w:t>
            </w:r>
          </w:p>
        </w:tc>
        <w:tc>
          <w:tcPr>
            <w:tcW w:type="dxa" w:w="758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Admin Web; Franchise Portal; Internal SaaS Console</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Blueprint dependencies</w:t>
            </w:r>
          </w:p>
        </w:tc>
        <w:tc>
          <w:tcPr>
            <w:tcW w:type="dxa" w:w="758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PLT-01, PLT-02, INT-01, COM-04, IAM-03</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Authoritative entities</w:t>
            </w:r>
          </w:p>
        </w:tc>
        <w:tc>
          <w:tcPr>
            <w:tcW w:type="dxa" w:w="758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FranchiseNetwork, Franchisee, GovernanceTemplate, Override, HomeClub, IntercompanyAllocation, RoyaltyStatement</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Key events</w:t>
            </w:r>
          </w:p>
        </w:tc>
        <w:tc>
          <w:tcPr>
            <w:tcW w:type="dxa" w:w="758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governance.published, location.exception.detected, member.home_club.changed, royalty.statement.created</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Primary store</w:t>
            </w:r>
          </w:p>
        </w:tc>
        <w:tc>
          <w:tcPr>
            <w:tcW w:type="dxa" w:w="7588"/>
            <w:tcMar>
              <w:top w:w="70" w:type="dxa"/>
              <w:start w:w="85" w:type="dxa"/>
              <w:bottom w:w="70" w:type="dxa"/>
              <w:end w:w="85" w:type="dxa"/>
              <w:left w:w="80" w:type="dxa"/>
              <w:right w:w="80" w:type="dxa"/>
            </w:tcMar>
            <w:vAlign w:val="center"/>
          </w:tcPr>
          <w:p>
            <w:pPr>
              <w:spacing w:before="0" w:after="30"/>
            </w:pPr>
            <w:r>
              <w:rPr>
                <w:sz w:val="16"/>
              </w:rPr>
              <w:t>Product-plane PostgreSQL app schema; module-prefixed tables; RLS and module SQL lint enforced.</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Data classification</w:t>
            </w:r>
          </w:p>
        </w:tc>
        <w:tc>
          <w:tcPr>
            <w:tcW w:type="dxa" w:w="758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Confidential/tenant-scoped</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Continuity tier</w:t>
            </w:r>
          </w:p>
        </w:tc>
        <w:tc>
          <w:tcPr>
            <w:tcW w:type="dxa" w:w="758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Tier 2</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Technical interface</w:t>
            </w:r>
          </w:p>
        </w:tc>
        <w:tc>
          <w:tcPr>
            <w:tcW w:type="dxa" w:w="758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Domain command/query interface; no direct table access.</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Async/workflow contract</w:t>
            </w:r>
          </w:p>
        </w:tc>
        <w:tc>
          <w:tcPr>
            <w:tcW w:type="dxa" w:w="758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Transactional outbox for state changes; idempotent consumers.</w:t>
            </w:r>
          </w:p>
        </w:tc>
      </w:tr>
      <w:tr>
        <w:tc>
          <w:tcPr>
            <w:tcW w:type="dxa" w:w="4842"/>
            <w:vAlign w:val="center"/>
          </w:tcPr>
          <w:p>
            <w:pPr>
              <w:spacing w:before="0" w:after="30"/>
            </w:pPr>
            <w:r>
              <w:rPr>
                <w:sz w:val="16"/>
              </w:rPr>
              <w:t>Implementation slice</w:t>
            </w:r>
          </w:p>
        </w:tc>
        <w:tc>
          <w:tcPr>
            <w:tcW w:type="dxa" w:w="4842"/>
            <w:vAlign w:val="center"/>
          </w:tcPr>
          <w:p>
            <w:pPr>
              <w:spacing w:before="0" w:after="30"/>
            </w:pPr>
            <w:r>
              <w:rPr>
                <w:sz w:val="16"/>
              </w:rPr>
              <w:t>Enterprise</w:t>
            </w:r>
          </w:p>
        </w:tc>
      </w:tr>
    </w:tbl>
    <w:p>
      <w:pPr>
        <w:spacing w:after="40"/>
      </w:pPr>
    </w:p>
    <w:p>
      <w:pPr>
        <w:spacing w:after="80" w:line="259" w:lineRule="auto"/>
      </w:pPr>
      <w:r>
        <w:rPr>
          <w:rFonts w:ascii="Noto Sans" w:hAnsi="Noto Sans"/>
        </w:rPr>
        <w:t>Give large operators centralized governance and comparable insight while preserving local execution.</w:t>
      </w:r>
    </w:p>
    <w:p>
      <w:pPr>
        <w:pStyle w:val="Heading3"/>
        <w:keepNext/>
      </w:pPr>
      <w:r>
        <w:t>Required Capabilities Preserved</w:t>
      </w:r>
    </w:p>
    <w:p>
      <w:pPr>
        <w:pStyle w:val="Bullet1"/>
        <w:spacing w:after="40" w:line="252" w:lineRule="auto"/>
      </w:pPr>
      <w:r>
        <w:rPr>
          <w:rFonts w:ascii="Noto Sans" w:hAnsi="Noto Sans"/>
        </w:rPr>
        <w:t>Hierarchy for holding company, brand, franchisee, region, location and department.</w:t>
      </w:r>
    </w:p>
    <w:p>
      <w:pPr>
        <w:pStyle w:val="Bullet1"/>
        <w:spacing w:after="40" w:line="252" w:lineRule="auto"/>
      </w:pPr>
      <w:r>
        <w:rPr>
          <w:rFonts w:ascii="Noto Sans" w:hAnsi="Noto Sans"/>
        </w:rPr>
        <w:t>Central standards with inherited/local overrides for catalog, pricing, membership, brand, access and operations.</w:t>
      </w:r>
    </w:p>
    <w:p>
      <w:pPr>
        <w:pStyle w:val="Bullet1"/>
        <w:spacing w:after="40" w:line="252" w:lineRule="auto"/>
      </w:pPr>
      <w:r>
        <w:rPr>
          <w:rFonts w:ascii="Noto Sans" w:hAnsi="Noto Sans"/>
        </w:rPr>
        <w:t>Cross-location member access, home club, revenue attribution, transfer and data ownership policy.</w:t>
      </w:r>
    </w:p>
    <w:p>
      <w:pPr>
        <w:pStyle w:val="Bullet1"/>
        <w:spacing w:after="40" w:line="252" w:lineRule="auto"/>
      </w:pPr>
      <w:r>
        <w:rPr>
          <w:rFonts w:ascii="Noto Sans" w:hAnsi="Noto Sans"/>
        </w:rPr>
        <w:t>Comparable scorecards and exception queues for revenue, churn, conversion, NPS, staffing, maintenance and compliance.</w:t>
      </w:r>
    </w:p>
    <w:p>
      <w:pPr>
        <w:pStyle w:val="Bullet1"/>
        <w:spacing w:after="40" w:line="252" w:lineRule="auto"/>
      </w:pPr>
      <w:r>
        <w:rPr>
          <w:rFonts w:ascii="Noto Sans" w:hAnsi="Noto Sans"/>
        </w:rPr>
        <w:t>Franchise royalty, marketing fund, shared services, intercompany allocation and settlement exports.</w:t>
      </w:r>
    </w:p>
    <w:p>
      <w:pPr>
        <w:pStyle w:val="Bullet1"/>
        <w:spacing w:after="40" w:line="252" w:lineRule="auto"/>
      </w:pPr>
      <w:r>
        <w:rPr>
          <w:rFonts w:ascii="Noto Sans" w:hAnsi="Noto Sans"/>
        </w:rPr>
        <w:t>Location opening/closing playbooks, readiness gates and configuration templates.</w:t>
      </w:r>
    </w:p>
    <w:p>
      <w:pPr>
        <w:pStyle w:val="Bullet1"/>
        <w:spacing w:after="40" w:line="252" w:lineRule="auto"/>
      </w:pPr>
      <w:r>
        <w:rPr>
          <w:rFonts w:ascii="Noto Sans" w:hAnsi="Noto Sans"/>
        </w:rPr>
        <w:t>Benchmarking with normalized metrics and permissions by hierarchy scope.</w:t>
      </w:r>
    </w:p>
    <w:p>
      <w:pPr>
        <w:pStyle w:val="Heading3"/>
        <w:keepNext/>
      </w:pPr>
      <w:r>
        <w:t>Critical Controls</w:t>
      </w:r>
    </w:p>
    <w:p>
      <w:pPr>
        <w:pStyle w:val="Bullet1"/>
        <w:spacing w:after="40" w:line="252" w:lineRule="auto"/>
      </w:pPr>
      <w:r>
        <w:rPr>
          <w:rFonts w:ascii="Noto Sans" w:hAnsi="Noto Sans"/>
        </w:rPr>
        <w:t>Local overrides are explicit, bounded and reviewable.</w:t>
      </w:r>
    </w:p>
    <w:p>
      <w:pPr>
        <w:pStyle w:val="Bullet1"/>
        <w:spacing w:after="40" w:line="252" w:lineRule="auto"/>
      </w:pPr>
      <w:r>
        <w:rPr>
          <w:rFonts w:ascii="Noto Sans" w:hAnsi="Noto Sans"/>
        </w:rPr>
        <w:t>Cross-location analytics use governed definitions and ownership rules.</w:t>
      </w:r>
    </w:p>
    <w:p>
      <w:pPr>
        <w:pStyle w:val="Heading3"/>
        <w:keepNext/>
      </w:pPr>
      <w:r>
        <w:t>Required Outcomes</w:t>
      </w:r>
    </w:p>
    <w:p>
      <w:pPr>
        <w:pStyle w:val="Bullet1"/>
        <w:spacing w:after="40" w:line="252" w:lineRule="auto"/>
      </w:pPr>
      <w:r>
        <w:rPr>
          <w:rFonts w:ascii="Noto Sans" w:hAnsi="Noto Sans"/>
        </w:rPr>
        <w:t>Head office sees the chain as one operating system.</w:t>
      </w:r>
    </w:p>
    <w:p>
      <w:pPr>
        <w:pStyle w:val="Bullet1"/>
        <w:spacing w:after="40" w:line="252" w:lineRule="auto"/>
      </w:pPr>
      <w:r>
        <w:rPr>
          <w:rFonts w:ascii="Noto Sans" w:hAnsi="Noto Sans"/>
        </w:rPr>
        <w:t>Local managers retain autonomy within approved guardrails.</w:t>
      </w:r>
    </w:p>
    <w:p>
      <w:pPr>
        <w:pStyle w:val="Heading3"/>
        <w:keepNext/>
      </w:pPr>
      <w:r>
        <w:t>Technical Realization Notes</w:t>
      </w:r>
    </w:p>
    <w:p>
      <w:pPr>
        <w:pStyle w:val="Bullet1"/>
        <w:spacing w:after="40" w:line="252" w:lineRule="auto"/>
      </w:pPr>
      <w:r>
        <w:t>Authority &amp; storage: product-plane PostgreSQL app schema. Authoritative aggregates are FranchiseNetwork, Franchisee, GovernanceTemplate, Override, HomeClub, IntercompanyAllocation and RoyaltyStatement. Governance/override policy is effective-dated and hierarchy-scoped; analytics are derived projections.</w:t>
      </w:r>
    </w:p>
    <w:p>
      <w:pPr>
        <w:pStyle w:val="Bullet1"/>
        <w:spacing w:after="40" w:line="252" w:lineRule="auto"/>
      </w:pPr>
      <w:r>
        <w:t>Command inventory: CreateFranchiseNetwork, RegisterFranchisee, PublishGovernanceTemplate, RequestLocationOverride, ApproveLocationOverride, ChangeMemberHomeClub, RecordIntercompanyAllocation, GenerateRoyaltyStatement, CloseRoyaltyPeriod, OpenLocationReadiness, CloseLocation. Commands enforce hierarchy scope, effective version and approval policy.</w:t>
      </w:r>
    </w:p>
    <w:p>
      <w:pPr>
        <w:pStyle w:val="Bullet1"/>
        <w:spacing w:after="40" w:line="252" w:lineRule="auto"/>
      </w:pPr>
      <w:r>
        <w:t>Queries/read models: NetworkHierarchy, EffectiveGovernanceByLocation, OverrideRegistry, LocationExceptionQueue, CrossLocationMemberAccessSummary, HomeClubHistory, ComparableLocationScorecard, RoyaltyStatementDetail and IntercompanySettlementSummary. Projections expose metric-definition and freshness versions.</w:t>
      </w:r>
    </w:p>
    <w:p>
      <w:pPr>
        <w:pStyle w:val="Bullet1"/>
      </w:pPr>
      <w:r>
        <w:t>Indexes/concurrency: hierarchy-node paths and location scope are tenant-leading; only one effective governance template version per scope/time window; overrides reference the inherited policy version they replace; home-club changes are serialized per member; royalty statements are unique per franchisee/period/version and immutable after close except append-only correction.</w:t>
      </w:r>
    </w:p>
    <w:p>
      <w:pPr>
        <w:pStyle w:val="Bullet1"/>
      </w:pPr>
      <w:r>
        <w:t>Published events: governance.published, location.exception.detected, member.home_club.changed, royalty.statement.created. Consumed dependencies: PLT-01, PLT-02, INT-01, COM-04, IAM-03 through stable contracts/projections; finance corrections post through COM-04 rather than mutating closed royalty history.</w:t>
      </w:r>
    </w:p>
    <w:p>
      <w:pPr>
        <w:pStyle w:val="Bullet1"/>
      </w:pPr>
      <w:r>
        <w:t>Failure/degraded behavior: a stale governance projection cannot authorize a new local override; the caller re-reads the authoritative effective policy. Cross-location analytics may show stale status but never drive access/billing mutations. Royalty generation is idempotent and reconciliation failures open a case instead of rewriting a closed period.</w:t>
      </w:r>
    </w:p>
    <w:p>
      <w:pPr>
        <w:pStyle w:val="Bullet1"/>
      </w:pPr>
      <w:r>
        <w:t>Security/privacy: hierarchy scope is part of every authorization decision. Franchise users see only permitted brands/regions/locations; cross-location member detail follows the underlying member/health/finance policies rather than franchise role alone. Governance and override approvals are fully audited.</w:t>
      </w:r>
    </w:p>
    <w:p>
      <w:pPr>
        <w:pStyle w:val="Bullet1"/>
      </w:pPr>
      <w:r>
        <w:t>SLI/SLO: Enterprise franchise/admin APIs target 99.9% monthly availability; governance reads p95 &lt;500 ms; cross-location scorecards may use an explicit analytics freshness budget and cannot authorize consequence-bearing actions.</w:t>
      </w:r>
    </w:p>
    <w:p>
      <w:pPr>
        <w:pStyle w:val="Bullet1"/>
      </w:pPr>
      <w:r>
        <w:t>Tests/runbook: property tests cover policy inheritance/override precedence, home-club serialization, royalty allocation balancing, closed-period immutability and hierarchy authorization. Runbook RB-B2B-02 covers governance projection drift, invalid overrides, home-club conflict and royalty/intercompany reconciliation.</w:t>
      </w:r>
    </w:p>
    <w:p>
      <w:pPr>
        <w:pStyle w:val="Heading2"/>
        <w:keepNext/>
      </w:pPr>
      <w:r>
        <w:t>10.40 ECO-01 - Developer Platform, APIs, Webhooks &amp; Sandbox</w:t>
      </w:r>
    </w:p>
    <w:tbl>
      <w:tblPr>
        <w:tblStyle w:val="TableGrid"/>
        <w:tblW w:type="dxa" w:w="9684"/>
        <w:jc w:val="center"/>
        <w:tblLayout w:type="autofit"/>
        <w:tblLook w:firstColumn="1" w:firstRow="1" w:lastColumn="0" w:lastRow="0" w:noHBand="0" w:noVBand="1" w:val="04A0"/>
      </w:tblPr>
      <w:tblGrid>
        <w:gridCol w:w="4842"/>
        <w:gridCol w:w="4842"/>
      </w:tblGrid>
      <w:tr>
        <w:trPr>
          <w:tblHeader w:val="true"/>
          <w:tblHeader w:val="true"/>
        </w:trPr>
        <w:tc>
          <w:tcPr>
            <w:tcW w:type="dxa" w:w="219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Attribute</w:t>
            </w:r>
          </w:p>
        </w:tc>
        <w:tc>
          <w:tcPr>
            <w:tcW w:type="dxa" w:w="758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Technical Design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phase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V2 Platform</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surfaces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Developer Portal; Admin Web; Internal SaaS Console</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dependencies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IAM-01, IAM-03, DAT-01, REL-01</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Authoritative entities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DeveloperApp, OAuthGrant, APIKey, Scope, WebhookSubscription, WebhookDelivery, SandboxTenant, SDKVersion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Key events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developer_app.created, oauth.granted, api.rate_limited, webhook.delivered, webhook.failed, api.version.deprecated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store</w:t>
            </w:r>
          </w:p>
        </w:tc>
        <w:tc>
          <w:tcPr>
            <w:tcW w:type="dxa" w:w="7588"/>
            <w:tcMar>
              <w:top w:w="70" w:type="dxa"/>
              <w:start w:w="85" w:type="dxa"/>
              <w:bottom w:w="70" w:type="dxa"/>
              <w:end w:w="85" w:type="dxa"/>
              <w:left w:w="80" w:type="dxa"/>
              <w:right w:w="80" w:type="dxa"/>
            </w:tcMar>
            <w:vAlign w:val="center"/>
          </w:tcPr>
          <w:p>
            <w:r>
              <w:t>Product PostgreSQL app schema with module-prefixed authoritative tables; no cross-domain write-table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Data classification</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Confidential/tenant-scoped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Continuity tier</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Tier 2</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Technical interface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Domain command/query interface; no direct 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Async/workflow contract</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Transactional outbox for state changes; idempotent consumers.</w:t>
            </w:r>
          </w:p>
        </w:tc>
      </w:tr>
      <w:tr>
        <w:tc>
          <w:tcPr>
            <w:tcW w:type="dxa" w:w="4842"/>
            <w:tcMar>
              <w:top w:w="70" w:type="dxa"/>
              <w:left w:w="80" w:type="dxa"/>
              <w:bottom w:w="70" w:type="dxa"/>
              <w:right w:w="80" w:type="dxa"/>
            </w:tcMar>
          </w:tcPr>
          <w:p>
            <w:r>
              <w:t>Implementation slice</w:t>
            </w:r>
          </w:p>
        </w:tc>
        <w:tc>
          <w:tcPr>
            <w:tcW w:type="dxa" w:w="4842"/>
            <w:tcMar>
              <w:top w:w="70" w:type="dxa"/>
              <w:left w:w="80" w:type="dxa"/>
              <w:bottom w:w="70" w:type="dxa"/>
              <w:right w:w="80" w:type="dxa"/>
            </w:tcMar>
          </w:tcPr>
          <w:p>
            <w:r>
              <w:t>V2 Platform</w:t>
            </w:r>
          </w:p>
        </w:tc>
      </w:tr>
    </w:tbl>
    <w:p>
      <w:pPr>
        <w:spacing w:after="40"/>
      </w:pPr>
    </w:p>
    <w:p>
      <w:pPr>
        <w:spacing w:after="80" w:line="259" w:lineRule="auto"/>
      </w:pPr>
      <w:r>
        <w:rPr>
          <w:rFonts w:ascii="Noto Sans" w:hAnsi="Noto Sans"/>
        </w:rPr>
        <w:t>Make Veyro an extensible platform with secure, stable and observable integration contracts.</w:t>
      </w:r>
    </w:p>
    <w:p>
      <w:pPr>
        <w:pStyle w:val="Heading3"/>
        <w:keepNext/>
      </w:pPr>
      <w:r>
        <w:t>Required Capabilities Preserved</w:t>
      </w:r>
    </w:p>
    <w:p>
      <w:pPr>
        <w:pStyle w:val="Bullet1"/>
        <w:spacing w:after="40" w:line="252" w:lineRule="auto"/>
      </w:pPr>
      <w:r>
        <w:rPr>
          <w:rFonts w:ascii="Noto Sans" w:hAnsi="Noto Sans"/>
        </w:rPr>
        <w:t>Versioned public APIs with consistent resources, pagination, filtering, errors and idempotency.</w:t>
      </w:r>
    </w:p>
    <w:p>
      <w:pPr>
        <w:pStyle w:val="Bullet1"/>
        <w:spacing w:after="40" w:line="252" w:lineRule="auto"/>
      </w:pPr>
      <w:r>
        <w:rPr>
          <w:rFonts w:ascii="Noto Sans" w:hAnsi="Noto Sans"/>
        </w:rPr>
        <w:t>OAuth 2/OIDC applications, tenant authorization, granular scopes, API keys and service accounts.</w:t>
      </w:r>
    </w:p>
    <w:p>
      <w:pPr>
        <w:pStyle w:val="Bullet1"/>
        <w:spacing w:after="40" w:line="252" w:lineRule="auto"/>
      </w:pPr>
      <w:r>
        <w:rPr>
          <w:rFonts w:ascii="Noto Sans" w:hAnsi="Noto Sans"/>
        </w:rPr>
        <w:t>Webhook subscriptions, event filtering, signing, retries, ordering guidance, replay and delivery logs.</w:t>
      </w:r>
    </w:p>
    <w:p>
      <w:pPr>
        <w:pStyle w:val="Bullet1"/>
        <w:spacing w:after="40" w:line="252" w:lineRule="auto"/>
      </w:pPr>
      <w:r>
        <w:rPr>
          <w:rFonts w:ascii="Noto Sans" w:hAnsi="Noto Sans"/>
        </w:rPr>
        <w:t>Sandbox tenant, test data, simulated providers and safe webhook endpoint testing.</w:t>
      </w:r>
    </w:p>
    <w:p>
      <w:pPr>
        <w:pStyle w:val="Bullet1"/>
        <w:spacing w:after="40" w:line="252" w:lineRule="auto"/>
      </w:pPr>
      <w:r>
        <w:rPr>
          <w:rFonts w:ascii="Noto Sans" w:hAnsi="Noto Sans"/>
        </w:rPr>
        <w:t>Developer portal with documentation, examples, SDKs, changelog, status and support.</w:t>
      </w:r>
    </w:p>
    <w:p>
      <w:pPr>
        <w:pStyle w:val="Bullet1"/>
        <w:spacing w:after="40" w:line="252" w:lineRule="auto"/>
      </w:pPr>
      <w:r>
        <w:rPr>
          <w:rFonts w:ascii="Noto Sans" w:hAnsi="Noto Sans"/>
        </w:rPr>
        <w:t>Rate limits, quotas, usage analytics, error diagnostics and credential rotation.</w:t>
      </w:r>
    </w:p>
    <w:p>
      <w:pPr>
        <w:pStyle w:val="Bullet1"/>
        <w:spacing w:after="40" w:line="252" w:lineRule="auto"/>
      </w:pPr>
      <w:r>
        <w:rPr>
          <w:rFonts w:ascii="Noto Sans" w:hAnsi="Noto Sans"/>
        </w:rPr>
        <w:t>API versioning, compatibility, deprecation, migration guides and contract tests.</w:t>
      </w:r>
    </w:p>
    <w:p>
      <w:pPr>
        <w:pStyle w:val="Bullet1"/>
        <w:spacing w:after="40" w:line="252" w:lineRule="auto"/>
      </w:pPr>
      <w:r>
        <w:rPr>
          <w:rFonts w:ascii="Noto Sans" w:hAnsi="Noto Sans"/>
        </w:rPr>
        <w:t>Partner certification and security review for sensitive scopes.</w:t>
      </w:r>
    </w:p>
    <w:p>
      <w:pPr>
        <w:pStyle w:val="Heading3"/>
        <w:keepNext/>
      </w:pPr>
      <w:r>
        <w:t>Critical Controls</w:t>
      </w:r>
    </w:p>
    <w:p>
      <w:pPr>
        <w:pStyle w:val="Bullet1"/>
        <w:spacing w:after="40" w:line="252" w:lineRule="auto"/>
      </w:pPr>
      <w:r>
        <w:rPr>
          <w:rFonts w:ascii="Noto Sans" w:hAnsi="Noto Sans"/>
        </w:rPr>
        <w:t>API authorization is tenant-bound and scope-limited.</w:t>
      </w:r>
    </w:p>
    <w:p>
      <w:pPr>
        <w:pStyle w:val="Bullet1"/>
        <w:spacing w:after="40" w:line="252" w:lineRule="auto"/>
      </w:pPr>
      <w:r>
        <w:rPr>
          <w:rFonts w:ascii="Noto Sans" w:hAnsi="Noto Sans"/>
        </w:rPr>
        <w:t>Backward compatibility and deprecation windows are contractual product commitments.</w:t>
      </w:r>
    </w:p>
    <w:p>
      <w:pPr>
        <w:pStyle w:val="Heading3"/>
        <w:keepNext/>
      </w:pPr>
      <w:r>
        <w:t>Required Outcomes</w:t>
      </w:r>
    </w:p>
    <w:p>
      <w:pPr>
        <w:pStyle w:val="Bullet1"/>
        <w:spacing w:after="40" w:line="252" w:lineRule="auto"/>
      </w:pPr>
      <w:r>
        <w:rPr>
          <w:rFonts w:ascii="Noto Sans" w:hAnsi="Noto Sans"/>
        </w:rPr>
        <w:t>Partners integrate without private documentation or manual credential exchange.</w:t>
      </w:r>
    </w:p>
    <w:p>
      <w:pPr>
        <w:pStyle w:val="Bullet1"/>
        <w:spacing w:after="40" w:line="252" w:lineRule="auto"/>
      </w:pPr>
      <w:r>
        <w:rPr>
          <w:rFonts w:ascii="Noto Sans" w:hAnsi="Noto Sans"/>
        </w:rPr>
        <w:t>Integrations are observable and supportable by tenant and partner.</w:t>
      </w:r>
    </w:p>
    <w:p>
      <w:pPr>
        <w:pStyle w:val="Heading3"/>
        <w:keepNext/>
      </w:pPr>
      <w:r>
        <w:t>Technical Realization Notes</w:t>
      </w:r>
    </w:p>
    <w:p>
      <w:pPr>
        <w:pStyle w:val="Bullet1"/>
        <w:spacing w:after="40" w:line="252" w:lineRule="auto"/>
      </w:pPr>
      <w:r>
        <w:t>Authority &amp; storage: Product PostgreSQL app schema with module-prefixed authoritative tables; no cross-domain write-table access. Authoritative entities/tables are DeveloperApp, OAuthGrant, APIKey, Scope, WebhookSubscription, WebhookDelivery, SandboxTenant, SDKVersion.</w:t>
      </w:r>
    </w:p>
    <w:p>
      <w:pPr>
        <w:pStyle w:val="Bullet1"/>
        <w:spacing w:after="40" w:line="252" w:lineRule="auto"/>
      </w:pPr>
      <w:r>
        <w:t>Command inventory: CreateAPIApp, GrantScope, RotateClientSecret, RegisterWebhook, DeliverWebhook, ReplayPublicWebhook, CreateSandboxTenant. Every command declares permission, idempotency, expected aggregate version and transaction boundary.</w:t>
      </w:r>
    </w:p>
    <w:p>
      <w:pPr>
        <w:pStyle w:val="Bullet1"/>
        <w:spacing w:after="40" w:line="252" w:lineRule="auto"/>
      </w:pPr>
      <w:r>
        <w:t>Queries/read models: List/detail and history projections for DeveloperApp, OAuthGrant, APIKey, Scope; role/surface-specific attention/summary read models for Developer Portal; Admin Web; Internal SaaS Console; every projection exposes freshness/version metadata when asynchronously built.</w:t>
      </w:r>
    </w:p>
    <w:p>
      <w:pPr>
        <w:pStyle w:val="Bullet1"/>
      </w:pPr>
      <w:r>
        <w:t>Indexes/concurrency: tenant-leading indexes for primary list/detail paths; unique external/provider identifiers are scoped by tenant/provider; aggregate version supports optimistic concurrency.</w:t>
      </w:r>
    </w:p>
    <w:p>
      <w:pPr>
        <w:pStyle w:val="Bullet1"/>
      </w:pPr>
      <w:r>
        <w:t>Published events: developer_app.created, oauth.granted, api.rate_limited, webhook.delivered, webhook.failed, api.version.deprecated. Consumed dependencies: IAM-01, IAM-03, DAT-01, REL-01; dependencies are accessed by stable contracts/projections, never direct write-table joins.</w:t>
      </w:r>
    </w:p>
    <w:p>
      <w:pPr>
        <w:pStyle w:val="Bullet1"/>
      </w:pPr>
      <w:r>
        <w:t>Failure/degraded behavior: Write commands fail atomically; asynchronous effects retry idempotently; stale read models carry freshness and cannot authorize a consequence-bearing mutation beyond budget.</w:t>
      </w:r>
    </w:p>
    <w:p>
      <w:pPr>
        <w:pStyle w:val="Bullet1"/>
      </w:pPr>
      <w:r>
        <w:t>Security/privacy: classification is enforced at field/resource level; tenant context and authorization are mandatory. Restricted data follows §21 controls; support/break-glass access creates delegated actor evidence.</w:t>
      </w:r>
    </w:p>
    <w:p>
      <w:pPr>
        <w:pStyle w:val="Bullet1"/>
      </w:pPr>
      <w:r>
        <w:t>SLI/SLO: Surface/domain API 99.9% initial target; p95 &lt;500-750 ms by workload; queue/projection freshness per §12.5.</w:t>
      </w:r>
    </w:p>
    <w:p>
      <w:pPr>
        <w:pStyle w:val="Bullet1"/>
      </w:pPr>
      <w:r>
        <w:t>Tests/runbook: invariant/property tests for each state transition; contract tests for APIs/events; tenant isolation negative test where tenant-owned; runbook RB-ECO-01 covers stuck commands, reconciliation, provider/dependency outage and repair without history rewrite.</w:t>
      </w:r>
    </w:p>
    <w:p>
      <w:pPr>
        <w:pStyle w:val="Heading2"/>
        <w:keepNext/>
      </w:pPr>
      <w:r>
        <w:t>10.41 ECO-02 - Integration Framework, Marketplace &amp; Partner Ecosystem</w:t>
      </w:r>
    </w:p>
    <w:tbl>
      <w:tblPr>
        <w:tblStyle w:val="TableGrid"/>
        <w:tblW w:type="dxa" w:w="9684"/>
        <w:jc w:val="center"/>
        <w:tblLayout w:type="autofit"/>
        <w:tblLook w:firstColumn="1" w:firstRow="1" w:lastColumn="0" w:lastRow="0" w:noHBand="0" w:noVBand="1" w:val="04A0"/>
      </w:tblPr>
      <w:tblGrid>
        <w:gridCol w:w="4842"/>
        <w:gridCol w:w="4842"/>
      </w:tblGrid>
      <w:tr>
        <w:trPr>
          <w:tblHeader w:val="true"/>
          <w:tblHeader w:val="true"/>
        </w:trPr>
        <w:tc>
          <w:tcPr>
            <w:tcW w:type="dxa" w:w="219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Attribute</w:t>
            </w:r>
          </w:p>
        </w:tc>
        <w:tc>
          <w:tcPr>
            <w:tcW w:type="dxa" w:w="758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Technical Design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phase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V2 Platform</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surfaces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Admin Web; Developer Portal; Internal SaaS Console</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dependencies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ECO-01, PLT-03, SEC-01, REL-01</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Authoritative entities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IntegrationDefinition, IntegrationInstall, Connection, CredentialRef, SyncCursor, ConnectorRun, MarketplaceListing, PartnerAccount</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Key events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integration.installed, integration.connected, integration.sync.failed, credential.expiring, marketplace.listing.approved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store</w:t>
            </w:r>
          </w:p>
        </w:tc>
        <w:tc>
          <w:tcPr>
            <w:tcW w:type="dxa" w:w="7588"/>
            <w:tcMar>
              <w:top w:w="70" w:type="dxa"/>
              <w:start w:w="85" w:type="dxa"/>
              <w:bottom w:w="70" w:type="dxa"/>
              <w:end w:w="85" w:type="dxa"/>
              <w:left w:w="80" w:type="dxa"/>
              <w:right w:w="80" w:type="dxa"/>
            </w:tcMar>
            <w:vAlign w:val="center"/>
          </w:tcPr>
          <w:p>
            <w:r>
              <w:t>Product PostgreSQL app schema with module-prefixed authoritative tables; no cross-domain write-table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Data classification</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Confidential/tenant-scoped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Continuity tier</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Tier 2</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Technical interface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Domain command/query interface; no direct table access. Publishes permission-safe search projection.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Async/workflow contract</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Transactional outbox for state changes; idempotent consumers. Durable workflow orchestration for multi-step/timer/provider processes.</w:t>
            </w:r>
          </w:p>
        </w:tc>
      </w:tr>
      <w:tr>
        <w:tc>
          <w:tcPr>
            <w:tcW w:type="dxa" w:w="4842"/>
            <w:tcMar>
              <w:top w:w="70" w:type="dxa"/>
              <w:left w:w="80" w:type="dxa"/>
              <w:bottom w:w="70" w:type="dxa"/>
              <w:right w:w="80" w:type="dxa"/>
            </w:tcMar>
          </w:tcPr>
          <w:p>
            <w:r>
              <w:t>Implementation slice</w:t>
            </w:r>
          </w:p>
        </w:tc>
        <w:tc>
          <w:tcPr>
            <w:tcW w:type="dxa" w:w="4842"/>
            <w:tcMar>
              <w:top w:w="70" w:type="dxa"/>
              <w:left w:w="80" w:type="dxa"/>
              <w:bottom w:w="70" w:type="dxa"/>
              <w:right w:w="80" w:type="dxa"/>
            </w:tcMar>
          </w:tcPr>
          <w:p>
            <w:r>
              <w:t>Foundation adapter core; V2 marketplace/partner ecosystem</w:t>
            </w:r>
          </w:p>
        </w:tc>
      </w:tr>
    </w:tbl>
    <w:p>
      <w:pPr>
        <w:spacing w:after="40"/>
      </w:pPr>
    </w:p>
    <w:p>
      <w:pPr>
        <w:spacing w:after="80" w:line="259" w:lineRule="auto"/>
      </w:pPr>
      <w:r>
        <w:rPr>
          <w:rFonts w:ascii="Noto Sans" w:hAnsi="Noto Sans"/>
        </w:rPr>
        <w:t>Connect payments, messaging, accounting, wearables, access, HR, analytics and regional providers through governed adapters.</w:t>
      </w:r>
    </w:p>
    <w:p>
      <w:pPr>
        <w:pStyle w:val="Heading3"/>
        <w:keepNext/>
      </w:pPr>
      <w:r>
        <w:t>Required Capabilities Preserved</w:t>
      </w:r>
    </w:p>
    <w:p>
      <w:pPr>
        <w:pStyle w:val="Bullet1"/>
        <w:spacing w:after="40" w:line="252" w:lineRule="auto"/>
      </w:pPr>
      <w:r>
        <w:rPr>
          <w:rFonts w:ascii="Noto Sans" w:hAnsi="Noto Sans"/>
        </w:rPr>
        <w:t>Integration catalog with capabilities, regions, prerequisites, permissions, pricing and support owner.</w:t>
      </w:r>
    </w:p>
    <w:p>
      <w:pPr>
        <w:pStyle w:val="Bullet1"/>
        <w:spacing w:after="40" w:line="252" w:lineRule="auto"/>
      </w:pPr>
      <w:r>
        <w:rPr>
          <w:rFonts w:ascii="Noto Sans" w:hAnsi="Noto Sans"/>
        </w:rPr>
        <w:t>Standard connector lifecycle: install, authorize, configure, validate, activate, monitor, rotate and uninstall.</w:t>
      </w:r>
    </w:p>
    <w:p>
      <w:pPr>
        <w:pStyle w:val="Bullet1"/>
        <w:spacing w:after="40" w:line="252" w:lineRule="auto"/>
      </w:pPr>
      <w:r>
        <w:rPr>
          <w:rFonts w:ascii="Noto Sans" w:hAnsi="Noto Sans"/>
        </w:rPr>
        <w:t>Provider abstraction for payments, WhatsApp/SMS/email, accounting, access hardware, identity and storage.</w:t>
      </w:r>
    </w:p>
    <w:p>
      <w:pPr>
        <w:pStyle w:val="Bullet1"/>
        <w:spacing w:after="40" w:line="252" w:lineRule="auto"/>
      </w:pPr>
      <w:r>
        <w:rPr>
          <w:rFonts w:ascii="Noto Sans" w:hAnsi="Noto Sans"/>
        </w:rPr>
        <w:t>Credential vault, tenant-specific secrets, least scopes and automated rotation reminders.</w:t>
      </w:r>
    </w:p>
    <w:p>
      <w:pPr>
        <w:pStyle w:val="Bullet1"/>
        <w:spacing w:after="40" w:line="252" w:lineRule="auto"/>
      </w:pPr>
      <w:r>
        <w:rPr>
          <w:rFonts w:ascii="Noto Sans" w:hAnsi="Noto Sans"/>
        </w:rPr>
        <w:t>Sync state, cursor, retries, conflict policy, dead-letter, reconciliation and diagnostics.</w:t>
      </w:r>
    </w:p>
    <w:p>
      <w:pPr>
        <w:pStyle w:val="Bullet1"/>
        <w:spacing w:after="40" w:line="252" w:lineRule="auto"/>
      </w:pPr>
      <w:r>
        <w:rPr>
          <w:rFonts w:ascii="Noto Sans" w:hAnsi="Noto Sans"/>
        </w:rPr>
        <w:t>Marketplace listing, review, certification, trial, billing, revenue share, ratings and support route.</w:t>
      </w:r>
    </w:p>
    <w:p>
      <w:pPr>
        <w:pStyle w:val="Bullet1"/>
        <w:spacing w:after="40" w:line="252" w:lineRule="auto"/>
      </w:pPr>
      <w:r>
        <w:rPr>
          <w:rFonts w:ascii="Noto Sans" w:hAnsi="Noto Sans"/>
        </w:rPr>
        <w:t>Vendor dependency register with SLA, outage fallback, cost and exit plan.</w:t>
      </w:r>
    </w:p>
    <w:p>
      <w:pPr>
        <w:pStyle w:val="Heading3"/>
        <w:keepNext/>
      </w:pPr>
      <w:r>
        <w:t>Critical Controls</w:t>
      </w:r>
    </w:p>
    <w:p>
      <w:pPr>
        <w:pStyle w:val="Bullet1"/>
        <w:spacing w:after="40" w:line="252" w:lineRule="auto"/>
      </w:pPr>
      <w:r>
        <w:rPr>
          <w:rFonts w:ascii="Noto Sans" w:hAnsi="Noto Sans"/>
        </w:rPr>
        <w:t>Third parties receive only required data and permissions.</w:t>
      </w:r>
    </w:p>
    <w:p>
      <w:pPr>
        <w:pStyle w:val="Bullet1"/>
        <w:spacing w:after="40" w:line="252" w:lineRule="auto"/>
      </w:pPr>
      <w:r>
        <w:rPr>
          <w:rFonts w:ascii="Noto Sans" w:hAnsi="Noto Sans"/>
        </w:rPr>
        <w:t>Critical integrations require fallback, reconciliation and documented exit strategy.</w:t>
      </w:r>
    </w:p>
    <w:p>
      <w:pPr>
        <w:pStyle w:val="Heading3"/>
        <w:keepNext/>
      </w:pPr>
      <w:r>
        <w:t>Required Outcomes</w:t>
      </w:r>
    </w:p>
    <w:p>
      <w:pPr>
        <w:pStyle w:val="Bullet1"/>
        <w:spacing w:after="40" w:line="252" w:lineRule="auto"/>
      </w:pPr>
      <w:r>
        <w:rPr>
          <w:rFonts w:ascii="Noto Sans" w:hAnsi="Noto Sans"/>
        </w:rPr>
        <w:t>Regional and vertical capability expands without bloating the core product.</w:t>
      </w:r>
    </w:p>
    <w:p>
      <w:pPr>
        <w:pStyle w:val="Bullet1"/>
        <w:spacing w:after="40" w:line="252" w:lineRule="auto"/>
      </w:pPr>
      <w:r>
        <w:rPr>
          <w:rFonts w:ascii="Noto Sans" w:hAnsi="Noto Sans"/>
        </w:rPr>
        <w:t>Partners become a distribution and innovation channel.</w:t>
      </w:r>
    </w:p>
    <w:p>
      <w:pPr>
        <w:pStyle w:val="Heading3"/>
        <w:keepNext/>
      </w:pPr>
      <w:r>
        <w:t>Technical Realization Notes</w:t>
      </w:r>
    </w:p>
    <w:p>
      <w:pPr>
        <w:pStyle w:val="Bullet1"/>
        <w:spacing w:after="40" w:line="252" w:lineRule="auto"/>
      </w:pPr>
      <w:r>
        <w:t>Authority &amp; storage: Product PostgreSQL app schema with module-prefixed authoritative tables; no cross-domain write-table access. Authoritative entities/tables are IntegrationDefinition, IntegrationInstall, Connection, CredentialRef, SyncCursor, ConnectorRun, MarketplaceListing, PartnerAccount.</w:t>
      </w:r>
    </w:p>
    <w:p>
      <w:pPr>
        <w:pStyle w:val="Bullet1"/>
        <w:spacing w:after="40" w:line="252" w:lineRule="auto"/>
      </w:pPr>
      <w:r>
        <w:t>Command inventory: InstallIntegration, AuthorizeProvider, SyncIntegration, RotateIntegrationSecret, DisableIntegration, UninstallIntegration, CertifyPartner. Every command declares permission, idempotency, expected aggregate version and transaction boundary.</w:t>
      </w:r>
    </w:p>
    <w:p>
      <w:pPr>
        <w:pStyle w:val="Bullet1"/>
        <w:spacing w:after="40" w:line="252" w:lineRule="auto"/>
      </w:pPr>
      <w:r>
        <w:t>Queries/read models: List/detail and history projections for IntegrationDefinition, IntegrationInstall, Connection, CredentialRef; role/surface-specific attention/summary read models for Admin Web; Developer Portal; Internal SaaS Console; every projection exposes freshness/version metadata when asynchronously built.</w:t>
      </w:r>
    </w:p>
    <w:p>
      <w:pPr>
        <w:pStyle w:val="Bullet1"/>
      </w:pPr>
      <w:r>
        <w:t>Indexes/concurrency: tenant-leading indexes for primary list/detail paths; unique external/provider identifiers are scoped by tenant/provider; aggregate version supports optimistic concurrency.</w:t>
      </w:r>
    </w:p>
    <w:p>
      <w:pPr>
        <w:pStyle w:val="Bullet1"/>
      </w:pPr>
      <w:r>
        <w:t>Published events: integration.installed, integration.connected, integration.sync.failed, credential.expiring, marketplace.listing.approved, integration.uninstalled. Consumed dependencies: ECO-01, PLT-03, SEC-01, REL-01; dependencies are accessed by stable contracts/projections, never direct write-table joins.</w:t>
      </w:r>
    </w:p>
    <w:p>
      <w:pPr>
        <w:pStyle w:val="Bullet1"/>
      </w:pPr>
      <w:r>
        <w:t>Failure/degraded behavior: Write commands fail atomically; asynchronous effects retry idempotently; stale read models carry freshness and cannot authorize a consequence-bearing mutation beyond budget.</w:t>
      </w:r>
    </w:p>
    <w:p>
      <w:pPr>
        <w:pStyle w:val="Bullet1"/>
      </w:pPr>
      <w:r>
        <w:t>Security/privacy: classification is enforced at field/resource level; tenant context and authorization are mandatory. Restricted data follows §21 controls; support/break-glass access creates delegated actor evidence.</w:t>
      </w:r>
    </w:p>
    <w:p>
      <w:pPr>
        <w:pStyle w:val="Bullet1"/>
      </w:pPr>
      <w:r>
        <w:t>SLI/SLO: Surface/domain API 99.9% initial target; p95 &lt;500-750 ms by workload; queue/projection freshness per §12.5.</w:t>
      </w:r>
    </w:p>
    <w:p>
      <w:pPr>
        <w:pStyle w:val="Bullet1"/>
      </w:pPr>
      <w:r>
        <w:t>Tests/runbook: invariant/property tests for each state transition; contract tests for APIs/events; tenant isolation negative test where tenant-owned; runbook RB-ECO-02 covers stuck commands, reconciliation, provider/dependency outage and repair without history rewrite.</w:t>
      </w:r>
    </w:p>
    <w:p>
      <w:pPr>
        <w:pStyle w:val="Heading2"/>
        <w:keepNext/>
      </w:pPr>
      <w:r>
        <w:t>10.42 ECO-03 - Hardware Abstraction, Edge Runtime &amp; Device Fleet</w:t>
      </w:r>
    </w:p>
    <w:tbl>
      <w:tblPr>
        <w:tblStyle w:val="TableGrid"/>
        <w:tblW w:type="dxa" w:w="9684"/>
        <w:jc w:val="center"/>
        <w:tblLayout w:type="autofit"/>
        <w:tblLook w:firstColumn="1" w:firstRow="1" w:lastColumn="0" w:lastRow="0" w:noHBand="0" w:noVBand="1" w:val="04A0"/>
      </w:tblPr>
      <w:tblGrid>
        <w:gridCol w:w="4842"/>
        <w:gridCol w:w="4842"/>
      </w:tblGrid>
      <w:tr>
        <w:trPr>
          <w:tblHeader w:val="true"/>
          <w:tblHeader w:val="true"/>
        </w:trPr>
        <w:tc>
          <w:tcPr>
            <w:tcW w:type="dxa" w:w="219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Attribute</w:t>
            </w:r>
          </w:p>
        </w:tc>
        <w:tc>
          <w:tcPr>
            <w:tcW w:type="dxa" w:w="758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Technical Design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phase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V2 Platform</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surfaces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Internal SaaS Console; Admin Web; Edge Runtime</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dependencies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PLT-01, IAM-01, REL-01, SEC-01</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Authoritative entities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Device, DeviceType, DeviceCapability, DeviceCertificate, Firmware, EdgePolicySnapshot, DeviceCommand, DeviceTelemetry</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Key events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device.enrolled, device.online, device.offline, device.command.completed, firmware.updated, edge.sync.conflict</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store</w:t>
            </w:r>
          </w:p>
        </w:tc>
        <w:tc>
          <w:tcPr>
            <w:tcW w:type="dxa" w:w="7588"/>
            <w:tcMar>
              <w:top w:w="70" w:type="dxa"/>
              <w:start w:w="85" w:type="dxa"/>
              <w:bottom w:w="70" w:type="dxa"/>
              <w:end w:w="85" w:type="dxa"/>
              <w:left w:w="80" w:type="dxa"/>
              <w:right w:w="80" w:type="dxa"/>
            </w:tcMar>
            <w:vAlign w:val="center"/>
          </w:tcPr>
          <w:p>
            <w:r>
              <w:t>Control-plane device registry + edge-local SQLite WAL; no unrestricted tenant DB replica.</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Data classification</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Confidential/tenant-scoped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Continuity tier</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Tier 2</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Technical interface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Domain command/query interface; no direct 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Async/workflow contract</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Transactional outbox for state changes; idempotent consumers. Durable workflow orchestration for multi-step/timer/provider processes.</w:t>
            </w:r>
          </w:p>
        </w:tc>
      </w:tr>
      <w:tr>
        <w:tc>
          <w:tcPr>
            <w:tcW w:type="dxa" w:w="4842"/>
            <w:tcMar>
              <w:top w:w="70" w:type="dxa"/>
              <w:left w:w="80" w:type="dxa"/>
              <w:bottom w:w="70" w:type="dxa"/>
              <w:right w:w="80" w:type="dxa"/>
            </w:tcMar>
          </w:tcPr>
          <w:p>
            <w:r>
              <w:t>Implementation slice</w:t>
            </w:r>
          </w:p>
        </w:tc>
        <w:tc>
          <w:tcPr>
            <w:tcW w:type="dxa" w:w="4842"/>
            <w:tcMar>
              <w:top w:w="70" w:type="dxa"/>
              <w:left w:w="80" w:type="dxa"/>
              <w:bottom w:w="70" w:type="dxa"/>
              <w:right w:w="80" w:type="dxa"/>
            </w:tcMar>
          </w:tcPr>
          <w:p>
            <w:r>
              <w:t>Foundation/Pilot edge bridge core; V2 fleet/marketplace depth</w:t>
            </w:r>
          </w:p>
        </w:tc>
      </w:tr>
    </w:tbl>
    <w:p>
      <w:pPr>
        <w:spacing w:after="40"/>
      </w:pPr>
    </w:p>
    <w:p>
      <w:pPr>
        <w:spacing w:after="80" w:line="259" w:lineRule="auto"/>
      </w:pPr>
      <w:r>
        <w:rPr>
          <w:rFonts w:ascii="Noto Sans" w:hAnsi="Noto Sans"/>
        </w:rPr>
        <w:t>Operate turnstiles, biometric terminals, scanners, kiosks, POS devices and connected equipment without vendor lock-in.</w:t>
      </w:r>
    </w:p>
    <w:p>
      <w:pPr>
        <w:pStyle w:val="Heading3"/>
        <w:keepNext/>
      </w:pPr>
      <w:r>
        <w:t>Required Capabilities Preserved</w:t>
      </w:r>
    </w:p>
    <w:p>
      <w:pPr>
        <w:pStyle w:val="Bullet1"/>
        <w:spacing w:after="40" w:line="252" w:lineRule="auto"/>
      </w:pPr>
      <w:r>
        <w:rPr>
          <w:rFonts w:ascii="Noto Sans" w:hAnsi="Noto Sans"/>
        </w:rPr>
        <w:t>Canonical device capabilities for credential read, access actuation, biometric match, scan, print, payment and telemetry.</w:t>
      </w:r>
    </w:p>
    <w:p>
      <w:pPr>
        <w:pStyle w:val="Bullet1"/>
        <w:spacing w:after="40" w:line="252" w:lineRule="auto"/>
      </w:pPr>
      <w:r>
        <w:rPr>
          <w:rFonts w:ascii="Noto Sans" w:hAnsi="Noto Sans"/>
        </w:rPr>
        <w:t>Vendor adapters behind stable commands, events, health and configuration contracts.</w:t>
      </w:r>
    </w:p>
    <w:p>
      <w:pPr>
        <w:pStyle w:val="Bullet1"/>
        <w:spacing w:after="40" w:line="252" w:lineRule="auto"/>
      </w:pPr>
      <w:r>
        <w:rPr>
          <w:rFonts w:ascii="Noto Sans" w:hAnsi="Noto Sans"/>
        </w:rPr>
        <w:t>Device enrollment, tenant/location assignment, certificate, firmware, configuration and remote revoke.</w:t>
      </w:r>
    </w:p>
    <w:p>
      <w:pPr>
        <w:pStyle w:val="Bullet1"/>
        <w:spacing w:after="40" w:line="252" w:lineRule="auto"/>
      </w:pPr>
      <w:r>
        <w:rPr>
          <w:rFonts w:ascii="Noto Sans" w:hAnsi="Noto Sans"/>
        </w:rPr>
        <w:t>Edge runtime with signed policy/data cache, local queue, secure time, retry and conflict handling.</w:t>
      </w:r>
    </w:p>
    <w:p>
      <w:pPr>
        <w:pStyle w:val="Bullet1"/>
        <w:spacing w:after="40" w:line="252" w:lineRule="auto"/>
      </w:pPr>
      <w:r>
        <w:rPr>
          <w:rFonts w:ascii="Noto Sans" w:hAnsi="Noto Sans"/>
        </w:rPr>
        <w:t>Fleet dashboard for online status, latency, errors, storage, version, peripherals and last sync.</w:t>
      </w:r>
    </w:p>
    <w:p>
      <w:pPr>
        <w:pStyle w:val="Bullet1"/>
        <w:spacing w:after="40" w:line="252" w:lineRule="auto"/>
      </w:pPr>
      <w:r>
        <w:rPr>
          <w:rFonts w:ascii="Noto Sans" w:hAnsi="Noto Sans"/>
        </w:rPr>
        <w:t>Remote commands, staged rollout, maintenance mode, diagnostics bundle and replacement workflow.</w:t>
      </w:r>
    </w:p>
    <w:p>
      <w:pPr>
        <w:pStyle w:val="Bullet1"/>
        <w:spacing w:after="40" w:line="252" w:lineRule="auto"/>
      </w:pPr>
      <w:r>
        <w:rPr>
          <w:rFonts w:ascii="Noto Sans" w:hAnsi="Noto Sans"/>
        </w:rPr>
        <w:t>Mobile device management integration for dedicated tablets and kiosks.</w:t>
      </w:r>
    </w:p>
    <w:p>
      <w:pPr>
        <w:pStyle w:val="Heading3"/>
        <w:keepNext/>
      </w:pPr>
      <w:r>
        <w:t>Critical Controls</w:t>
      </w:r>
    </w:p>
    <w:p>
      <w:pPr>
        <w:pStyle w:val="Bullet1"/>
        <w:spacing w:after="40" w:line="252" w:lineRule="auto"/>
      </w:pPr>
      <w:r>
        <w:rPr>
          <w:rFonts w:ascii="Noto Sans" w:hAnsi="Noto Sans"/>
        </w:rPr>
        <w:t>Devices authenticate with rotating certificates; default credentials are forbidden.</w:t>
      </w:r>
    </w:p>
    <w:p>
      <w:pPr>
        <w:pStyle w:val="Bullet1"/>
        <w:spacing w:after="40" w:line="252" w:lineRule="auto"/>
      </w:pPr>
      <w:r>
        <w:rPr>
          <w:rFonts w:ascii="Noto Sans" w:hAnsi="Noto Sans"/>
        </w:rPr>
        <w:t>Remote commands are scoped, signed, audited and bounded by device safety.</w:t>
      </w:r>
    </w:p>
    <w:p>
      <w:pPr>
        <w:pStyle w:val="Heading3"/>
        <w:keepNext/>
      </w:pPr>
      <w:r>
        <w:t>Required Outcomes</w:t>
      </w:r>
    </w:p>
    <w:p>
      <w:pPr>
        <w:pStyle w:val="Bullet1"/>
        <w:spacing w:after="40" w:line="252" w:lineRule="auto"/>
      </w:pPr>
      <w:r>
        <w:rPr>
          <w:rFonts w:ascii="Noto Sans" w:hAnsi="Noto Sans"/>
        </w:rPr>
        <w:t>Hardware vendors can change without rewriting gym workflows.</w:t>
      </w:r>
    </w:p>
    <w:p>
      <w:pPr>
        <w:pStyle w:val="Bullet1"/>
        <w:spacing w:after="40" w:line="252" w:lineRule="auto"/>
      </w:pPr>
      <w:r>
        <w:rPr>
          <w:rFonts w:ascii="Noto Sans" w:hAnsi="Noto Sans"/>
        </w:rPr>
        <w:t>Fleet failures are detected before they block club operation.</w:t>
      </w:r>
    </w:p>
    <w:p>
      <w:pPr>
        <w:pStyle w:val="Heading3"/>
        <w:keepNext/>
      </w:pPr>
      <w:r>
        <w:t>Technical Realization Notes</w:t>
      </w:r>
    </w:p>
    <w:p>
      <w:pPr>
        <w:pStyle w:val="Bullet1"/>
        <w:spacing w:after="40" w:line="252" w:lineRule="auto"/>
      </w:pPr>
      <w:r>
        <w:t>Authority &amp; storage: Control-plane device registry + edge-local SQLite WAL; no unrestricted tenant DB replica. Authoritative entities/tables are Device, DeviceType, DeviceCapability, DeviceCertificate, Firmware, EdgePolicySnapshot, DeviceCommand, DeviceTelemetry.</w:t>
      </w:r>
    </w:p>
    <w:p>
      <w:pPr>
        <w:pStyle w:val="Bullet1"/>
        <w:spacing w:after="40" w:line="252" w:lineRule="auto"/>
      </w:pPr>
      <w:r>
        <w:t>Command inventory: RegisterDevice, ProvisionEdgeAgent, ConfigureDevice, PublishDevicePolicy, RotateDeviceCertificate, UpdateEdgeAgent, QuarantineDevice, RecordDeviceHealth. Every command declares permission, idempotency, expected aggregate version and transaction boundary.</w:t>
      </w:r>
    </w:p>
    <w:p>
      <w:pPr>
        <w:pStyle w:val="Bullet1"/>
        <w:spacing w:after="40" w:line="252" w:lineRule="auto"/>
      </w:pPr>
      <w:r>
        <w:t>Queries/read models: List/detail and history projections for Device, DeviceType, DeviceCapability, DeviceCertificate; role/surface-specific attention/summary read models for Internal SaaS Console; Admin Web; Edge Runtime; every projection exposes freshness/version metadata when asynchronously built.</w:t>
      </w:r>
    </w:p>
    <w:p>
      <w:pPr>
        <w:pStyle w:val="Bullet1"/>
        <w:spacing w:after="40" w:line="252" w:lineRule="auto"/>
      </w:pPr>
      <w:r>
        <w:t>Indexes/concurrency: tenant-leading indexes for primary list/detail paths; unique external/provider identifiers are scoped by tenant/provider; aggregate version supports optimistic concurrency.</w:t>
      </w:r>
    </w:p>
    <w:p>
      <w:pPr>
        <w:pStyle w:val="Bullet1"/>
      </w:pPr>
      <w:r>
        <w:t>Published events: device.enrolled, device.online, device.offline, device.command.completed, firmware.updated, edge.sync.conflict. Consumed dependencies: PLT-01, IAM-01, REL-01, SEC-01; dependencies are accessed by stable contracts/projections, never direct write-table joins.</w:t>
      </w:r>
    </w:p>
    <w:p>
      <w:pPr>
        <w:pStyle w:val="Bullet1"/>
      </w:pPr>
      <w:r>
        <w:t>Failure/degraded behavior: Write commands fail atomically; asynchronous effects retry idempotently; stale read models carry freshness and cannot authorize a consequence-bearing mutation beyond budget.</w:t>
      </w:r>
    </w:p>
    <w:p>
      <w:pPr>
        <w:pStyle w:val="Bullet1"/>
      </w:pPr>
      <w:r>
        <w:t>Security/privacy: classification is enforced at field/resource level; tenant context and authorization are mandatory. Restricted data follows §21 controls; support/break-glass access creates delegated actor evidence.</w:t>
      </w:r>
    </w:p>
    <w:p>
      <w:pPr>
        <w:pStyle w:val="Bullet1"/>
      </w:pPr>
      <w:r>
        <w:t>SLI/SLO: Surface/domain API 99.9% initial target; p95 &lt;500-750 ms by workload; queue/projection freshness per §12.5.</w:t>
      </w:r>
    </w:p>
    <w:p>
      <w:pPr>
        <w:pStyle w:val="Bullet1"/>
      </w:pPr>
      <w:r>
        <w:t>Tests/runbook: invariant/property tests for each state transition; contract tests for APIs/events; tenant isolation negative test where tenant-owned; runbook RB-ECO-03 covers stuck commands, reconciliation, provider/dependency outage and repair without history rewrite.</w:t>
      </w:r>
    </w:p>
    <w:p>
      <w:pPr>
        <w:pStyle w:val="Heading2"/>
        <w:keepNext/>
      </w:pPr>
      <w:r>
        <w:t>10.43 WHT-01 - White-label, App Builder, CMS &amp; Mobile Release Operations</w:t>
      </w:r>
    </w:p>
    <w:tbl>
      <w:tblPr>
        <w:tblStyle w:val="TableGrid"/>
        <w:tblW w:type="dxa" w:w="9684"/>
        <w:jc w:val="center"/>
        <w:tblLayout w:type="autofit"/>
        <w:tblLook w:firstColumn="1" w:firstRow="1" w:lastColumn="0" w:lastRow="0" w:noHBand="0" w:noVBand="1" w:val="04A0"/>
      </w:tblPr>
      <w:tblGrid>
        <w:gridCol w:w="4842"/>
        <w:gridCol w:w="4842"/>
      </w:tblGrid>
      <w:tr>
        <w:trPr>
          <w:tblHeader w:val="true"/>
          <w:tblHeader w:val="true"/>
        </w:trPr>
        <w:tc>
          <w:tcPr>
            <w:tcW w:type="dxa" w:w="219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Attribute</w:t>
            </w:r>
          </w:p>
        </w:tc>
        <w:tc>
          <w:tcPr>
            <w:tcW w:type="dxa" w:w="758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Technical Design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phase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V2 Platform</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surfaces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Admin Web; Member App; Internal SaaS Console</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dependencies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PLT-02, PLT-03, ENG-02, GOV-01</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Authoritative entities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BrandTheme, AppConfiguration, ContentItem, ContentVersion, ContentTarget, BrandedApp, Build, StoreRelease</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Key events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content.published, app_configuration.changed, build.completed, store_release.approved, mobile_version.deprecated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store</w:t>
            </w:r>
          </w:p>
        </w:tc>
        <w:tc>
          <w:tcPr>
            <w:tcW w:type="dxa" w:w="7588"/>
            <w:tcMar>
              <w:top w:w="70" w:type="dxa"/>
              <w:start w:w="85" w:type="dxa"/>
              <w:bottom w:w="70" w:type="dxa"/>
              <w:end w:w="85" w:type="dxa"/>
              <w:left w:w="80" w:type="dxa"/>
              <w:right w:w="80" w:type="dxa"/>
            </w:tcMar>
            <w:vAlign w:val="center"/>
          </w:tcPr>
          <w:p>
            <w:r>
              <w:t>Product PostgreSQL app schema with module-prefixed authoritative tables; no cross-domain write-table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Data classification</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Confidential/tenant-scoped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Continuity tier</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Tier 2</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Technical interface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Domain command/query interface; no direct 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Async/workflow contract</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Transactional outbox for state changes; idempotent consumers. Durable workflow orchestration for multi-step/timer/provider processes.</w:t>
            </w:r>
          </w:p>
        </w:tc>
      </w:tr>
      <w:tr>
        <w:tc>
          <w:tcPr>
            <w:tcW w:type="dxa" w:w="4842"/>
            <w:tcMar>
              <w:top w:w="70" w:type="dxa"/>
              <w:left w:w="80" w:type="dxa"/>
              <w:bottom w:w="70" w:type="dxa"/>
              <w:right w:w="80" w:type="dxa"/>
            </w:tcMar>
          </w:tcPr>
          <w:p>
            <w:r>
              <w:t>Implementation slice</w:t>
            </w:r>
          </w:p>
        </w:tc>
        <w:tc>
          <w:tcPr>
            <w:tcW w:type="dxa" w:w="4842"/>
            <w:tcMar>
              <w:top w:w="70" w:type="dxa"/>
              <w:left w:w="80" w:type="dxa"/>
              <w:bottom w:w="70" w:type="dxa"/>
              <w:right w:w="80" w:type="dxa"/>
            </w:tcMar>
          </w:tcPr>
          <w:p>
            <w:r>
              <w:t>V2 Platform</w:t>
            </w:r>
          </w:p>
        </w:tc>
      </w:tr>
    </w:tbl>
    <w:p>
      <w:pPr>
        <w:spacing w:after="40"/>
      </w:pPr>
    </w:p>
    <w:p>
      <w:pPr>
        <w:spacing w:after="80" w:line="259" w:lineRule="auto"/>
      </w:pPr>
      <w:r>
        <w:rPr>
          <w:rFonts w:ascii="Noto Sans" w:hAnsi="Noto Sans"/>
        </w:rPr>
        <w:t>Let each brand deliver a differentiated member experience without forking the product or losing release control.</w:t>
      </w:r>
    </w:p>
    <w:p>
      <w:pPr>
        <w:pStyle w:val="Heading3"/>
        <w:keepNext/>
      </w:pPr>
      <w:r>
        <w:t>Required Capabilities Preserved</w:t>
      </w:r>
    </w:p>
    <w:p>
      <w:pPr>
        <w:pStyle w:val="Bullet1"/>
        <w:spacing w:after="40" w:line="252" w:lineRule="auto"/>
      </w:pPr>
      <w:r>
        <w:rPr>
          <w:rFonts w:ascii="Noto Sans" w:hAnsi="Noto Sans"/>
        </w:rPr>
        <w:t>Brand tokens for logo, icon, color, typography, imagery, tone, domains, sender identities and legal links.</w:t>
      </w:r>
    </w:p>
    <w:p>
      <w:pPr>
        <w:pStyle w:val="Bullet1"/>
        <w:spacing w:after="40" w:line="252" w:lineRule="auto"/>
      </w:pPr>
      <w:r>
        <w:rPr>
          <w:rFonts w:ascii="Noto Sans" w:hAnsi="Noto Sans"/>
        </w:rPr>
        <w:t>Configurable navigation, home modules, feature visibility, campaigns, banners, content blocks and service shortcuts.</w:t>
      </w:r>
    </w:p>
    <w:p>
      <w:pPr>
        <w:pStyle w:val="Bullet1"/>
        <w:spacing w:after="40" w:line="252" w:lineRule="auto"/>
      </w:pPr>
      <w:r>
        <w:rPr>
          <w:rFonts w:ascii="Noto Sans" w:hAnsi="Noto Sans"/>
        </w:rPr>
        <w:t>CMS for announcements, onboarding, help, exercises, recipes, programs, challenges, promotions and legal content.</w:t>
      </w:r>
    </w:p>
    <w:p>
      <w:pPr>
        <w:pStyle w:val="Bullet1"/>
        <w:spacing w:after="40" w:line="252" w:lineRule="auto"/>
      </w:pPr>
      <w:r>
        <w:rPr>
          <w:rFonts w:ascii="Noto Sans" w:hAnsi="Noto Sans"/>
        </w:rPr>
        <w:t>Content workflow with draft, review, localization, scheduling, targeting, versioning and rollback.</w:t>
      </w:r>
    </w:p>
    <w:p>
      <w:pPr>
        <w:pStyle w:val="Bullet1"/>
        <w:spacing w:after="40" w:line="252" w:lineRule="auto"/>
      </w:pPr>
      <w:r>
        <w:rPr>
          <w:rFonts w:ascii="Noto Sans" w:hAnsi="Noto Sans"/>
        </w:rPr>
        <w:t>Branded app ownership model, store account setup, signing, certificates, privacy labels and asset validation.</w:t>
      </w:r>
    </w:p>
    <w:p>
      <w:pPr>
        <w:pStyle w:val="Bullet1"/>
        <w:spacing w:after="40" w:line="252" w:lineRule="auto"/>
      </w:pPr>
      <w:r>
        <w:rPr>
          <w:rFonts w:ascii="Noto Sans" w:hAnsi="Noto Sans"/>
        </w:rPr>
        <w:t>Automated build pipeline, version matrix, staged rollout, minimum supported version and forced/optional update.</w:t>
      </w:r>
    </w:p>
    <w:p>
      <w:pPr>
        <w:pStyle w:val="Bullet1"/>
        <w:spacing w:after="40" w:line="252" w:lineRule="auto"/>
      </w:pPr>
      <w:r>
        <w:rPr>
          <w:rFonts w:ascii="Noto Sans" w:hAnsi="Noto Sans"/>
        </w:rPr>
        <w:t>Preview environment showing exact member experience by brand, location, language, plan and feature flags.</w:t>
      </w:r>
    </w:p>
    <w:p>
      <w:pPr>
        <w:pStyle w:val="Bullet1"/>
        <w:spacing w:after="40" w:line="252" w:lineRule="auto"/>
      </w:pPr>
      <w:r>
        <w:rPr>
          <w:rFonts w:ascii="Noto Sans" w:hAnsi="Noto Sans"/>
        </w:rPr>
        <w:t>Release fleet dashboard for app review, store status, certificates, crashes and adoption.</w:t>
      </w:r>
    </w:p>
    <w:p>
      <w:pPr>
        <w:pStyle w:val="Heading3"/>
        <w:keepNext/>
      </w:pPr>
      <w:r>
        <w:t>Critical Controls</w:t>
      </w:r>
    </w:p>
    <w:p>
      <w:pPr>
        <w:pStyle w:val="Bullet1"/>
        <w:spacing w:after="40" w:line="252" w:lineRule="auto"/>
      </w:pPr>
      <w:r>
        <w:rPr>
          <w:rFonts w:ascii="Noto Sans" w:hAnsi="Noto Sans"/>
        </w:rPr>
        <w:t>Tenant customization is configuration and content, never unreviewed executable code.</w:t>
      </w:r>
    </w:p>
    <w:p>
      <w:pPr>
        <w:pStyle w:val="Bullet1"/>
        <w:spacing w:after="40" w:line="252" w:lineRule="auto"/>
      </w:pPr>
      <w:r>
        <w:rPr>
          <w:rFonts w:ascii="Noto Sans" w:hAnsi="Noto Sans"/>
        </w:rPr>
        <w:t>Store credentials and signing materials are isolated, encrypted and rotated.</w:t>
      </w:r>
    </w:p>
    <w:p>
      <w:pPr>
        <w:pStyle w:val="Heading3"/>
        <w:keepNext/>
      </w:pPr>
      <w:r>
        <w:t>Required Outcomes</w:t>
      </w:r>
    </w:p>
    <w:p>
      <w:pPr>
        <w:pStyle w:val="Bullet1"/>
        <w:spacing w:after="40" w:line="252" w:lineRule="auto"/>
      </w:pPr>
      <w:r>
        <w:rPr>
          <w:rFonts w:ascii="Noto Sans" w:hAnsi="Noto Sans"/>
        </w:rPr>
        <w:t>Brands achieve differentiation without slowing the core roadmap.</w:t>
      </w:r>
    </w:p>
    <w:p>
      <w:pPr>
        <w:pStyle w:val="Bullet1"/>
        <w:spacing w:after="40" w:line="252" w:lineRule="auto"/>
      </w:pPr>
      <w:r>
        <w:rPr>
          <w:rFonts w:ascii="Noto Sans" w:hAnsi="Noto Sans"/>
        </w:rPr>
        <w:t>Hundreds of branded apps remain supportable and updateable.</w:t>
      </w:r>
    </w:p>
    <w:p>
      <w:pPr>
        <w:pStyle w:val="Heading3"/>
        <w:keepNext/>
      </w:pPr>
      <w:r>
        <w:t>Technical Realization Notes</w:t>
      </w:r>
    </w:p>
    <w:p>
      <w:pPr>
        <w:pStyle w:val="Bullet1"/>
        <w:spacing w:after="40" w:line="252" w:lineRule="auto"/>
      </w:pPr>
      <w:r>
        <w:t>Authority &amp; storage: Product PostgreSQL app schema with module-prefixed authoritative tables; no cross-domain write-table access. Authoritative entities/tables are BrandTheme, AppConfiguration, ContentItem, ContentVersion, ContentTarget, BrandedApp, Build, StoreRelease.</w:t>
      </w:r>
    </w:p>
    <w:p>
      <w:pPr>
        <w:pStyle w:val="Bullet1"/>
        <w:spacing w:after="40" w:line="252" w:lineRule="auto"/>
      </w:pPr>
      <w:r>
        <w:t>Command inventory: CreateBrandTheme, PublishContentBundle, BuildBrandedApp, ValidateSigningAssets, StageMobileRelease, RollbackMobileRelease. Every command declares permission, idempotency, expected aggregate version and transaction boundary.</w:t>
      </w:r>
    </w:p>
    <w:p>
      <w:pPr>
        <w:pStyle w:val="Bullet1"/>
        <w:spacing w:after="40" w:line="252" w:lineRule="auto"/>
      </w:pPr>
      <w:r>
        <w:t>Queries/read models: List/detail and history projections for BrandTheme, AppConfiguration, ContentItem, ContentVersion; role/surface-specific attention/summary read models for Admin Web; Member App; Internal SaaS Console; every projection exposes freshness/version metadata when asynchronously built.</w:t>
      </w:r>
    </w:p>
    <w:p>
      <w:pPr>
        <w:pStyle w:val="Bullet1"/>
      </w:pPr>
      <w:r>
        <w:t>Indexes/concurrency: tenant-leading indexes for primary list/detail paths; unique external/provider identifiers are scoped by tenant/provider; aggregate version supports optimistic concurrency.</w:t>
      </w:r>
    </w:p>
    <w:p>
      <w:pPr>
        <w:pStyle w:val="Bullet1"/>
      </w:pPr>
      <w:r>
        <w:t>Published events: content.published, app_configuration.changed, build.completed, store_release.approved, mobile_version.deprecated. Consumed dependencies: PLT-02, PLT-03, ENG-02, GOV-01; dependencies are accessed by stable contracts/projections, never direct write-table joins.</w:t>
      </w:r>
    </w:p>
    <w:p>
      <w:pPr>
        <w:pStyle w:val="Bullet1"/>
      </w:pPr>
      <w:r>
        <w:t>Failure/degraded behavior: Write commands fail atomically; asynchronous effects retry idempotently; stale read models carry freshness and cannot authorize a consequence-bearing mutation beyond budget.</w:t>
      </w:r>
    </w:p>
    <w:p>
      <w:pPr>
        <w:pStyle w:val="Bullet1"/>
      </w:pPr>
      <w:r>
        <w:t>Security/privacy: classification is enforced at field/resource level; tenant context and authorization are mandatory. Restricted data follows §21 controls; support/break-glass access creates delegated actor evidence.</w:t>
      </w:r>
    </w:p>
    <w:p>
      <w:pPr>
        <w:pStyle w:val="Bullet1"/>
      </w:pPr>
      <w:r>
        <w:t>SLI/SLO: Surface/domain API 99.9% initial target; p95 &lt;500-750 ms by workload; queue/projection freshness per §12.5.</w:t>
      </w:r>
    </w:p>
    <w:p>
      <w:pPr>
        <w:pStyle w:val="Bullet1"/>
      </w:pPr>
      <w:r>
        <w:t>Tests/runbook: invariant/property tests for each state transition; contract tests for APIs/events; tenant isolation negative test where tenant-owned; runbook RB-WHT-01 covers stuck commands, reconciliation, provider/dependency outage and repair without history rewrite.</w:t>
      </w:r>
    </w:p>
    <w:p>
      <w:pPr>
        <w:pStyle w:val="Heading2"/>
        <w:keepNext/>
      </w:pPr>
      <w:r>
        <w:t>10.44 WHT-02 - Localization, RTL, Accessibility &amp; Regional Policy</w:t>
      </w:r>
    </w:p>
    <w:tbl>
      <w:tblPr>
        <w:tblStyle w:val="TableGrid"/>
        <w:tblW w:type="dxa" w:w="9684"/>
        <w:jc w:val="center"/>
        <w:tblLayout w:type="autofit"/>
        <w:tblLook w:firstColumn="1" w:firstRow="1" w:lastColumn="0" w:lastRow="0" w:noHBand="0" w:noVBand="1" w:val="04A0"/>
      </w:tblPr>
      <w:tblGrid>
        <w:gridCol w:w="4842"/>
        <w:gridCol w:w="4842"/>
      </w:tblGrid>
      <w:tr>
        <w:trPr>
          <w:tblHeader w:val="true"/>
          <w:tblHeader w:val="true"/>
        </w:trPr>
        <w:tc>
          <w:tcPr>
            <w:tcW w:type="dxa" w:w="219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Attribute</w:t>
            </w:r>
          </w:p>
        </w:tc>
        <w:tc>
          <w:tcPr>
            <w:tcW w:type="dxa" w:w="758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Technical Design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phase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Foundation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surfaces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All Surfaces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dependencies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PLT-01, PLT-02, GOV-01</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Authoritative entities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Locale, TranslationKey, TranslationVersion, RegionalPolicyPack, AccessibilityIssue, CurrencyConfiguration, TaxLocale</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Key events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translation.published, regional_policy.updated, accessibility.issue.detected, locale.changed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store</w:t>
            </w:r>
          </w:p>
        </w:tc>
        <w:tc>
          <w:tcPr>
            <w:tcW w:type="dxa" w:w="7588"/>
            <w:tcMar>
              <w:top w:w="70" w:type="dxa"/>
              <w:start w:w="85" w:type="dxa"/>
              <w:bottom w:w="70" w:type="dxa"/>
              <w:end w:w="85" w:type="dxa"/>
              <w:left w:w="80" w:type="dxa"/>
              <w:right w:w="80" w:type="dxa"/>
            </w:tcMar>
            <w:vAlign w:val="center"/>
          </w:tcPr>
          <w:p>
            <w:r>
              <w:t>Product PostgreSQL app schema with module-prefixed authoritative tables; no cross-domain write-table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Data classification</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Confidential/tenant-scoped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Continuity tier</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Tier 2</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Technical interface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Domain command/query interface; no direct 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Async/workflow contract</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Transactional outbox for state changes; idempotent consumers.</w:t>
            </w:r>
          </w:p>
        </w:tc>
      </w:tr>
      <w:tr>
        <w:tc>
          <w:tcPr>
            <w:tcW w:type="dxa" w:w="4842"/>
            <w:tcMar>
              <w:top w:w="70" w:type="dxa"/>
              <w:left w:w="80" w:type="dxa"/>
              <w:bottom w:w="70" w:type="dxa"/>
              <w:right w:w="80" w:type="dxa"/>
            </w:tcMar>
          </w:tcPr>
          <w:p>
            <w:r>
              <w:t>Implementation slice</w:t>
            </w:r>
          </w:p>
        </w:tc>
        <w:tc>
          <w:tcPr>
            <w:tcW w:type="dxa" w:w="4842"/>
            <w:tcMar>
              <w:top w:w="70" w:type="dxa"/>
              <w:left w:w="80" w:type="dxa"/>
              <w:bottom w:w="70" w:type="dxa"/>
              <w:right w:w="80" w:type="dxa"/>
            </w:tcMar>
          </w:tcPr>
          <w:p>
            <w:r>
              <w:t>Foundation</w:t>
            </w:r>
          </w:p>
        </w:tc>
      </w:tr>
    </w:tbl>
    <w:p>
      <w:pPr>
        <w:spacing w:after="40"/>
      </w:pPr>
    </w:p>
    <w:p>
      <w:pPr>
        <w:spacing w:after="80" w:line="259" w:lineRule="auto"/>
      </w:pPr>
      <w:r>
        <w:rPr>
          <w:rFonts w:ascii="Noto Sans" w:hAnsi="Noto Sans"/>
        </w:rPr>
        <w:t>Make Veyro usable, compliant and operationally correct across languages, abilities, currencies, cultures and jurisdictions.</w:t>
      </w:r>
    </w:p>
    <w:p>
      <w:pPr>
        <w:pStyle w:val="Heading3"/>
        <w:keepNext/>
      </w:pPr>
      <w:r>
        <w:t>Required Capabilities Preserved</w:t>
      </w:r>
    </w:p>
    <w:p>
      <w:pPr>
        <w:pStyle w:val="Bullet1"/>
        <w:spacing w:after="40" w:line="252" w:lineRule="auto"/>
      </w:pPr>
      <w:r>
        <w:rPr>
          <w:rFonts w:ascii="Noto Sans" w:hAnsi="Noto Sans"/>
        </w:rPr>
        <w:t>First-class Arabic and English with full RTL/LTR layouts, mixed content and bidirectional testing.</w:t>
      </w:r>
    </w:p>
    <w:p>
      <w:pPr>
        <w:pStyle w:val="Bullet1"/>
        <w:spacing w:after="40" w:line="252" w:lineRule="auto"/>
      </w:pPr>
      <w:r>
        <w:rPr>
          <w:rFonts w:ascii="Noto Sans" w:hAnsi="Noto Sans"/>
        </w:rPr>
        <w:t>Locale-aware date, time, week start, number, currency, tax, name, address and phone formatting.</w:t>
      </w:r>
    </w:p>
    <w:p>
      <w:pPr>
        <w:pStyle w:val="Bullet1"/>
        <w:spacing w:after="40" w:line="252" w:lineRule="auto"/>
      </w:pPr>
      <w:r>
        <w:rPr>
          <w:rFonts w:ascii="Noto Sans" w:hAnsi="Noto Sans"/>
        </w:rPr>
        <w:t>Translation workflow, glossary, context, screenshot review, pluralization, fallback and tenant overrides.</w:t>
      </w:r>
    </w:p>
    <w:p>
      <w:pPr>
        <w:pStyle w:val="Bullet1"/>
        <w:spacing w:after="40" w:line="252" w:lineRule="auto"/>
      </w:pPr>
      <w:r>
        <w:rPr>
          <w:rFonts w:ascii="Noto Sans" w:hAnsi="Noto Sans"/>
        </w:rPr>
        <w:t>Accessibility for screen readers, dynamic type, keyboard, focus order, contrast, reduced motion, captions and touch targets.</w:t>
      </w:r>
    </w:p>
    <w:p>
      <w:pPr>
        <w:pStyle w:val="Bullet1"/>
        <w:spacing w:after="40" w:line="252" w:lineRule="auto"/>
      </w:pPr>
      <w:r>
        <w:rPr>
          <w:rFonts w:ascii="Noto Sans" w:hAnsi="Noto Sans"/>
        </w:rPr>
        <w:t>Regional payment, tax, invoicing, data residency, consent, biometrics, labor, contracts and communication policy packs.</w:t>
      </w:r>
    </w:p>
    <w:p>
      <w:pPr>
        <w:pStyle w:val="Bullet1"/>
        <w:spacing w:after="40" w:line="252" w:lineRule="auto"/>
      </w:pPr>
      <w:r>
        <w:rPr>
          <w:rFonts w:ascii="Noto Sans" w:hAnsi="Noto Sans"/>
        </w:rPr>
        <w:t>Cuisine, food, serving units, names and search behavior localized for nutrition.</w:t>
      </w:r>
    </w:p>
    <w:p>
      <w:pPr>
        <w:pStyle w:val="Bullet1"/>
        <w:spacing w:after="40" w:line="252" w:lineRule="auto"/>
      </w:pPr>
      <w:r>
        <w:rPr>
          <w:rFonts w:ascii="Noto Sans" w:hAnsi="Noto Sans"/>
        </w:rPr>
        <w:t>Time-zone, daylight-saving and cross-region schedule correctness.</w:t>
      </w:r>
    </w:p>
    <w:p>
      <w:pPr>
        <w:pStyle w:val="Bullet1"/>
        <w:spacing w:after="40" w:line="252" w:lineRule="auto"/>
      </w:pPr>
      <w:r>
        <w:rPr>
          <w:rFonts w:ascii="Noto Sans" w:hAnsi="Noto Sans"/>
        </w:rPr>
        <w:t>Localization and accessibility QA gates in design, development and release.</w:t>
      </w:r>
    </w:p>
    <w:p>
      <w:pPr>
        <w:pStyle w:val="Heading3"/>
        <w:keepNext/>
      </w:pPr>
      <w:r>
        <w:t>Critical Controls</w:t>
      </w:r>
    </w:p>
    <w:p>
      <w:pPr>
        <w:pStyle w:val="Bullet1"/>
        <w:spacing w:after="40" w:line="252" w:lineRule="auto"/>
      </w:pPr>
      <w:r>
        <w:rPr>
          <w:rFonts w:ascii="Noto Sans" w:hAnsi="Noto Sans"/>
        </w:rPr>
        <w:t>No critical workflow is considered complete until tested in Arabic RTL and English LTR.</w:t>
      </w:r>
    </w:p>
    <w:p>
      <w:pPr>
        <w:pStyle w:val="Bullet1"/>
        <w:spacing w:after="40" w:line="252" w:lineRule="auto"/>
      </w:pPr>
      <w:r>
        <w:rPr>
          <w:rFonts w:ascii="Noto Sans" w:hAnsi="Noto Sans"/>
        </w:rPr>
        <w:t>Accessibility conformance is measurable and release-blocking for critical defects.</w:t>
      </w:r>
    </w:p>
    <w:p>
      <w:pPr>
        <w:pStyle w:val="Heading3"/>
        <w:keepNext/>
      </w:pPr>
      <w:r>
        <w:t>Required Outcomes</w:t>
      </w:r>
    </w:p>
    <w:p>
      <w:pPr>
        <w:pStyle w:val="Bullet1"/>
        <w:spacing w:after="40" w:line="252" w:lineRule="auto"/>
      </w:pPr>
      <w:r>
        <w:rPr>
          <w:rFonts w:ascii="Noto Sans" w:hAnsi="Noto Sans"/>
        </w:rPr>
        <w:t>MENA/GCC users receive a native rather than translated experience.</w:t>
      </w:r>
    </w:p>
    <w:p>
      <w:pPr>
        <w:pStyle w:val="Bullet1"/>
        <w:spacing w:after="40" w:line="252" w:lineRule="auto"/>
      </w:pPr>
      <w:r>
        <w:rPr>
          <w:rFonts w:ascii="Noto Sans" w:hAnsi="Noto Sans"/>
        </w:rPr>
        <w:t>Regional expansion uses policy packs instead of product forks.</w:t>
      </w:r>
    </w:p>
    <w:p>
      <w:pPr>
        <w:pStyle w:val="Heading3"/>
        <w:keepNext/>
      </w:pPr>
      <w:r>
        <w:t>Technical Realization Notes</w:t>
      </w:r>
    </w:p>
    <w:p>
      <w:pPr>
        <w:pStyle w:val="Bullet1"/>
        <w:spacing w:after="40" w:line="252" w:lineRule="auto"/>
      </w:pPr>
      <w:r>
        <w:t>Authority &amp; storage: Product PostgreSQL app schema with module-prefixed authoritative tables; no cross-domain write-table access. Authoritative entities/tables are Locale, TranslationKey, TranslationVersion, RegionalPolicyPack, AccessibilityIssue, CurrencyConfiguration, TaxLocale.</w:t>
      </w:r>
    </w:p>
    <w:p>
      <w:pPr>
        <w:pStyle w:val="Bullet1"/>
        <w:spacing w:after="40" w:line="252" w:lineRule="auto"/>
      </w:pPr>
      <w:r>
        <w:t>Command inventory: PublishLocalePack, SetRegionalPolicy, ValidateRTL, ValidateAccessibility, ResolveFormatPolicy, ApproveTranslation. Every command declares permission, idempotency, expected aggregate version and transaction boundary.</w:t>
      </w:r>
    </w:p>
    <w:p>
      <w:pPr>
        <w:pStyle w:val="Bullet1"/>
        <w:spacing w:after="40" w:line="252" w:lineRule="auto"/>
      </w:pPr>
      <w:r>
        <w:t>Queries/read models: List/detail and history projections for Locale, TranslationKey, TranslationVersion, RegionalPolicyPack; role/surface-specific attention/summary read models for All Surfaces; every projection exposes freshness/version metadata when asynchronously built.</w:t>
      </w:r>
    </w:p>
    <w:p>
      <w:pPr>
        <w:pStyle w:val="Bullet1"/>
      </w:pPr>
      <w:r>
        <w:t>Indexes/concurrency: tenant-leading indexes for primary list/detail paths; unique external/provider identifiers are scoped by tenant/provider; aggregate version supports optimistic concurrency.</w:t>
      </w:r>
    </w:p>
    <w:p>
      <w:pPr>
        <w:pStyle w:val="Bullet1"/>
      </w:pPr>
      <w:r>
        <w:t>Published events: translation.published, regional_policy.updated, accessibility.issue.detected, locale.changed. Consumed dependencies: PLT-01, PLT-02, GOV-01; dependencies are accessed by stable contracts/projections, never direct write-table joins.</w:t>
      </w:r>
    </w:p>
    <w:p>
      <w:pPr>
        <w:pStyle w:val="Bullet1"/>
      </w:pPr>
      <w:r>
        <w:t>Failure/degraded behavior: Write commands fail atomically; asynchronous effects retry idempotently; stale read models carry freshness and cannot authorize a consequence-bearing mutation beyond budget.</w:t>
      </w:r>
    </w:p>
    <w:p>
      <w:pPr>
        <w:pStyle w:val="Bullet1"/>
      </w:pPr>
      <w:r>
        <w:t>Security/privacy: classification is enforced at field/resource level; tenant context and authorization are mandatory. Restricted data follows §21 controls; support/break-glass access creates delegated actor evidence.</w:t>
      </w:r>
    </w:p>
    <w:p>
      <w:pPr>
        <w:pStyle w:val="Bullet1"/>
      </w:pPr>
      <w:r>
        <w:t>SLI/SLO: Surface/domain API 99.9% initial target; p95 &lt;500-750 ms by workload; queue/projection freshness per §12.5.</w:t>
      </w:r>
    </w:p>
    <w:p>
      <w:pPr>
        <w:pStyle w:val="Bullet1"/>
      </w:pPr>
      <w:r>
        <w:t>Tests/runbook: invariant/property tests for each state transition; contract tests for APIs/events; tenant isolation negative test where tenant-owned; runbook RB-WHT-02 covers stuck commands, reconciliation, provider/dependency outage and repair without history rewrite.</w:t>
      </w:r>
    </w:p>
    <w:p>
      <w:pPr>
        <w:pStyle w:val="Heading2"/>
        <w:keepNext/>
      </w:pPr>
      <w:r>
        <w:t>10.45 DAT-01 - Domain Events, Event Bus &amp; Operational Timeline</w:t>
      </w:r>
    </w:p>
    <w:tbl>
      <w:tblPr>
        <w:tblStyle w:val="TableGrid"/>
        <w:tblW w:type="dxa" w:w="9684"/>
        <w:jc w:val="center"/>
        <w:tblLayout w:type="autofit"/>
        <w:tblLook w:firstColumn="1" w:firstRow="1" w:lastColumn="0" w:lastRow="0" w:noHBand="0" w:noVBand="1" w:val="04A0"/>
      </w:tblPr>
      <w:tblGrid>
        <w:gridCol w:w="4842"/>
        <w:gridCol w:w="4842"/>
      </w:tblGrid>
      <w:tr>
        <w:trPr>
          <w:tblHeader w:val="true"/>
          <w:tblHeader w:val="true"/>
        </w:trPr>
        <w:tc>
          <w:tcPr>
            <w:tcW w:type="dxa" w:w="219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Attribute</w:t>
            </w:r>
          </w:p>
        </w:tc>
        <w:tc>
          <w:tcPr>
            <w:tcW w:type="dxa" w:w="758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Technical Design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phase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Foundation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surfaces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Platform; Developer Portal; Internal SaaS Console</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dependencies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PLT-01, SEC-01, REL-01</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Authoritative entities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DomainEvent, EventSchema, OutboxRecord, Subscription, ConsumerCheckpoint, DeadLetterEvent, ReplayJob</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Key events</w:t>
            </w:r>
          </w:p>
        </w:tc>
        <w:tc>
          <w:tcPr>
            <w:tcW w:type="dxa" w:w="7588"/>
            <w:tcMar>
              <w:top w:w="70" w:type="dxa"/>
              <w:start w:w="85" w:type="dxa"/>
              <w:bottom w:w="70" w:type="dxa"/>
              <w:end w:w="85" w:type="dxa"/>
              <w:left w:w="80" w:type="dxa"/>
              <w:right w:w="80" w:type="dxa"/>
            </w:tcMar>
            <w:vAlign w:val="center"/>
          </w:tcPr>
          <w:p>
            <w:r>
              <w:t>event.delivery.failed, event.replayed, event_schema.changed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store</w:t>
            </w:r>
          </w:p>
        </w:tc>
        <w:tc>
          <w:tcPr>
            <w:tcW w:type="dxa" w:w="7588"/>
            <w:tcMar>
              <w:top w:w="70" w:type="dxa"/>
              <w:start w:w="85" w:type="dxa"/>
              <w:bottom w:w="70" w:type="dxa"/>
              <w:end w:w="85" w:type="dxa"/>
              <w:left w:w="80" w:type="dxa"/>
              <w:right w:w="80" w:type="dxa"/>
            </w:tcMar>
            <w:vAlign w:val="center"/>
          </w:tcPr>
          <w:p>
            <w:r>
              <w:t>Product PostgreSQL audit/app tables + classified S3 evidence/archive; tenant RLS applies to mutable/queryable rows.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Data classification</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Confidential/tenant-scoped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Continuity tier</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Tier 1</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Technical interface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Domain command/query interface; no direct 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Async/workflow contract</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Transactional outbox for state changes; idempotent consumers.</w:t>
            </w:r>
          </w:p>
        </w:tc>
      </w:tr>
      <w:tr>
        <w:tc>
          <w:tcPr>
            <w:tcW w:type="dxa" w:w="4842"/>
            <w:tcMar>
              <w:top w:w="70" w:type="dxa"/>
              <w:left w:w="80" w:type="dxa"/>
              <w:bottom w:w="70" w:type="dxa"/>
              <w:right w:w="80" w:type="dxa"/>
            </w:tcMar>
          </w:tcPr>
          <w:p>
            <w:r>
              <w:t>Implementation slice</w:t>
            </w:r>
          </w:p>
        </w:tc>
        <w:tc>
          <w:tcPr>
            <w:tcW w:type="dxa" w:w="4842"/>
            <w:tcMar>
              <w:top w:w="70" w:type="dxa"/>
              <w:left w:w="80" w:type="dxa"/>
              <w:bottom w:w="70" w:type="dxa"/>
              <w:right w:w="80" w:type="dxa"/>
            </w:tcMar>
          </w:tcPr>
          <w:p>
            <w:r>
              <w:t>Foundation</w:t>
            </w:r>
          </w:p>
        </w:tc>
      </w:tr>
    </w:tbl>
    <w:p>
      <w:pPr>
        <w:spacing w:after="40"/>
      </w:pPr>
    </w:p>
    <w:p>
      <w:pPr>
        <w:spacing w:after="80" w:line="259" w:lineRule="auto"/>
      </w:pPr>
      <w:r>
        <w:rPr>
          <w:rFonts w:ascii="Noto Sans" w:hAnsi="Noto Sans"/>
        </w:rPr>
        <w:t>Capture every important business state change as a durable, governed and replayable event.</w:t>
      </w:r>
    </w:p>
    <w:p>
      <w:pPr>
        <w:pStyle w:val="Heading3"/>
        <w:keepNext/>
      </w:pPr>
      <w:r>
        <w:t>Required Capabilities Preserved</w:t>
      </w:r>
    </w:p>
    <w:p>
      <w:pPr>
        <w:pStyle w:val="Bullet1"/>
        <w:spacing w:after="40" w:line="252" w:lineRule="auto"/>
      </w:pPr>
      <w:r>
        <w:rPr>
          <w:rFonts w:ascii="Noto Sans" w:hAnsi="Noto Sans"/>
        </w:rPr>
        <w:t>Canonical event envelope with tenant, aggregate, actor, correlation, causation, schema, timestamp and source.</w:t>
      </w:r>
    </w:p>
    <w:p>
      <w:pPr>
        <w:pStyle w:val="Bullet1"/>
        <w:spacing w:after="40" w:line="252" w:lineRule="auto"/>
      </w:pPr>
      <w:r>
        <w:rPr>
          <w:rFonts w:ascii="Noto Sans" w:hAnsi="Noto Sans"/>
        </w:rPr>
        <w:t>Transactional outbox or equivalent guarantee between state change and event publication.</w:t>
      </w:r>
    </w:p>
    <w:p>
      <w:pPr>
        <w:pStyle w:val="Bullet1"/>
        <w:spacing w:after="40" w:line="252" w:lineRule="auto"/>
      </w:pPr>
      <w:r>
        <w:rPr>
          <w:rFonts w:ascii="Noto Sans" w:hAnsi="Noto Sans"/>
        </w:rPr>
        <w:t>Schema registry, compatibility rules, ownership, classification and deprecation.</w:t>
      </w:r>
    </w:p>
    <w:p>
      <w:pPr>
        <w:pStyle w:val="Bullet1"/>
        <w:spacing w:after="40" w:line="252" w:lineRule="auto"/>
      </w:pPr>
      <w:r>
        <w:rPr>
          <w:rFonts w:ascii="Noto Sans" w:hAnsi="Noto Sans"/>
        </w:rPr>
        <w:t>At-least-once delivery with idempotent consumers, retry, dead-letter and replay.</w:t>
      </w:r>
    </w:p>
    <w:p>
      <w:pPr>
        <w:pStyle w:val="Bullet1"/>
        <w:spacing w:after="40" w:line="252" w:lineRule="auto"/>
      </w:pPr>
      <w:r>
        <w:rPr>
          <w:rFonts w:ascii="Noto Sans" w:hAnsi="Noto Sans"/>
        </w:rPr>
        <w:t>Event routing to timeline, automation, notification, analytics, integrations, fraud and AI.</w:t>
      </w:r>
    </w:p>
    <w:p>
      <w:pPr>
        <w:pStyle w:val="Bullet1"/>
        <w:spacing w:after="40" w:line="252" w:lineRule="auto"/>
      </w:pPr>
      <w:r>
        <w:rPr>
          <w:rFonts w:ascii="Noto Sans" w:hAnsi="Noto Sans"/>
        </w:rPr>
        <w:t>Retention, compaction, PII minimization, encryption and regional routing.</w:t>
      </w:r>
    </w:p>
    <w:p>
      <w:pPr>
        <w:pStyle w:val="Bullet1"/>
        <w:spacing w:after="40" w:line="252" w:lineRule="auto"/>
      </w:pPr>
      <w:r>
        <w:rPr>
          <w:rFonts w:ascii="Noto Sans" w:hAnsi="Noto Sans"/>
        </w:rPr>
        <w:t>Operational explorer for correlation tracing and controlled replay.</w:t>
      </w:r>
    </w:p>
    <w:p>
      <w:pPr>
        <w:pStyle w:val="Bullet1"/>
        <w:spacing w:after="40" w:line="252" w:lineRule="auto"/>
      </w:pPr>
      <w:r>
        <w:rPr>
          <w:rFonts w:ascii="Noto Sans" w:hAnsi="Noto Sans"/>
        </w:rPr>
        <w:t>Business event catalog accessible to product, engineering, analytics and partners.</w:t>
      </w:r>
    </w:p>
    <w:p>
      <w:pPr>
        <w:pStyle w:val="Heading3"/>
        <w:keepNext/>
      </w:pPr>
      <w:r>
        <w:t>Critical Controls</w:t>
      </w:r>
    </w:p>
    <w:p>
      <w:pPr>
        <w:pStyle w:val="Bullet1"/>
        <w:spacing w:after="40" w:line="252" w:lineRule="auto"/>
      </w:pPr>
      <w:r>
        <w:rPr>
          <w:rFonts w:ascii="Noto Sans" w:hAnsi="Noto Sans"/>
        </w:rPr>
        <w:t>Events contain only data needed by approved consumers and preserve tenant boundaries.</w:t>
      </w:r>
    </w:p>
    <w:p>
      <w:pPr>
        <w:pStyle w:val="Bullet1"/>
        <w:spacing w:after="40" w:line="252" w:lineRule="auto"/>
      </w:pPr>
      <w:r>
        <w:rPr>
          <w:rFonts w:ascii="Noto Sans" w:hAnsi="Noto Sans"/>
        </w:rPr>
        <w:t>Schema changes follow compatibility and consumer migration policy.</w:t>
      </w:r>
    </w:p>
    <w:p>
      <w:pPr>
        <w:pStyle w:val="Heading3"/>
        <w:keepNext/>
      </w:pPr>
      <w:r>
        <w:t>Required Outcomes</w:t>
      </w:r>
    </w:p>
    <w:p>
      <w:pPr>
        <w:pStyle w:val="Bullet1"/>
        <w:spacing w:after="40" w:line="252" w:lineRule="auto"/>
      </w:pPr>
      <w:r>
        <w:rPr>
          <w:rFonts w:ascii="Noto Sans" w:hAnsi="Noto Sans"/>
        </w:rPr>
        <w:t>Analytics, automation and integrations react consistently to the same truth.</w:t>
      </w:r>
    </w:p>
    <w:p>
      <w:pPr>
        <w:pStyle w:val="Bullet1"/>
        <w:spacing w:after="40" w:line="252" w:lineRule="auto"/>
      </w:pPr>
      <w:r>
        <w:rPr>
          <w:rFonts w:ascii="Noto Sans" w:hAnsi="Noto Sans"/>
        </w:rPr>
        <w:t>Complex workflows are traceable across services and channels.</w:t>
      </w:r>
    </w:p>
    <w:p>
      <w:pPr>
        <w:pStyle w:val="Heading3"/>
        <w:keepNext/>
      </w:pPr>
      <w:r>
        <w:t>Technical Realization Notes</w:t>
      </w:r>
    </w:p>
    <w:p>
      <w:pPr>
        <w:pStyle w:val="Bullet1"/>
        <w:spacing w:after="40" w:line="252" w:lineRule="auto"/>
      </w:pPr>
      <w:r>
        <w:t>Authority &amp; storage: Product PostgreSQL audit/app tables + classified S3 evidence/archive; tenant RLS applies to mutable/queryable rows. Authoritative entities/tables are DomainEvent, EventSchema, OutboxRecord, Subscription, ConsumerCheckpoint, DeadLetterEvent, ReplayJob.</w:t>
      </w:r>
    </w:p>
    <w:p>
      <w:pPr>
        <w:pStyle w:val="Bullet1"/>
        <w:spacing w:after="40" w:line="252" w:lineRule="auto"/>
      </w:pPr>
      <w:r>
        <w:t>Command inventory: AppendOutboxEvent, PublishBusinessEvent, RegisterEventSchema, DeprecateEventSchema, ReplayProjection, QuarantineDelivery, ArchiveEvent. Every command declares permission, idempotency, expected aggregate version and transaction boundary.</w:t>
      </w:r>
    </w:p>
    <w:p>
      <w:pPr>
        <w:pStyle w:val="Bullet1"/>
        <w:spacing w:after="40" w:line="252" w:lineRule="auto"/>
      </w:pPr>
      <w:r>
        <w:t>Queries/read models: List/detail and history projections for DomainEvent, EventSchema, OutboxRecord, Subscription; role/surface-specific attention/summary read models for Platform; Developer Portal; Internal SaaS Console; every projection exposes freshness/version metadata when asynchronously built.</w:t>
      </w:r>
    </w:p>
    <w:p>
      <w:pPr>
        <w:pStyle w:val="Bullet1"/>
      </w:pPr>
      <w:r>
        <w:t>Indexes/concurrency: tenant/aggregate/time and unpublished-outbox indexes; event_id globally unique; dispatched-at state does not change business payload.</w:t>
      </w:r>
    </w:p>
    <w:p>
      <w:pPr>
        <w:pStyle w:val="Bullet1"/>
      </w:pPr>
      <w:r>
        <w:t>Published events: event.delivery.failed, event.replayed, event_schema.changed. Consumed dependencies: PLT-01, SEC-01, REL-01; dependencies are accessed by stable contracts/projections, never direct write-table joins. Direction for this intentional bidirectional pair (DAT-01 &lt;-&gt; REL-01) is normative in §6.3.</w:t>
      </w:r>
    </w:p>
    <w:p>
      <w:pPr>
        <w:pStyle w:val="Bullet1"/>
      </w:pPr>
      <w:r>
        <w:t>Failure/degraded behavior: Write commands fail atomically; asynchronous effects retry idempotently; stale read models carry freshness and cannot authorize a consequence-bearing mutation beyond budget.</w:t>
      </w:r>
    </w:p>
    <w:p>
      <w:pPr>
        <w:pStyle w:val="Bullet1"/>
      </w:pPr>
      <w:r>
        <w:t>Security/privacy: classification is enforced at field/resource level; tenant context and authorization are mandatory. Restricted data follows §21 controls; support/break-glass access creates delegated actor evidence.</w:t>
      </w:r>
    </w:p>
    <w:p>
      <w:pPr>
        <w:pStyle w:val="Bullet1"/>
      </w:pPr>
      <w:r>
        <w:t>SLI/SLO: Tier-1 control path 99.95%+; policy/tenant resolution p95 &lt;100 ms in-process/cache where applicable; zero cross-tenant/privileged control breaches.</w:t>
      </w:r>
    </w:p>
    <w:p>
      <w:pPr>
        <w:pStyle w:val="Bullet1"/>
      </w:pPr>
      <w:r>
        <w:t>Tests/runbook: invariant/property tests for each state transition; contract tests for APIs/events; tenant isolation negative test where tenant-owned; runbook RB-DAT-01 covers stuck commands, reconciliation, provider/dependency outage and repair without history rewrite.</w:t>
      </w:r>
    </w:p>
    <w:p>
      <w:pPr>
        <w:pStyle w:val="Heading2"/>
        <w:keepNext/>
      </w:pPr>
      <w:r>
        <w:t>10.46 DAT-02 - Data Platform, Warehouse, Governance &amp; Data Products</w:t>
      </w:r>
    </w:p>
    <w:tbl>
      <w:tblPr>
        <w:tblStyle w:val="TableGrid"/>
        <w:tblW w:type="dxa" w:w="9684"/>
        <w:jc w:val="center"/>
        <w:tblLayout w:type="autofit"/>
        <w:tblLook w:firstColumn="1" w:firstRow="1" w:lastColumn="0" w:lastRow="0" w:noHBand="0" w:noVBand="1" w:val="04A0"/>
      </w:tblPr>
      <w:tblGrid>
        <w:gridCol w:w="4842"/>
        <w:gridCol w:w="4842"/>
      </w:tblGrid>
      <w:tr>
        <w:trPr>
          <w:tblHeader w:val="true"/>
          <w:tblHeader w:val="true"/>
        </w:trPr>
        <w:tc>
          <w:tcPr>
            <w:tcW w:type="dxa" w:w="219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Attribute</w:t>
            </w:r>
          </w:p>
        </w:tc>
        <w:tc>
          <w:tcPr>
            <w:tcW w:type="dxa" w:w="758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Technical Design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phase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V1.5 Growth</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surfaces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Analytics; AI Platform; Internal SaaS Console; Enterprise Export</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dependencies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DAT-01, IAM-03, SEC-01</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Authoritative entities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DataSource, DataAsset, DataProduct, Dataset, Metric, QualityRule, LineageEdge, DataClassification, DataShare</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Key events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data.ingested, data_quality.failed, data_product.published, dataset.accessed, data_export.completed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store</w:t>
            </w:r>
          </w:p>
        </w:tc>
        <w:tc>
          <w:tcPr>
            <w:tcW w:type="dxa" w:w="7588"/>
            <w:tcMar>
              <w:top w:w="70" w:type="dxa"/>
              <w:start w:w="85" w:type="dxa"/>
              <w:bottom w:w="70" w:type="dxa"/>
              <w:end w:w="85" w:type="dxa"/>
              <w:left w:w="80" w:type="dxa"/>
              <w:right w:w="80" w:type="dxa"/>
            </w:tcMar>
            <w:vAlign w:val="center"/>
          </w:tcPr>
          <w:p>
            <w:r>
              <w:t>V1 PostgreSQL/S3 governed extracts; V1.5 analytics warehouse/lakehouse behind data-product contracts.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Data classification</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Confidential/tenant-scoped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Continuity tier</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Tier 2</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Technical interface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Domain command/query interface; no direct 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Async/workflow contract</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Transactional outbox for state changes; idempotent consumers.</w:t>
            </w:r>
          </w:p>
        </w:tc>
      </w:tr>
      <w:tr>
        <w:tc>
          <w:tcPr>
            <w:tcW w:type="dxa" w:w="4842"/>
            <w:tcMar>
              <w:top w:w="70" w:type="dxa"/>
              <w:left w:w="80" w:type="dxa"/>
              <w:bottom w:w="70" w:type="dxa"/>
              <w:right w:w="80" w:type="dxa"/>
            </w:tcMar>
          </w:tcPr>
          <w:p>
            <w:r>
              <w:t>Implementation slice</w:t>
            </w:r>
          </w:p>
        </w:tc>
        <w:tc>
          <w:tcPr>
            <w:tcW w:type="dxa" w:w="4842"/>
            <w:tcMar>
              <w:top w:w="70" w:type="dxa"/>
              <w:left w:w="80" w:type="dxa"/>
              <w:bottom w:w="70" w:type="dxa"/>
              <w:right w:w="80" w:type="dxa"/>
            </w:tcMar>
          </w:tcPr>
          <w:p>
            <w:r>
              <w:t>V1.5 Growth</w:t>
            </w:r>
          </w:p>
        </w:tc>
      </w:tr>
    </w:tbl>
    <w:p>
      <w:pPr>
        <w:spacing w:after="40"/>
      </w:pPr>
    </w:p>
    <w:p>
      <w:pPr>
        <w:spacing w:after="80" w:line="259" w:lineRule="auto"/>
      </w:pPr>
      <w:r>
        <w:rPr>
          <w:rFonts w:ascii="Noto Sans" w:hAnsi="Noto Sans"/>
        </w:rPr>
        <w:t>Turn operational data into trusted analytics, AI context and governed customer data products without burdening transactions.</w:t>
      </w:r>
    </w:p>
    <w:p>
      <w:pPr>
        <w:pStyle w:val="Heading3"/>
        <w:keepNext/>
      </w:pPr>
      <w:r>
        <w:t>Required Capabilities Preserved</w:t>
      </w:r>
    </w:p>
    <w:p>
      <w:pPr>
        <w:pStyle w:val="Bullet1"/>
        <w:spacing w:after="40" w:line="252" w:lineRule="auto"/>
      </w:pPr>
      <w:r>
        <w:rPr>
          <w:rFonts w:ascii="Noto Sans" w:hAnsi="Noto Sans"/>
        </w:rPr>
        <w:t>Ingestion from domain events, databases, provider settlements, devices and external integrations.</w:t>
      </w:r>
    </w:p>
    <w:p>
      <w:pPr>
        <w:pStyle w:val="Bullet1"/>
        <w:spacing w:after="40" w:line="252" w:lineRule="auto"/>
      </w:pPr>
      <w:r>
        <w:rPr>
          <w:rFonts w:ascii="Noto Sans" w:hAnsi="Noto Sans"/>
        </w:rPr>
        <w:t>Warehouse/lakehouse layers for raw, cleaned, conformed and business-ready data.</w:t>
      </w:r>
    </w:p>
    <w:p>
      <w:pPr>
        <w:pStyle w:val="Bullet1"/>
        <w:spacing w:after="40" w:line="252" w:lineRule="auto"/>
      </w:pPr>
      <w:r>
        <w:rPr>
          <w:rFonts w:ascii="Noto Sans" w:hAnsi="Noto Sans"/>
        </w:rPr>
        <w:t>Semantic model for shared facts, dimensions, metrics, cohorts and effective-dated history.</w:t>
      </w:r>
    </w:p>
    <w:p>
      <w:pPr>
        <w:pStyle w:val="Bullet1"/>
        <w:spacing w:after="40" w:line="252" w:lineRule="auto"/>
      </w:pPr>
      <w:r>
        <w:rPr>
          <w:rFonts w:ascii="Noto Sans" w:hAnsi="Noto Sans"/>
        </w:rPr>
        <w:t>Data catalog, ownership, classification, lineage, quality, freshness and usage.</w:t>
      </w:r>
    </w:p>
    <w:p>
      <w:pPr>
        <w:pStyle w:val="Bullet1"/>
        <w:spacing w:after="40" w:line="252" w:lineRule="auto"/>
      </w:pPr>
      <w:r>
        <w:rPr>
          <w:rFonts w:ascii="Noto Sans" w:hAnsi="Noto Sans"/>
        </w:rPr>
        <w:t>Tenant and row/column security, privacy transformations, pseudonymization and aggregation.</w:t>
      </w:r>
    </w:p>
    <w:p>
      <w:pPr>
        <w:pStyle w:val="Bullet1"/>
        <w:spacing w:after="40" w:line="252" w:lineRule="auto"/>
      </w:pPr>
      <w:r>
        <w:rPr>
          <w:rFonts w:ascii="Noto Sans" w:hAnsi="Noto Sans"/>
        </w:rPr>
        <w:t>Data products for member health score, churn risk, revenue, capacity, inventory, coach performance and SaaS usage.</w:t>
      </w:r>
    </w:p>
    <w:p>
      <w:pPr>
        <w:pStyle w:val="Bullet1"/>
        <w:spacing w:after="40" w:line="252" w:lineRule="auto"/>
      </w:pPr>
      <w:r>
        <w:rPr>
          <w:rFonts w:ascii="Noto Sans" w:hAnsi="Noto Sans"/>
        </w:rPr>
        <w:t>Reverse ETL or safe activation of derived insight back into operational workflows.</w:t>
      </w:r>
    </w:p>
    <w:p>
      <w:pPr>
        <w:pStyle w:val="Bullet1"/>
        <w:spacing w:after="40" w:line="252" w:lineRule="auto"/>
      </w:pPr>
      <w:r>
        <w:rPr>
          <w:rFonts w:ascii="Noto Sans" w:hAnsi="Noto Sans"/>
        </w:rPr>
        <w:t>Export, clean room, partner sharing and residency controls for enterprise use.</w:t>
      </w:r>
    </w:p>
    <w:p>
      <w:pPr>
        <w:pStyle w:val="Heading3"/>
        <w:keepNext/>
      </w:pPr>
      <w:r>
        <w:t>Critical Controls</w:t>
      </w:r>
    </w:p>
    <w:p>
      <w:pPr>
        <w:pStyle w:val="Bullet1"/>
        <w:spacing w:after="40" w:line="252" w:lineRule="auto"/>
      </w:pPr>
      <w:r>
        <w:rPr>
          <w:rFonts w:ascii="Noto Sans" w:hAnsi="Noto Sans"/>
        </w:rPr>
        <w:t>Derived data inherits the strictest relevant classification and tenant policy.</w:t>
      </w:r>
    </w:p>
    <w:p>
      <w:pPr>
        <w:pStyle w:val="Bullet1"/>
        <w:spacing w:after="40" w:line="252" w:lineRule="auto"/>
      </w:pPr>
      <w:r>
        <w:rPr>
          <w:rFonts w:ascii="Noto Sans" w:hAnsi="Noto Sans"/>
        </w:rPr>
        <w:t>Metric and model inputs expose freshness and quality state.</w:t>
      </w:r>
    </w:p>
    <w:p>
      <w:pPr>
        <w:pStyle w:val="Heading3"/>
        <w:keepNext/>
      </w:pPr>
      <w:r>
        <w:t>Required Outcomes</w:t>
      </w:r>
    </w:p>
    <w:p>
      <w:pPr>
        <w:pStyle w:val="Bullet1"/>
        <w:spacing w:after="40" w:line="252" w:lineRule="auto"/>
      </w:pPr>
      <w:r>
        <w:rPr>
          <w:rFonts w:ascii="Noto Sans" w:hAnsi="Noto Sans"/>
        </w:rPr>
        <w:t>Operational reporting no longer threatens transaction performance.</w:t>
      </w:r>
    </w:p>
    <w:p>
      <w:pPr>
        <w:pStyle w:val="Bullet1"/>
        <w:spacing w:after="40" w:line="252" w:lineRule="auto"/>
      </w:pPr>
      <w:r>
        <w:rPr>
          <w:rFonts w:ascii="Noto Sans" w:hAnsi="Noto Sans"/>
        </w:rPr>
        <w:t>AI and analytics share trusted, governed data products.</w:t>
      </w:r>
    </w:p>
    <w:p>
      <w:pPr>
        <w:pStyle w:val="Heading3"/>
        <w:keepNext/>
      </w:pPr>
      <w:r>
        <w:t>Technical Realization Notes</w:t>
      </w:r>
    </w:p>
    <w:p>
      <w:pPr>
        <w:pStyle w:val="Bullet1"/>
        <w:spacing w:after="40" w:line="252" w:lineRule="auto"/>
      </w:pPr>
      <w:r>
        <w:t>Authority &amp; storage: V1 PostgreSQL/S3 governed extracts; V1.5 analytics warehouse/lakehouse behind data-product contracts. Authoritative entities/tables are DataSource, DataAsset, DataProduct, Dataset, Metric, QualityRule, LineageEdge, DataClassification, DataShare.</w:t>
      </w:r>
    </w:p>
    <w:p>
      <w:pPr>
        <w:pStyle w:val="Bullet1"/>
        <w:spacing w:after="40" w:line="252" w:lineRule="auto"/>
      </w:pPr>
      <w:r>
        <w:t>Command inventory: RegisterDataProduct, IngestDataset, ValidateDataQuality, PublishDataset, GrantDatasetAccess, DeleteSubjectFromDataProduct, ArchivePartition. Every command declares permission, idempotency, expected aggregate version and transaction boundary.</w:t>
      </w:r>
    </w:p>
    <w:p>
      <w:pPr>
        <w:pStyle w:val="Bullet1"/>
        <w:spacing w:after="40" w:line="252" w:lineRule="auto"/>
      </w:pPr>
      <w:r>
        <w:t>Queries/read models: List/detail and history projections for DataSource, DataAsset, DataProduct, Dataset; role/surface-specific attention/summary read models for Analytics; AI Platform; Internal SaaS Console; Enterprise Export; every projection exposes freshness/version metadata when asynchronously built.</w:t>
      </w:r>
    </w:p>
    <w:p>
      <w:pPr>
        <w:pStyle w:val="Bullet1"/>
      </w:pPr>
      <w:r>
        <w:t>Indexes/concurrency: tenant-leading indexes for primary list/detail paths; unique external/provider identifiers are scoped by tenant/provider; aggregate version supports optimistic concurrency.</w:t>
      </w:r>
    </w:p>
    <w:p>
      <w:pPr>
        <w:pStyle w:val="Bullet1"/>
      </w:pPr>
      <w:r>
        <w:t>Published events: data.ingested, data_quality.failed, data_product.published, dataset.accessed, data_export.completed. Consumed dependencies: DAT-01, IAM-03, SEC-01; dependencies are accessed by stable contracts/projections, never direct write-table joins.</w:t>
      </w:r>
    </w:p>
    <w:p>
      <w:pPr>
        <w:pStyle w:val="Bullet1"/>
      </w:pPr>
      <w:r>
        <w:t>Failure/degraded behavior: Write commands fail atomically; asynchronous effects retry idempotently; stale read models carry freshness and cannot authorize a consequence-bearing mutation beyond budget.</w:t>
      </w:r>
    </w:p>
    <w:p>
      <w:pPr>
        <w:pStyle w:val="Bullet1"/>
      </w:pPr>
      <w:r>
        <w:t>Security/privacy: classification is enforced at field/resource level; tenant context and authorization are mandatory. Restricted data follows §21 controls; support/break-glass access creates delegated actor evidence.</w:t>
      </w:r>
    </w:p>
    <w:p>
      <w:pPr>
        <w:pStyle w:val="Bullet1"/>
      </w:pPr>
      <w:r>
        <w:t>SLI/SLO: Surface/domain API 99.9% initial target; p95 &lt;500-750 ms by workload; queue/projection freshness per §12.5.</w:t>
      </w:r>
    </w:p>
    <w:p>
      <w:pPr>
        <w:pStyle w:val="Bullet1"/>
      </w:pPr>
      <w:r>
        <w:t>Tests/runbook: invariant/property tests for each state transition; contract tests for APIs/events; tenant isolation negative test where tenant-owned; runbook RB-DAT-02 covers stuck commands, reconciliation, provider/dependency outage and repair without history rewrite.</w:t>
      </w:r>
    </w:p>
    <w:p>
      <w:pPr>
        <w:pStyle w:val="Heading2"/>
        <w:keepNext/>
      </w:pPr>
      <w:r>
        <w:t>10.47 SEC-01 - Security, Privacy, Compliance &amp; Consent</w:t>
      </w:r>
    </w:p>
    <w:tbl>
      <w:tblPr>
        <w:tblStyle w:val="TableGrid"/>
        <w:tblW w:type="dxa" w:w="9684"/>
        <w:jc w:val="center"/>
        <w:tblLayout w:type="autofit"/>
        <w:tblLook w:firstColumn="1" w:firstRow="1" w:lastColumn="0" w:lastRow="0" w:noHBand="0" w:noVBand="1" w:val="04A0"/>
      </w:tblPr>
      <w:tblGrid>
        <w:gridCol w:w="4842"/>
        <w:gridCol w:w="4842"/>
      </w:tblGrid>
      <w:tr>
        <w:trPr>
          <w:tblHeader w:val="true"/>
          <w:tblHeader w:val="true"/>
          <w:tblHeader w:val="true"/>
        </w:trPr>
        <w:tc>
          <w:tcPr>
            <w:tcW w:type="dxa" w:w="2198"/>
            <w:shd w:fill="2E6F73"/>
            <w:tcMar>
              <w:top w:w="70" w:type="dxa"/>
              <w:start w:w="90" w:type="dxa"/>
              <w:bottom w:w="70" w:type="dxa"/>
              <w:end w:w="90" w:type="dxa"/>
              <w:left w:w="80" w:type="dxa"/>
              <w:right w:w="80" w:type="dxa"/>
            </w:tcMar>
            <w:vAlign w:val="center"/>
          </w:tcPr>
          <w:p>
            <w:pPr>
              <w:spacing w:before="0" w:after="30"/>
              <w:jc w:val="center"/>
            </w:pPr>
            <w:r>
              <w:rPr>
                <w:rFonts w:ascii="Noto Sans" w:hAnsi="Noto Sans"/>
                <w:b/>
                <w:color w:val="FFFFFF"/>
                <w:sz w:val="16"/>
              </w:rPr>
              <w:t>Attribute</w:t>
            </w:r>
          </w:p>
        </w:tc>
        <w:tc>
          <w:tcPr>
            <w:tcW w:type="dxa" w:w="7588"/>
            <w:shd w:fill="2E6F73"/>
            <w:tcMar>
              <w:top w:w="70" w:type="dxa"/>
              <w:start w:w="90" w:type="dxa"/>
              <w:bottom w:w="70" w:type="dxa"/>
              <w:end w:w="90" w:type="dxa"/>
              <w:left w:w="80" w:type="dxa"/>
              <w:right w:w="80" w:type="dxa"/>
            </w:tcMar>
            <w:vAlign w:val="center"/>
          </w:tcPr>
          <w:p>
            <w:pPr>
              <w:spacing w:before="0" w:after="30"/>
              <w:jc w:val="center"/>
            </w:pPr>
            <w:r>
              <w:rPr>
                <w:rFonts w:ascii="Noto Sans" w:hAnsi="Noto Sans"/>
                <w:b/>
                <w:color w:val="FFFFFF"/>
                <w:sz w:val="16"/>
              </w:rPr>
              <w:t>Technical Design</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Blueprint phase</w:t>
            </w:r>
          </w:p>
        </w:tc>
        <w:tc>
          <w:tcPr>
            <w:tcW w:type="dxa" w:w="758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Foundation</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Primary surfaces</w:t>
            </w:r>
          </w:p>
        </w:tc>
        <w:tc>
          <w:tcPr>
            <w:tcW w:type="dxa" w:w="758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All Systems</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Blueprint dependencies</w:t>
            </w:r>
          </w:p>
        </w:tc>
        <w:tc>
          <w:tcPr>
            <w:tcW w:type="dxa" w:w="758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PLT-01, IAM-01, IAM-03</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Authoritative entities</w:t>
            </w:r>
          </w:p>
        </w:tc>
        <w:tc>
          <w:tcPr>
            <w:tcW w:type="dxa" w:w="758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SecurityControl, ThreatModel, Vulnerability, Secret, EncryptionKey, ConsentRecord, RetentionPolicy, DataSubjectRequest, SecurityIncident</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Key events</w:t>
            </w:r>
          </w:p>
        </w:tc>
        <w:tc>
          <w:tcPr>
            <w:tcW w:type="dxa" w:w="758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consent.granted, consent.withdrawn, security.alert.detected, vulnerability.opened, data_subject_request.completed</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Primary store</w:t>
            </w:r>
          </w:p>
        </w:tc>
        <w:tc>
          <w:tcPr>
            <w:tcW w:type="dxa" w:w="7588"/>
            <w:tcMar>
              <w:top w:w="70" w:type="dxa"/>
              <w:start w:w="85" w:type="dxa"/>
              <w:bottom w:w="70" w:type="dxa"/>
              <w:end w:w="85" w:type="dxa"/>
              <w:left w:w="80" w:type="dxa"/>
              <w:right w:w="80" w:type="dxa"/>
            </w:tcMar>
            <w:vAlign w:val="center"/>
          </w:tcPr>
          <w:p>
            <w:pPr>
              <w:spacing w:before="0" w:after="30"/>
            </w:pPr>
            <w:r>
              <w:rPr>
                <w:sz w:val="16"/>
              </w:rPr>
              <w:t>Product PostgreSQL audit/app tables + classified S3 evidence/archive; tenant RLS applies to mutable/queryable rows.</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Data classification</w:t>
            </w:r>
          </w:p>
        </w:tc>
        <w:tc>
          <w:tcPr>
            <w:tcW w:type="dxa" w:w="758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Restricted</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Continuity tier</w:t>
            </w:r>
          </w:p>
        </w:tc>
        <w:tc>
          <w:tcPr>
            <w:tcW w:type="dxa" w:w="7588"/>
            <w:tcMar>
              <w:top w:w="70" w:type="dxa"/>
              <w:start w:w="85" w:type="dxa"/>
              <w:bottom w:w="70" w:type="dxa"/>
              <w:end w:w="85" w:type="dxa"/>
              <w:left w:w="80" w:type="dxa"/>
              <w:right w:w="80" w:type="dxa"/>
            </w:tcMar>
            <w:vAlign w:val="center"/>
          </w:tcPr>
          <w:p>
            <w:pPr>
              <w:spacing w:before="0" w:after="30"/>
            </w:pPr>
            <w:r>
              <w:rPr>
                <w:sz w:val="16"/>
              </w:rPr>
              <w:t>Tier 1</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Technical interface</w:t>
            </w:r>
          </w:p>
        </w:tc>
        <w:tc>
          <w:tcPr>
            <w:tcW w:type="dxa" w:w="758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Domain command/query interface; no direct table access.</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Async/workflow contract</w:t>
            </w:r>
          </w:p>
        </w:tc>
        <w:tc>
          <w:tcPr>
            <w:tcW w:type="dxa" w:w="758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Transactional outbox for state changes; idempotent consumers.</w:t>
            </w:r>
          </w:p>
        </w:tc>
      </w:tr>
      <w:tr>
        <w:tc>
          <w:tcPr>
            <w:tcW w:type="dxa" w:w="4842"/>
            <w:tcMar>
              <w:top w:w="70" w:type="dxa"/>
              <w:left w:w="80" w:type="dxa"/>
              <w:bottom w:w="70" w:type="dxa"/>
              <w:right w:w="80" w:type="dxa"/>
            </w:tcMar>
            <w:vAlign w:val="center"/>
          </w:tcPr>
          <w:p>
            <w:pPr>
              <w:spacing w:before="0" w:after="30"/>
            </w:pPr>
            <w:r>
              <w:rPr>
                <w:sz w:val="16"/>
              </w:rPr>
              <w:t>Implementation slice</w:t>
            </w:r>
          </w:p>
        </w:tc>
        <w:tc>
          <w:tcPr>
            <w:tcW w:type="dxa" w:w="4842"/>
            <w:tcMar>
              <w:top w:w="70" w:type="dxa"/>
              <w:left w:w="80" w:type="dxa"/>
              <w:bottom w:w="70" w:type="dxa"/>
              <w:right w:w="80" w:type="dxa"/>
            </w:tcMar>
            <w:vAlign w:val="center"/>
          </w:tcPr>
          <w:p>
            <w:pPr>
              <w:spacing w:before="0" w:after="30"/>
            </w:pPr>
            <w:r>
              <w:rPr>
                <w:sz w:val="16"/>
              </w:rPr>
              <w:t>Foundation</w:t>
            </w:r>
          </w:p>
        </w:tc>
      </w:tr>
    </w:tbl>
    <w:p>
      <w:pPr>
        <w:spacing w:after="40"/>
      </w:pPr>
    </w:p>
    <w:p>
      <w:pPr>
        <w:spacing w:after="80" w:line="259" w:lineRule="auto"/>
      </w:pPr>
      <w:r>
        <w:rPr>
          <w:rFonts w:ascii="Noto Sans" w:hAnsi="Noto Sans"/>
        </w:rPr>
        <w:t>Protect tenant, member, staff and platform data through a security and privacy program embedded in architecture and operations.</w:t>
      </w:r>
    </w:p>
    <w:p>
      <w:pPr>
        <w:pStyle w:val="Heading3"/>
        <w:keepNext/>
      </w:pPr>
      <w:r>
        <w:t>Required Capabilities Preserved</w:t>
      </w:r>
    </w:p>
    <w:p>
      <w:pPr>
        <w:pStyle w:val="Bullet1"/>
        <w:spacing w:after="40" w:line="252" w:lineRule="auto"/>
      </w:pPr>
      <w:r>
        <w:rPr>
          <w:rFonts w:ascii="Noto Sans" w:hAnsi="Noto Sans"/>
        </w:rPr>
        <w:t>Security architecture, threat modeling, secure defaults, least privilege and zero-trust service identity.</w:t>
      </w:r>
    </w:p>
    <w:p>
      <w:pPr>
        <w:pStyle w:val="Bullet1"/>
        <w:spacing w:after="40" w:line="252" w:lineRule="auto"/>
      </w:pPr>
      <w:r>
        <w:rPr>
          <w:rFonts w:ascii="Noto Sans" w:hAnsi="Noto Sans"/>
        </w:rPr>
        <w:t>Encryption in transit and at rest, key management, rotation, secret vault and certificate lifecycle.</w:t>
      </w:r>
    </w:p>
    <w:p>
      <w:pPr>
        <w:pStyle w:val="Bullet1"/>
        <w:spacing w:after="40" w:line="252" w:lineRule="auto"/>
      </w:pPr>
      <w:r>
        <w:rPr>
          <w:rFonts w:ascii="Noto Sans" w:hAnsi="Noto Sans"/>
        </w:rPr>
        <w:t>Secure SDLC with code review, SAST/DAST, dependency, container, IaC and secret scanning.</w:t>
      </w:r>
    </w:p>
    <w:p>
      <w:pPr>
        <w:pStyle w:val="Bullet1"/>
        <w:spacing w:after="40" w:line="252" w:lineRule="auto"/>
      </w:pPr>
      <w:r>
        <w:rPr>
          <w:rFonts w:ascii="Noto Sans" w:hAnsi="Noto Sans"/>
        </w:rPr>
        <w:t>Vulnerability management, penetration tests, bug response, risk acceptance and remediation SLAs.</w:t>
      </w:r>
    </w:p>
    <w:p>
      <w:pPr>
        <w:pStyle w:val="Bullet1"/>
        <w:spacing w:after="40" w:line="252" w:lineRule="auto"/>
      </w:pPr>
      <w:r>
        <w:rPr>
          <w:rFonts w:ascii="Noto Sans" w:hAnsi="Noto Sans"/>
        </w:rPr>
        <w:t>Data classification for identity, contact, financial, health, biometric, media, employment, operational and analytics data.</w:t>
      </w:r>
    </w:p>
    <w:p>
      <w:pPr>
        <w:pStyle w:val="Bullet1"/>
        <w:spacing w:after="40" w:line="252" w:lineRule="auto"/>
      </w:pPr>
      <w:r>
        <w:rPr>
          <w:rFonts w:ascii="Noto Sans" w:hAnsi="Noto Sans"/>
        </w:rPr>
        <w:t>Consent registry for terms, privacy, marketing, waiver, health, biometrics, media and data sharing with version history.</w:t>
      </w:r>
    </w:p>
    <w:p>
      <w:pPr>
        <w:pStyle w:val="Bullet1"/>
        <w:spacing w:after="40" w:line="252" w:lineRule="auto"/>
      </w:pPr>
      <w:r>
        <w:rPr>
          <w:rFonts w:ascii="Noto Sans" w:hAnsi="Noto Sans"/>
        </w:rPr>
        <w:t>Data subject requests for access, correction, portability, restriction and deletion with identity and legal checks.</w:t>
      </w:r>
    </w:p>
    <w:p>
      <w:pPr>
        <w:pStyle w:val="Bullet1"/>
        <w:spacing w:after="40" w:line="252" w:lineRule="auto"/>
      </w:pPr>
      <w:r>
        <w:rPr>
          <w:rFonts w:ascii="Noto Sans" w:hAnsi="Noto Sans"/>
        </w:rPr>
        <w:t>Retention schedule, archive, deletion, legal hold, backup expiry and subprocessor governance.</w:t>
      </w:r>
    </w:p>
    <w:p>
      <w:pPr>
        <w:pStyle w:val="Bullet1"/>
        <w:spacing w:after="40" w:line="252" w:lineRule="auto"/>
      </w:pPr>
      <w:r>
        <w:rPr>
          <w:rFonts w:ascii="Noto Sans" w:hAnsi="Noto Sans"/>
        </w:rPr>
        <w:t>Security monitoring, incident response, evidence, notification assessment and postmortem.</w:t>
      </w:r>
    </w:p>
    <w:p>
      <w:pPr>
        <w:pStyle w:val="Bullet1"/>
        <w:spacing w:after="40" w:line="252" w:lineRule="auto"/>
      </w:pPr>
      <w:r>
        <w:rPr>
          <w:rFonts w:ascii="Noto Sans" w:hAnsi="Noto Sans"/>
        </w:rPr>
        <w:t>Enterprise package: DPA, security whitepaper, subprocessor list, SLA, controls evidence and questionnaire response.</w:t>
      </w:r>
    </w:p>
    <w:p>
      <w:pPr>
        <w:pStyle w:val="Heading3"/>
        <w:keepNext/>
      </w:pPr>
      <w:r>
        <w:t>Critical Controls</w:t>
      </w:r>
    </w:p>
    <w:p>
      <w:pPr>
        <w:pStyle w:val="Bullet1"/>
        <w:spacing w:after="40" w:line="252" w:lineRule="auto"/>
      </w:pPr>
      <w:r>
        <w:rPr>
          <w:rFonts w:ascii="Noto Sans" w:hAnsi="Noto Sans"/>
        </w:rPr>
        <w:t>Privacy and security review is mandatory for biometric, health, AI and new data-sharing capabilities.</w:t>
      </w:r>
    </w:p>
    <w:p>
      <w:pPr>
        <w:pStyle w:val="Bullet1"/>
        <w:spacing w:after="40" w:line="252" w:lineRule="auto"/>
      </w:pPr>
      <w:r>
        <w:rPr>
          <w:rFonts w:ascii="Noto Sans" w:hAnsi="Noto Sans"/>
        </w:rPr>
        <w:t>Production access is just-in-time, purpose-bound and audited.</w:t>
      </w:r>
    </w:p>
    <w:p>
      <w:pPr>
        <w:pStyle w:val="Heading3"/>
        <w:keepNext/>
      </w:pPr>
      <w:r>
        <w:t>Required Outcomes</w:t>
      </w:r>
    </w:p>
    <w:p>
      <w:pPr>
        <w:pStyle w:val="Bullet1"/>
        <w:spacing w:after="40" w:line="252" w:lineRule="auto"/>
      </w:pPr>
      <w:r>
        <w:rPr>
          <w:rFonts w:ascii="Noto Sans" w:hAnsi="Noto Sans"/>
        </w:rPr>
        <w:t>Security becomes a sales enabler and operational discipline.</w:t>
      </w:r>
    </w:p>
    <w:p>
      <w:pPr>
        <w:pStyle w:val="Bullet1"/>
        <w:spacing w:after="40" w:line="252" w:lineRule="auto"/>
      </w:pPr>
      <w:r>
        <w:rPr>
          <w:rFonts w:ascii="Noto Sans" w:hAnsi="Noto Sans"/>
        </w:rPr>
        <w:t>Users retain meaningful control over sensitive data.</w:t>
      </w:r>
    </w:p>
    <w:p>
      <w:pPr>
        <w:pStyle w:val="Heading3"/>
        <w:keepNext/>
      </w:pPr>
      <w:r>
        <w:t>Technical Realization Notes</w:t>
      </w:r>
    </w:p>
    <w:p>
      <w:pPr>
        <w:pStyle w:val="Bullet1"/>
        <w:spacing w:after="40" w:line="252" w:lineRule="auto"/>
      </w:pPr>
      <w:r>
        <w:t>Authority &amp; storage: Product PostgreSQL audit/app tables + classified S3 evidence/archive; tenant RLS applies to mutable/queryable rows. Authoritative entities/tables are SecurityControl, ThreatModel, Vulnerability, Secret, EncryptionKey, ConsentRecord, RetentionPolicy, DataSubjectRequest, SecurityIncident.</w:t>
      </w:r>
    </w:p>
    <w:p>
      <w:pPr>
        <w:pStyle w:val="Bullet1"/>
        <w:spacing w:after="40" w:line="252" w:lineRule="auto"/>
      </w:pPr>
      <w:r>
        <w:t>Command inventory: RegisterConsent, WithdrawConsent, RegisterProcessingPurpose, RunDPIA, OpenDSAR, FulfillDSAR, ApplyRetentionPolicy, RotateKey, RecordSecurityIncident. Every command declares permission, idempotency, expected aggregate version and transaction boundary.</w:t>
      </w:r>
    </w:p>
    <w:p>
      <w:pPr>
        <w:pStyle w:val="Bullet1"/>
        <w:spacing w:after="40" w:line="252" w:lineRule="auto"/>
      </w:pPr>
      <w:r>
        <w:t>Queries/read models: List/detail and history projections for SecurityControl, ThreatModel, Vulnerability, Secret; role/surface-specific attention/summary read models for All Systems; every projection exposes freshness/version metadata when asynchronously built.</w:t>
      </w:r>
    </w:p>
    <w:p>
      <w:pPr>
        <w:pStyle w:val="Bullet1"/>
      </w:pPr>
      <w:r>
        <w:t>Indexes/concurrency: tenant-leading indexes for primary list/detail paths; unique external/provider identifiers are scoped by tenant/provider; aggregate version supports optimistic concurrency.</w:t>
      </w:r>
    </w:p>
    <w:p>
      <w:pPr>
        <w:pStyle w:val="Bullet1"/>
      </w:pPr>
      <w:r>
        <w:t>Jordan PDPL, DSAR, data-region/cross-border review, key lifecycle and deletion reachability are Foundation controls; privacy lifecycle is not deferred to Enterprise.</w:t>
      </w:r>
    </w:p>
    <w:p>
      <w:pPr>
        <w:pStyle w:val="Bullet1"/>
      </w:pPr>
      <w:r>
        <w:t>Published events: consent.granted, consent.withdrawn, security.alert.detected, vulnerability.opened, data_subject_request.completed, data_subject_request.created. Consumed dependencies: PLT-01, IAM-01, IAM-03; dependencies are accessed by stable contracts/projections, never direct write-table joins.</w:t>
      </w:r>
    </w:p>
    <w:p>
      <w:pPr>
        <w:pStyle w:val="Bullet1"/>
      </w:pPr>
      <w:r>
        <w:t>Failure/degraded behavior: Fail closed for privileged/restricted actions; retain immutable evidence; degraded mode is explicit and never silently weakens policy.</w:t>
      </w:r>
    </w:p>
    <w:p>
      <w:pPr>
        <w:pStyle w:val="Bullet1"/>
      </w:pPr>
      <w:r>
        <w:t>Security/privacy: classification is enforced at field/resource level; tenant context and authorization are mandatory. Restricted data follows §21 controls; support/break-glass access creates delegated actor evidence.</w:t>
      </w:r>
    </w:p>
    <w:p>
      <w:pPr>
        <w:pStyle w:val="Bullet1"/>
      </w:pPr>
      <w:r>
        <w:t>SLI/SLO: Tier-1 control path 99.95%+; policy/tenant resolution p95 &lt;100 ms in-process/cache where applicable; zero cross-tenant/privileged control breaches.</w:t>
      </w:r>
    </w:p>
    <w:p>
      <w:pPr>
        <w:pStyle w:val="Bullet1"/>
      </w:pPr>
      <w:r>
        <w:t>Tests/runbook: invariant/property tests for each state transition; contract tests for APIs/events; tenant isolation negative test where tenant-owned; runbook RB-SEC-01 covers stuck commands, reconciliation, provider/dependency outage and repair without history rewrite.</w:t>
      </w:r>
    </w:p>
    <w:p>
      <w:pPr>
        <w:pStyle w:val="Heading2"/>
        <w:keepNext/>
      </w:pPr>
      <w:r>
        <w:t>10.48 SEC-02 - Fraud, Abuse, Trust &amp; Content Moderation</w:t>
      </w:r>
    </w:p>
    <w:tbl>
      <w:tblPr>
        <w:tblStyle w:val="TableGrid"/>
        <w:tblW w:type="dxa" w:w="9684"/>
        <w:jc w:val="center"/>
        <w:tblLayout w:type="autofit"/>
        <w:tblLook w:firstColumn="1" w:firstRow="1" w:lastColumn="0" w:lastRow="0" w:noHBand="0" w:noVBand="1" w:val="04A0"/>
      </w:tblPr>
      <w:tblGrid>
        <w:gridCol w:w="4842"/>
        <w:gridCol w:w="4842"/>
      </w:tblGrid>
      <w:tr>
        <w:trPr>
          <w:tblHeader w:val="true"/>
          <w:tblHeader w:val="true"/>
        </w:trPr>
        <w:tc>
          <w:tcPr>
            <w:tcW w:type="dxa" w:w="219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Attribute</w:t>
            </w:r>
          </w:p>
        </w:tc>
        <w:tc>
          <w:tcPr>
            <w:tcW w:type="dxa" w:w="758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Technical Design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phase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V1.5 Growth</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surfaces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Admin Web; Internal SaaS Console; Member App</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dependencies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DAT-01, AUT-02, IAM-03, SEC-01</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Authoritative entities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FraudSignal, RiskAssessment, TrustCase, Restriction, ModerationReport, ModerationDecision, Appeal</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Key events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fraud.signal.detected, trust.case.opened, account.restricted, content.reported, moderation.decided, appeal.resolved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store</w:t>
            </w:r>
          </w:p>
        </w:tc>
        <w:tc>
          <w:tcPr>
            <w:tcW w:type="dxa" w:w="7588"/>
            <w:tcMar>
              <w:top w:w="70" w:type="dxa"/>
              <w:start w:w="85" w:type="dxa"/>
              <w:bottom w:w="70" w:type="dxa"/>
              <w:end w:w="85" w:type="dxa"/>
              <w:left w:w="80" w:type="dxa"/>
              <w:right w:w="80" w:type="dxa"/>
            </w:tcMar>
            <w:vAlign w:val="center"/>
          </w:tcPr>
          <w:p>
            <w:r>
              <w:t>Product PostgreSQL app schema with module-prefixed authoritative tables; no cross-domain write-table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Data classification</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Restricted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Continuity tier</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Tier 2</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Technical interface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Domain command/query interface; no direct 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Async/workflow contract</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Transactional outbox for state changes; idempotent consumers.</w:t>
            </w:r>
          </w:p>
        </w:tc>
      </w:tr>
      <w:tr>
        <w:tc>
          <w:tcPr>
            <w:tcW w:type="dxa" w:w="4842"/>
            <w:tcMar>
              <w:top w:w="70" w:type="dxa"/>
              <w:left w:w="80" w:type="dxa"/>
              <w:bottom w:w="70" w:type="dxa"/>
              <w:right w:w="80" w:type="dxa"/>
            </w:tcMar>
          </w:tcPr>
          <w:p>
            <w:r>
              <w:t>Implementation slice</w:t>
            </w:r>
          </w:p>
        </w:tc>
        <w:tc>
          <w:tcPr>
            <w:tcW w:type="dxa" w:w="4842"/>
            <w:tcMar>
              <w:top w:w="70" w:type="dxa"/>
              <w:left w:w="80" w:type="dxa"/>
              <w:bottom w:w="70" w:type="dxa"/>
              <w:right w:w="80" w:type="dxa"/>
            </w:tcMar>
          </w:tcPr>
          <w:p>
            <w:r>
              <w:t>V1.5 Growth</w:t>
            </w:r>
          </w:p>
        </w:tc>
      </w:tr>
    </w:tbl>
    <w:p>
      <w:pPr>
        <w:spacing w:after="40"/>
      </w:pPr>
    </w:p>
    <w:p>
      <w:pPr>
        <w:spacing w:after="80" w:line="259" w:lineRule="auto"/>
      </w:pPr>
      <w:r>
        <w:rPr>
          <w:rFonts w:ascii="Noto Sans" w:hAnsi="Noto Sans"/>
        </w:rPr>
        <w:t>Detect and respond to financial, access, promotion, identity, staff and community abuse without harming legitimate users.</w:t>
      </w:r>
    </w:p>
    <w:p>
      <w:pPr>
        <w:pStyle w:val="Heading3"/>
        <w:keepNext/>
      </w:pPr>
      <w:r>
        <w:t>Required Capabilities Preserved</w:t>
      </w:r>
    </w:p>
    <w:p>
      <w:pPr>
        <w:pStyle w:val="Bullet1"/>
        <w:spacing w:after="40" w:line="252" w:lineRule="auto"/>
      </w:pPr>
      <w:r>
        <w:rPr>
          <w:rFonts w:ascii="Noto Sans" w:hAnsi="Noto Sans"/>
        </w:rPr>
        <w:t>Rules and anomaly detection for QR sharing, access passback, guest abuse, duplicate identities and biometric spoofing.</w:t>
      </w:r>
    </w:p>
    <w:p>
      <w:pPr>
        <w:pStyle w:val="Bullet1"/>
        <w:spacing w:after="40" w:line="252" w:lineRule="auto"/>
      </w:pPr>
      <w:r>
        <w:rPr>
          <w:rFonts w:ascii="Noto Sans" w:hAnsi="Noto Sans"/>
        </w:rPr>
        <w:t>Payment, wallet, refund, discount, promotion, referral and chargeback abuse signals.</w:t>
      </w:r>
    </w:p>
    <w:p>
      <w:pPr>
        <w:pStyle w:val="Bullet1"/>
        <w:spacing w:after="40" w:line="252" w:lineRule="auto"/>
      </w:pPr>
      <w:r>
        <w:rPr>
          <w:rFonts w:ascii="Noto Sans" w:hAnsi="Noto Sans"/>
        </w:rPr>
        <w:t>Staff fraud indicators for unauthorized overrides, cash variance, stock adjustment and suspicious member changes.</w:t>
      </w:r>
    </w:p>
    <w:p>
      <w:pPr>
        <w:pStyle w:val="Bullet1"/>
        <w:spacing w:after="40" w:line="252" w:lineRule="auto"/>
      </w:pPr>
      <w:r>
        <w:rPr>
          <w:rFonts w:ascii="Noto Sans" w:hAnsi="Noto Sans"/>
        </w:rPr>
        <w:t>Risk score, evidence, case creation, action recommendation and human review.</w:t>
      </w:r>
    </w:p>
    <w:p>
      <w:pPr>
        <w:pStyle w:val="Bullet1"/>
        <w:spacing w:after="40" w:line="252" w:lineRule="auto"/>
      </w:pPr>
      <w:r>
        <w:rPr>
          <w:rFonts w:ascii="Noto Sans" w:hAnsi="Noto Sans"/>
        </w:rPr>
        <w:t>Progressive responses: warn, challenge, hold, restrict, require approval, suspend and investigate.</w:t>
      </w:r>
    </w:p>
    <w:p>
      <w:pPr>
        <w:pStyle w:val="Bullet1"/>
        <w:spacing w:after="40" w:line="252" w:lineRule="auto"/>
      </w:pPr>
      <w:r>
        <w:rPr>
          <w:rFonts w:ascii="Noto Sans" w:hAnsi="Noto Sans"/>
        </w:rPr>
        <w:t>Community reporting, blocking, moderation queues, policy reasons, appeals and repeat-offender handling.</w:t>
      </w:r>
    </w:p>
    <w:p>
      <w:pPr>
        <w:pStyle w:val="Bullet1"/>
        <w:spacing w:after="40" w:line="252" w:lineRule="auto"/>
      </w:pPr>
      <w:r>
        <w:rPr>
          <w:rFonts w:ascii="Noto Sans" w:hAnsi="Noto Sans"/>
        </w:rPr>
        <w:t>Model/rule monitoring for false positives, bias, drift and business impact.</w:t>
      </w:r>
    </w:p>
    <w:p>
      <w:pPr>
        <w:pStyle w:val="Heading3"/>
        <w:keepNext/>
      </w:pPr>
      <w:r>
        <w:t>Critical Controls</w:t>
      </w:r>
    </w:p>
    <w:p>
      <w:pPr>
        <w:pStyle w:val="Bullet1"/>
        <w:spacing w:after="40" w:line="252" w:lineRule="auto"/>
      </w:pPr>
      <w:r>
        <w:rPr>
          <w:rFonts w:ascii="Noto Sans" w:hAnsi="Noto Sans"/>
        </w:rPr>
        <w:t>Automated detection does not impose severe irreversible penalties without review.</w:t>
      </w:r>
    </w:p>
    <w:p>
      <w:pPr>
        <w:pStyle w:val="Bullet1"/>
        <w:spacing w:after="40" w:line="252" w:lineRule="auto"/>
      </w:pPr>
      <w:r>
        <w:rPr>
          <w:rFonts w:ascii="Noto Sans" w:hAnsi="Noto Sans"/>
        </w:rPr>
        <w:t>Risk data is restricted, retained appropriately and not exposed to unrelated staff.</w:t>
      </w:r>
    </w:p>
    <w:p>
      <w:pPr>
        <w:pStyle w:val="Heading3"/>
        <w:keepNext/>
      </w:pPr>
      <w:r>
        <w:t>Required Outcomes</w:t>
      </w:r>
    </w:p>
    <w:p>
      <w:pPr>
        <w:pStyle w:val="Bullet1"/>
        <w:spacing w:after="40" w:line="252" w:lineRule="auto"/>
      </w:pPr>
      <w:r>
        <w:rPr>
          <w:rFonts w:ascii="Noto Sans" w:hAnsi="Noto Sans"/>
        </w:rPr>
        <w:t>Revenue, access and community integrity improve with explainable controls.</w:t>
      </w:r>
    </w:p>
    <w:p>
      <w:pPr>
        <w:pStyle w:val="Bullet1"/>
        <w:spacing w:after="40" w:line="252" w:lineRule="auto"/>
      </w:pPr>
      <w:r>
        <w:rPr>
          <w:rFonts w:ascii="Noto Sans" w:hAnsi="Noto Sans"/>
        </w:rPr>
        <w:t>Legitimate members have clear appeal and recovery paths.</w:t>
      </w:r>
    </w:p>
    <w:p>
      <w:pPr>
        <w:pStyle w:val="Heading3"/>
        <w:keepNext/>
      </w:pPr>
      <w:r>
        <w:t>Technical Realization Notes</w:t>
      </w:r>
    </w:p>
    <w:p>
      <w:pPr>
        <w:pStyle w:val="Bullet1"/>
        <w:spacing w:after="40" w:line="252" w:lineRule="auto"/>
      </w:pPr>
      <w:r>
        <w:t>Authority &amp; storage: Product PostgreSQL app schema with module-prefixed authoritative tables; no cross-domain write-table access. Authoritative entities/tables are FraudSignal, RiskAssessment, TrustCase, Restriction, ModerationReport, ModerationDecision, Appeal.</w:t>
      </w:r>
    </w:p>
    <w:p>
      <w:pPr>
        <w:pStyle w:val="Bullet1"/>
        <w:spacing w:after="40" w:line="252" w:lineRule="auto"/>
      </w:pPr>
      <w:r>
        <w:t>Command inventory: RecordFraudSignal, AssessRisk, OpenTrustCase, ApplyRestriction, ReviewCase, DecideModeration, ResolveAppeal. Every command declares permission, idempotency, expected aggregate version and transaction boundary.</w:t>
      </w:r>
    </w:p>
    <w:p>
      <w:pPr>
        <w:pStyle w:val="Bullet1"/>
        <w:spacing w:after="40" w:line="252" w:lineRule="auto"/>
      </w:pPr>
      <w:r>
        <w:t>Queries/read models: List/detail and history projections for FraudSignal, RiskAssessment, TrustCase, Restriction; role/surface-specific attention/summary read models for Admin Web; Internal SaaS Console; Member App; every projection exposes freshness/version metadata when asynchronously built.</w:t>
      </w:r>
    </w:p>
    <w:p>
      <w:pPr>
        <w:pStyle w:val="Bullet1"/>
      </w:pPr>
      <w:r>
        <w:t>Indexes/concurrency: tenant-leading indexes for primary list/detail paths; unique external/provider identifiers are scoped by tenant/provider; aggregate version supports optimistic concurrency.</w:t>
      </w:r>
    </w:p>
    <w:p>
      <w:pPr>
        <w:pStyle w:val="Bullet1"/>
      </w:pPr>
      <w:r>
        <w:t>Published events: fraud.signal.detected, trust.case.opened, account.restricted, content.reported, moderation.decided, appeal.resolved. Consumed dependencies: DAT-01, AUT-02, IAM-03, SEC-01; dependencies are accessed by stable contracts/projections, never direct write-table joins.</w:t>
      </w:r>
    </w:p>
    <w:p>
      <w:pPr>
        <w:pStyle w:val="Bullet1"/>
      </w:pPr>
      <w:r>
        <w:t>Failure/degraded behavior: Write commands fail atomically; asynchronous effects retry idempotently; stale read models carry freshness and cannot authorize a consequence-bearing mutation beyond budget.</w:t>
      </w:r>
    </w:p>
    <w:p>
      <w:pPr>
        <w:pStyle w:val="Bullet1"/>
      </w:pPr>
      <w:r>
        <w:t>Security/privacy: classification is enforced at field/resource level; tenant context and authorization are mandatory. Restricted data follows §21 controls; support/break-glass access creates delegated actor evidence.</w:t>
      </w:r>
    </w:p>
    <w:p>
      <w:pPr>
        <w:pStyle w:val="Bullet1"/>
      </w:pPr>
      <w:r>
        <w:t>SLI/SLO: Surface/domain API 99.9% initial target; p95 &lt;500-750 ms by workload; queue/projection freshness per §12.5.</w:t>
      </w:r>
    </w:p>
    <w:p>
      <w:pPr>
        <w:pStyle w:val="Bullet1"/>
      </w:pPr>
      <w:r>
        <w:t>Tests/runbook: invariant/property tests for each state transition; contract tests for APIs/events; tenant isolation negative test where tenant-owned; runbook RB-SEC-02 covers stuck commands, reconciliation, provider/dependency outage and repair without history rewrite.</w:t>
      </w:r>
    </w:p>
    <w:p>
      <w:pPr>
        <w:pStyle w:val="Heading2"/>
        <w:keepNext/>
      </w:pPr>
      <w:r>
        <w:t>10.49 REL-01 - Reliability, Offline Operation, Business Continuity &amp; Incident Management</w:t>
      </w:r>
    </w:p>
    <w:tbl>
      <w:tblPr>
        <w:tblStyle w:val="TableGrid"/>
        <w:tblW w:type="dxa" w:w="9684"/>
        <w:jc w:val="center"/>
        <w:tblLayout w:type="autofit"/>
        <w:tblLook w:firstColumn="1" w:firstRow="1" w:lastColumn="0" w:lastRow="0" w:noHBand="0" w:noVBand="1" w:val="04A0"/>
      </w:tblPr>
      <w:tblGrid>
        <w:gridCol w:w="4842"/>
        <w:gridCol w:w="4842"/>
      </w:tblGrid>
      <w:tr>
        <w:trPr>
          <w:tblHeader w:val="true"/>
          <w:tblHeader w:val="true"/>
        </w:trPr>
        <w:tc>
          <w:tcPr>
            <w:tcW w:type="dxa" w:w="219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Attribute</w:t>
            </w:r>
          </w:p>
        </w:tc>
        <w:tc>
          <w:tcPr>
            <w:tcW w:type="dxa" w:w="758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Technical Design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phase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Foundation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surfaces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Platform; Internal SaaS Console; Status Page; Edge Devices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dependencies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PLT-01, DAT-01, SEC-01</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Authoritative entities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SLO, ErrorBudget, OfflinePolicy, SyncQueue, Backup, RestoreTest, DRPlan, Incident, StatusUpdate, Postmortem</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Key events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slo.breached, offline_mode.entered, sync.reconciled, backup.completed, restore.tested, incident.declared, incident.resolved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store</w:t>
            </w:r>
          </w:p>
        </w:tc>
        <w:tc>
          <w:tcPr>
            <w:tcW w:type="dxa" w:w="7588"/>
            <w:tcMar>
              <w:top w:w="70" w:type="dxa"/>
              <w:start w:w="85" w:type="dxa"/>
              <w:bottom w:w="70" w:type="dxa"/>
              <w:end w:w="85" w:type="dxa"/>
              <w:left w:w="80" w:type="dxa"/>
              <w:right w:w="80" w:type="dxa"/>
            </w:tcMar>
            <w:vAlign w:val="center"/>
          </w:tcPr>
          <w:p>
            <w:r>
              <w:t>Product PostgreSQL app schema with module-prefixed authoritative tables; no cross-domain write-table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Data classification</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Confidential/tenant-scoped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Continuity tier</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Tier 1</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Technical interface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Domain command/query interface; no direct 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Async/workflow contract</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Transactional outbox for state changes; idempotent consumers.</w:t>
            </w:r>
          </w:p>
        </w:tc>
      </w:tr>
      <w:tr>
        <w:tc>
          <w:tcPr>
            <w:tcW w:type="dxa" w:w="4842"/>
            <w:tcMar>
              <w:top w:w="70" w:type="dxa"/>
              <w:left w:w="80" w:type="dxa"/>
              <w:bottom w:w="70" w:type="dxa"/>
              <w:right w:w="80" w:type="dxa"/>
            </w:tcMar>
          </w:tcPr>
          <w:p>
            <w:r>
              <w:t>Implementation slice</w:t>
            </w:r>
          </w:p>
        </w:tc>
        <w:tc>
          <w:tcPr>
            <w:tcW w:type="dxa" w:w="4842"/>
            <w:tcMar>
              <w:top w:w="70" w:type="dxa"/>
              <w:left w:w="80" w:type="dxa"/>
              <w:bottom w:w="70" w:type="dxa"/>
              <w:right w:w="80" w:type="dxa"/>
            </w:tcMar>
          </w:tcPr>
          <w:p>
            <w:r>
              <w:t>Foundation</w:t>
            </w:r>
          </w:p>
        </w:tc>
      </w:tr>
    </w:tbl>
    <w:p>
      <w:pPr>
        <w:spacing w:after="40"/>
      </w:pPr>
    </w:p>
    <w:p>
      <w:pPr>
        <w:spacing w:after="80" w:line="259" w:lineRule="auto"/>
      </w:pPr>
      <w:r>
        <w:rPr>
          <w:rFonts w:ascii="Noto Sans" w:hAnsi="Noto Sans"/>
        </w:rPr>
        <w:t>Keep critical club and SaaS operations available, recoverable and communicable under component, provider, network or regional failure.</w:t>
      </w:r>
    </w:p>
    <w:p>
      <w:pPr>
        <w:pStyle w:val="Heading3"/>
        <w:keepNext/>
      </w:pPr>
      <w:r>
        <w:t>Required Capabilities Preserved</w:t>
      </w:r>
    </w:p>
    <w:p>
      <w:pPr>
        <w:pStyle w:val="Bullet1"/>
        <w:spacing w:after="40" w:line="252" w:lineRule="auto"/>
      </w:pPr>
      <w:r>
        <w:rPr>
          <w:rFonts w:ascii="Noto Sans" w:hAnsi="Noto Sans"/>
        </w:rPr>
        <w:t>Service-level indicators, objectives and error budgets for login, access, booking, POS, payments, messaging and core APIs.</w:t>
      </w:r>
    </w:p>
    <w:p>
      <w:pPr>
        <w:pStyle w:val="Bullet1"/>
        <w:spacing w:after="40" w:line="252" w:lineRule="auto"/>
      </w:pPr>
      <w:r>
        <w:rPr>
          <w:rFonts w:ascii="Noto Sans" w:hAnsi="Noto Sans"/>
        </w:rPr>
        <w:t>Resilient patterns: timeout, retry with jitter, circuit breaker, bulkhead, queue, idempotency and graceful degradation.</w:t>
      </w:r>
    </w:p>
    <w:p>
      <w:pPr>
        <w:pStyle w:val="Bullet1"/>
        <w:spacing w:after="40" w:line="252" w:lineRule="auto"/>
      </w:pPr>
      <w:r>
        <w:rPr>
          <w:rFonts w:ascii="Noto Sans" w:hAnsi="Noto Sans"/>
        </w:rPr>
        <w:t>Offline modes for check-in, access and selected front-desk/POS operations with bounded risk and reconciliation.</w:t>
      </w:r>
    </w:p>
    <w:p>
      <w:pPr>
        <w:pStyle w:val="Bullet1"/>
        <w:spacing w:after="40" w:line="252" w:lineRule="auto"/>
      </w:pPr>
      <w:r>
        <w:rPr>
          <w:rFonts w:ascii="Noto Sans" w:hAnsi="Noto Sans"/>
        </w:rPr>
        <w:t>Backup, point-in-time recovery, restore testing, replication and tenant-level recovery procedures.</w:t>
      </w:r>
    </w:p>
    <w:p>
      <w:pPr>
        <w:pStyle w:val="Bullet1"/>
        <w:spacing w:after="40" w:line="252" w:lineRule="auto"/>
      </w:pPr>
      <w:r>
        <w:rPr>
          <w:rFonts w:ascii="Noto Sans" w:hAnsi="Noto Sans"/>
        </w:rPr>
        <w:t>Documented RPO/RTO by data and workflow criticality.</w:t>
      </w:r>
    </w:p>
    <w:p>
      <w:pPr>
        <w:pStyle w:val="Bullet1"/>
        <w:spacing w:after="40" w:line="252" w:lineRule="auto"/>
      </w:pPr>
      <w:r>
        <w:rPr>
          <w:rFonts w:ascii="Noto Sans" w:hAnsi="Noto Sans"/>
        </w:rPr>
        <w:t>Disaster recovery for zone, region, database, object storage, queue and identity dependencies.</w:t>
      </w:r>
    </w:p>
    <w:p>
      <w:pPr>
        <w:pStyle w:val="Bullet1"/>
        <w:spacing w:after="40" w:line="252" w:lineRule="auto"/>
      </w:pPr>
      <w:r>
        <w:rPr>
          <w:rFonts w:ascii="Noto Sans" w:hAnsi="Noto Sans"/>
        </w:rPr>
        <w:t>Incident command, severity, ownership, timeline, runbook, status page, customer communication and postmortem.</w:t>
      </w:r>
    </w:p>
    <w:p>
      <w:pPr>
        <w:pStyle w:val="Bullet1"/>
        <w:spacing w:after="40" w:line="252" w:lineRule="auto"/>
      </w:pPr>
      <w:r>
        <w:rPr>
          <w:rFonts w:ascii="Noto Sans" w:hAnsi="Noto Sans"/>
        </w:rPr>
        <w:t>Provider continuity plans for payments, messaging, access hardware, biometric and cloud services.</w:t>
      </w:r>
    </w:p>
    <w:p>
      <w:pPr>
        <w:pStyle w:val="Bullet1"/>
        <w:spacing w:after="40" w:line="252" w:lineRule="auto"/>
      </w:pPr>
      <w:r>
        <w:rPr>
          <w:rFonts w:ascii="Noto Sans" w:hAnsi="Noto Sans"/>
        </w:rPr>
        <w:t>Chaos, failover, restore and business-continuity drills on a defined cadence.</w:t>
      </w:r>
    </w:p>
    <w:p>
      <w:pPr>
        <w:pStyle w:val="Heading3"/>
        <w:keepNext/>
      </w:pPr>
      <w:r>
        <w:t>Critical Controls</w:t>
      </w:r>
    </w:p>
    <w:p>
      <w:pPr>
        <w:pStyle w:val="Bullet1"/>
        <w:spacing w:after="40" w:line="252" w:lineRule="auto"/>
      </w:pPr>
      <w:r>
        <w:rPr>
          <w:rFonts w:ascii="Noto Sans" w:hAnsi="Noto Sans"/>
        </w:rPr>
        <w:t>Critical workflows define explicit degraded behavior rather than fail unpredictably.</w:t>
      </w:r>
    </w:p>
    <w:p>
      <w:pPr>
        <w:pStyle w:val="Bullet1"/>
        <w:spacing w:after="40" w:line="252" w:lineRule="auto"/>
      </w:pPr>
      <w:r>
        <w:rPr>
          <w:rFonts w:ascii="Noto Sans" w:hAnsi="Noto Sans"/>
        </w:rPr>
        <w:t>Backups are not considered valid until restore drills pass.</w:t>
      </w:r>
    </w:p>
    <w:p>
      <w:pPr>
        <w:pStyle w:val="Heading3"/>
        <w:keepNext/>
      </w:pPr>
      <w:r>
        <w:t>Required Outcomes</w:t>
      </w:r>
    </w:p>
    <w:p>
      <w:pPr>
        <w:pStyle w:val="Bullet1"/>
        <w:spacing w:after="40" w:line="252" w:lineRule="auto"/>
      </w:pPr>
      <w:r>
        <w:rPr>
          <w:rFonts w:ascii="Noto Sans" w:hAnsi="Noto Sans"/>
        </w:rPr>
        <w:t>Gyms continue core operation during common outages.</w:t>
      </w:r>
    </w:p>
    <w:p>
      <w:pPr>
        <w:pStyle w:val="Bullet1"/>
        <w:spacing w:after="40" w:line="252" w:lineRule="auto"/>
      </w:pPr>
      <w:r>
        <w:rPr>
          <w:rFonts w:ascii="Noto Sans" w:hAnsi="Noto Sans"/>
        </w:rPr>
        <w:t>Incidents are detected, contained, communicated and learned from.</w:t>
      </w:r>
    </w:p>
    <w:p>
      <w:pPr>
        <w:pStyle w:val="Heading3"/>
        <w:keepNext/>
      </w:pPr>
      <w:r>
        <w:t>Technical Realization Notes</w:t>
      </w:r>
    </w:p>
    <w:p>
      <w:pPr>
        <w:pStyle w:val="Bullet1"/>
        <w:spacing w:after="40" w:line="252" w:lineRule="auto"/>
      </w:pPr>
      <w:r>
        <w:t>Authority &amp; storage: Product PostgreSQL app schema with module-prefixed authoritative tables; no cross-domain write-table access. Authoritative entities/tables are SLO, ErrorBudget, OfflinePolicy, SyncQueue, Backup, RestoreTest, DRPlan, Incident, StatusUpdate, Postmortem.</w:t>
      </w:r>
    </w:p>
    <w:p>
      <w:pPr>
        <w:pStyle w:val="Bullet1"/>
        <w:spacing w:after="40" w:line="252" w:lineRule="auto"/>
      </w:pPr>
      <w:r>
        <w:t>Command inventory: DeclareIncident, EnterDegradedMode, FailoverRegion, RestoreState, ReconcileRecovery, RunBCPExercise, CloseIncident, PublishPostmortem. Every command declares permission, idempotency, expected aggregate version and transaction boundary.</w:t>
      </w:r>
    </w:p>
    <w:p>
      <w:pPr>
        <w:pStyle w:val="Bullet1"/>
        <w:spacing w:after="40" w:line="252" w:lineRule="auto"/>
      </w:pPr>
      <w:r>
        <w:t>Queries/read models: List/detail and history projections for SLO, ErrorBudget, OfflinePolicy, SyncQueue; role/surface-specific attention/summary read models for Platform; Internal SaaS Console; Status Page; Edge Devices; every projection exposes freshness/version metadata when asynchronously built.</w:t>
      </w:r>
    </w:p>
    <w:p>
      <w:pPr>
        <w:pStyle w:val="Bullet1"/>
      </w:pPr>
      <w:r>
        <w:t>Indexes/concurrency: tenant-leading indexes for primary list/detail paths; unique external/provider identifiers are scoped by tenant/provider; aggregate version supports optimistic concurrency.</w:t>
      </w:r>
    </w:p>
    <w:p>
      <w:pPr>
        <w:pStyle w:val="Bullet1"/>
      </w:pPr>
      <w:r>
        <w:t>Regional recovery uses Bahrain primary/UAE warm DR, measured replication lag and the PITR reconciliation runbook; aspirational RPO/RTO is never reported as met without a drill.</w:t>
      </w:r>
    </w:p>
    <w:p>
      <w:pPr>
        <w:pStyle w:val="Bullet1"/>
      </w:pPr>
      <w:r>
        <w:t>Published events: slo.breached, offline_mode.entered, sync.reconciled, backup.completed, restore.tested, incident.declared, incident.resolved, postmortem.published. Consumed dependencies: PLT-01, DAT-01, SEC-01; dependencies are accessed by stable contracts/projections, never direct write-table joins. Direction for this intentional bidirectional pair (DAT-01 &lt;-&gt; REL-01) is normative in §6.3.</w:t>
      </w:r>
    </w:p>
    <w:p>
      <w:pPr>
        <w:pStyle w:val="Bullet1"/>
      </w:pPr>
      <w:r>
        <w:t>Failure/degraded behavior: Fail closed for privileged/restricted actions; retain immutable evidence; degraded mode is explicit and never silently weakens policy.</w:t>
      </w:r>
    </w:p>
    <w:p>
      <w:pPr>
        <w:pStyle w:val="Bullet1"/>
      </w:pPr>
      <w:r>
        <w:t>Security/privacy: classification is enforced at field/resource level; tenant context and authorization are mandatory. Restricted data follows §21 controls; support/break-glass access creates delegated actor evidence.</w:t>
      </w:r>
    </w:p>
    <w:p>
      <w:pPr>
        <w:pStyle w:val="Bullet1"/>
      </w:pPr>
      <w:r>
        <w:t>SLI/SLO: Tier-1 control path 99.95%+; policy/tenant resolution p95 &lt;100 ms in-process/cache where applicable; zero cross-tenant/privileged control breaches.</w:t>
      </w:r>
    </w:p>
    <w:p>
      <w:pPr>
        <w:pStyle w:val="Bullet1"/>
      </w:pPr>
      <w:r>
        <w:t>Tests/runbook: invariant/property tests for each state transition; contract tests for APIs/events; tenant isolation negative test where tenant-owned; runbook RB-REL-01 covers stuck commands, reconciliation, provider/dependency outage and repair without history rewrite.</w:t>
      </w:r>
    </w:p>
    <w:p>
      <w:pPr>
        <w:pStyle w:val="Heading2"/>
        <w:keepNext/>
      </w:pPr>
      <w:r>
        <w:t>10.50 REL-02 - Observability, Performance, Capacity &amp; FinOps</w:t>
      </w:r>
    </w:p>
    <w:tbl>
      <w:tblPr>
        <w:tblStyle w:val="TableGrid"/>
        <w:tblW w:type="dxa" w:w="9684"/>
        <w:jc w:val="center"/>
        <w:tblLayout w:type="autofit"/>
        <w:tblLook w:firstColumn="1" w:firstRow="1" w:lastColumn="0" w:lastRow="0" w:noHBand="0" w:noVBand="1" w:val="04A0"/>
      </w:tblPr>
      <w:tblGrid>
        <w:gridCol w:w="4842"/>
        <w:gridCol w:w="4842"/>
      </w:tblGrid>
      <w:tr>
        <w:trPr>
          <w:tblHeader w:val="true"/>
          <w:tblHeader w:val="true"/>
        </w:trPr>
        <w:tc>
          <w:tcPr>
            <w:tcW w:type="dxa" w:w="219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Attribute</w:t>
            </w:r>
          </w:p>
        </w:tc>
        <w:tc>
          <w:tcPr>
            <w:tcW w:type="dxa" w:w="758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Technical Design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phase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Foundation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surfaces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Internal SaaS Console; Engineering Operations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dependencies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PLT-01, SEC-01</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Authoritative entities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Telemetry, Trace, MetricSeries, SyntheticCheck, PerformanceBudget, CapacityModel, CostAllocation, BudgetAlert</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Key events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synthetic_check.failed, performance_budget.exceeded, capacity.threshold.reached, cost.anomaly.detected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store</w:t>
            </w:r>
          </w:p>
        </w:tc>
        <w:tc>
          <w:tcPr>
            <w:tcW w:type="dxa" w:w="7588"/>
            <w:tcMar>
              <w:top w:w="70" w:type="dxa"/>
              <w:start w:w="85" w:type="dxa"/>
              <w:bottom w:w="70" w:type="dxa"/>
              <w:end w:w="85" w:type="dxa"/>
              <w:left w:w="80" w:type="dxa"/>
              <w:right w:w="80" w:type="dxa"/>
            </w:tcMar>
            <w:vAlign w:val="center"/>
          </w:tcPr>
          <w:p>
            <w:r>
              <w:t>Product PostgreSQL app schema with module-prefixed authoritative tables; no cross-domain write-table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Data classification</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Confidential/tenant-scoped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Continuity tier</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Tier 2</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Technical interface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Domain command/query interface; no direct 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Async/workflow contract</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Transactional outbox for state changes; idempotent consumers.</w:t>
            </w:r>
          </w:p>
        </w:tc>
      </w:tr>
      <w:tr>
        <w:tc>
          <w:tcPr>
            <w:tcW w:type="dxa" w:w="4842"/>
            <w:tcMar>
              <w:top w:w="70" w:type="dxa"/>
              <w:left w:w="80" w:type="dxa"/>
              <w:bottom w:w="70" w:type="dxa"/>
              <w:right w:w="80" w:type="dxa"/>
            </w:tcMar>
          </w:tcPr>
          <w:p>
            <w:r>
              <w:t>Implementation slice</w:t>
            </w:r>
          </w:p>
        </w:tc>
        <w:tc>
          <w:tcPr>
            <w:tcW w:type="dxa" w:w="4842"/>
            <w:tcMar>
              <w:top w:w="70" w:type="dxa"/>
              <w:left w:w="80" w:type="dxa"/>
              <w:bottom w:w="70" w:type="dxa"/>
              <w:right w:w="80" w:type="dxa"/>
            </w:tcMar>
          </w:tcPr>
          <w:p>
            <w:r>
              <w:t>Foundation</w:t>
            </w:r>
          </w:p>
        </w:tc>
      </w:tr>
    </w:tbl>
    <w:p>
      <w:pPr>
        <w:spacing w:after="40"/>
      </w:pPr>
    </w:p>
    <w:p>
      <w:pPr>
        <w:spacing w:after="80" w:line="259" w:lineRule="auto"/>
      </w:pPr>
      <w:r>
        <w:rPr>
          <w:rFonts w:ascii="Noto Sans" w:hAnsi="Noto Sans"/>
        </w:rPr>
        <w:t>Make platform health, tenant impact, performance and unit economics visible and actionable.</w:t>
      </w:r>
    </w:p>
    <w:p>
      <w:pPr>
        <w:pStyle w:val="Heading3"/>
        <w:keepNext/>
      </w:pPr>
      <w:r>
        <w:t>Required Capabilities Preserved</w:t>
      </w:r>
    </w:p>
    <w:p>
      <w:pPr>
        <w:pStyle w:val="Bullet1"/>
        <w:spacing w:after="40" w:line="252" w:lineRule="auto"/>
      </w:pPr>
      <w:r>
        <w:rPr>
          <w:rFonts w:ascii="Noto Sans" w:hAnsi="Noto Sans"/>
        </w:rPr>
        <w:t>Structured logs, metrics and distributed traces with tenant-safe correlation and redaction.</w:t>
      </w:r>
    </w:p>
    <w:p>
      <w:pPr>
        <w:pStyle w:val="Bullet1"/>
        <w:spacing w:after="40" w:line="252" w:lineRule="auto"/>
      </w:pPr>
      <w:r>
        <w:rPr>
          <w:rFonts w:ascii="Noto Sans" w:hAnsi="Noto Sans"/>
        </w:rPr>
        <w:t>Golden signals and business signals for each critical workflow and dependency.</w:t>
      </w:r>
    </w:p>
    <w:p>
      <w:pPr>
        <w:pStyle w:val="Bullet1"/>
        <w:spacing w:after="40" w:line="252" w:lineRule="auto"/>
      </w:pPr>
      <w:r>
        <w:rPr>
          <w:rFonts w:ascii="Noto Sans" w:hAnsi="Noto Sans"/>
        </w:rPr>
        <w:t>Synthetic monitoring for login, member search, booking, payment, POS, check-in, webhook and messaging paths.</w:t>
      </w:r>
    </w:p>
    <w:p>
      <w:pPr>
        <w:pStyle w:val="Bullet1"/>
        <w:spacing w:after="40" w:line="252" w:lineRule="auto"/>
      </w:pPr>
      <w:r>
        <w:rPr>
          <w:rFonts w:ascii="Noto Sans" w:hAnsi="Noto Sans"/>
        </w:rPr>
        <w:t>Performance budgets for web, mobile, APIs, search, edge access and report generation.</w:t>
      </w:r>
    </w:p>
    <w:p>
      <w:pPr>
        <w:pStyle w:val="Bullet1"/>
        <w:spacing w:after="40" w:line="252" w:lineRule="auto"/>
      </w:pPr>
      <w:r>
        <w:rPr>
          <w:rFonts w:ascii="Noto Sans" w:hAnsi="Noto Sans"/>
        </w:rPr>
        <w:t>Capacity models, load tests, scaling policy, hot-tenant protection and noisy-neighbor controls.</w:t>
      </w:r>
    </w:p>
    <w:p>
      <w:pPr>
        <w:pStyle w:val="Bullet1"/>
        <w:spacing w:after="40" w:line="252" w:lineRule="auto"/>
      </w:pPr>
      <w:r>
        <w:rPr>
          <w:rFonts w:ascii="Noto Sans" w:hAnsi="Noto Sans"/>
        </w:rPr>
        <w:t>Cost allocation by tenant, domain, environment, AI model, message, storage, integration and support.</w:t>
      </w:r>
    </w:p>
    <w:p>
      <w:pPr>
        <w:pStyle w:val="Bullet1"/>
        <w:spacing w:after="40" w:line="252" w:lineRule="auto"/>
      </w:pPr>
      <w:r>
        <w:rPr>
          <w:rFonts w:ascii="Noto Sans" w:hAnsi="Noto Sans"/>
        </w:rPr>
        <w:t>Budgets, anomaly alerts, unit economics, margin by plan and cost optimization backlog.</w:t>
      </w:r>
    </w:p>
    <w:p>
      <w:pPr>
        <w:pStyle w:val="Bullet1"/>
        <w:spacing w:after="40" w:line="252" w:lineRule="auto"/>
      </w:pPr>
      <w:r>
        <w:rPr>
          <w:rFonts w:ascii="Noto Sans" w:hAnsi="Noto Sans"/>
        </w:rPr>
        <w:t>Operational dashboards and alert routing with ownership, runbook and escalation.</w:t>
      </w:r>
    </w:p>
    <w:p>
      <w:pPr>
        <w:pStyle w:val="Heading3"/>
        <w:keepNext/>
      </w:pPr>
      <w:r>
        <w:t>Critical Controls</w:t>
      </w:r>
    </w:p>
    <w:p>
      <w:pPr>
        <w:pStyle w:val="Bullet1"/>
        <w:spacing w:after="40" w:line="252" w:lineRule="auto"/>
      </w:pPr>
      <w:r>
        <w:rPr>
          <w:rFonts w:ascii="Noto Sans" w:hAnsi="Noto Sans"/>
        </w:rPr>
        <w:t>Observability data is redacted and access-controlled; logs are not a shadow database.</w:t>
      </w:r>
    </w:p>
    <w:p>
      <w:pPr>
        <w:pStyle w:val="Bullet1"/>
        <w:spacing w:after="40" w:line="252" w:lineRule="auto"/>
      </w:pPr>
      <w:r>
        <w:rPr>
          <w:rFonts w:ascii="Noto Sans" w:hAnsi="Noto Sans"/>
        </w:rPr>
        <w:t>Alerts must be actionable, owned and tied to user/business impact.</w:t>
      </w:r>
    </w:p>
    <w:p>
      <w:pPr>
        <w:pStyle w:val="Heading3"/>
        <w:keepNext/>
      </w:pPr>
      <w:r>
        <w:t>Required Outcomes</w:t>
      </w:r>
    </w:p>
    <w:p>
      <w:pPr>
        <w:pStyle w:val="Bullet1"/>
        <w:spacing w:after="40" w:line="252" w:lineRule="auto"/>
      </w:pPr>
      <w:r>
        <w:rPr>
          <w:rFonts w:ascii="Noto Sans" w:hAnsi="Noto Sans"/>
        </w:rPr>
        <w:t>Teams diagnose tenant-impacting failures quickly.</w:t>
      </w:r>
    </w:p>
    <w:p>
      <w:pPr>
        <w:pStyle w:val="Bullet1"/>
        <w:spacing w:after="40" w:line="252" w:lineRule="auto"/>
      </w:pPr>
      <w:r>
        <w:rPr>
          <w:rFonts w:ascii="Noto Sans" w:hAnsi="Noto Sans"/>
        </w:rPr>
        <w:t>Gross margin remains visible as usage and AI scale.</w:t>
      </w:r>
    </w:p>
    <w:p>
      <w:pPr>
        <w:pStyle w:val="Heading3"/>
        <w:keepNext/>
      </w:pPr>
      <w:r>
        <w:t>Technical Realization Notes</w:t>
      </w:r>
    </w:p>
    <w:p>
      <w:pPr>
        <w:pStyle w:val="Bullet1"/>
        <w:spacing w:after="40" w:line="252" w:lineRule="auto"/>
      </w:pPr>
      <w:r>
        <w:t>Authority &amp; storage: Product PostgreSQL app schema with module-prefixed authoritative tables; no cross-domain write-table access. Authoritative entities/tables are Telemetry, Trace, MetricSeries, SyntheticCheck, PerformanceBudget, CapacityModel, CostAllocation, BudgetAlert.</w:t>
      </w:r>
    </w:p>
    <w:p>
      <w:pPr>
        <w:pStyle w:val="Bullet1"/>
        <w:spacing w:after="40" w:line="252" w:lineRule="auto"/>
      </w:pPr>
      <w:r>
        <w:t>Command inventory: DefineSLI, SetSLO, RecordCapacityForecast, ApplyRateLimit, AllocateCost, AlertBudgetBurn, PublishFinOpsReport. Every command declares permission, idempotency, expected aggregate version and transaction boundary.</w:t>
      </w:r>
    </w:p>
    <w:p>
      <w:pPr>
        <w:pStyle w:val="Bullet1"/>
        <w:spacing w:after="40" w:line="252" w:lineRule="auto"/>
      </w:pPr>
      <w:r>
        <w:t>Queries/read models: List/detail and history projections for Telemetry, Trace, MetricSeries, SyntheticCheck; role/surface-specific attention/summary read models for Internal SaaS Console; Engineering Operations; every projection exposes freshness/version metadata when asynchronously built.</w:t>
      </w:r>
    </w:p>
    <w:p>
      <w:pPr>
        <w:pStyle w:val="Bullet1"/>
      </w:pPr>
      <w:r>
        <w:t>Indexes/concurrency: tenant-leading indexes for primary list/detail paths; unique external/provider identifiers are scoped by tenant/provider; aggregate version supports optimistic concurrency.</w:t>
      </w:r>
    </w:p>
    <w:p>
      <w:pPr>
        <w:pStyle w:val="Bullet1"/>
      </w:pPr>
      <w:r>
        <w:t>Published events: synthetic_check.failed, performance_budget.exceeded, capacity.threshold.reached, cost.anomaly.detected. Consumed dependencies: PLT-01, SEC-01; dependencies are accessed by stable contracts/projections, never direct write-table joins.</w:t>
      </w:r>
    </w:p>
    <w:p>
      <w:pPr>
        <w:pStyle w:val="Bullet1"/>
      </w:pPr>
      <w:r>
        <w:t>Failure/degraded behavior: Write commands fail atomically; asynchronous effects retry idempotently; stale read models carry freshness and cannot authorize a consequence-bearing mutation beyond budget.</w:t>
      </w:r>
    </w:p>
    <w:p>
      <w:pPr>
        <w:pStyle w:val="Bullet1"/>
      </w:pPr>
      <w:r>
        <w:t>Security/privacy: classification is enforced at field/resource level; tenant context and authorization are mandatory. Restricted data follows §21 controls; support/break-glass access creates delegated actor evidence.</w:t>
      </w:r>
    </w:p>
    <w:p>
      <w:pPr>
        <w:pStyle w:val="Bullet1"/>
      </w:pPr>
      <w:r>
        <w:t>SLI/SLO: Surface/domain API 99.9% initial target; p95 &lt;500-750 ms by workload; queue/projection freshness per §12.5.</w:t>
      </w:r>
    </w:p>
    <w:p>
      <w:pPr>
        <w:pStyle w:val="Bullet1"/>
      </w:pPr>
      <w:r>
        <w:t>Tests/runbook: invariant/property tests for each state transition; contract tests for APIs/events; tenant isolation negative test where tenant-owned; runbook RB-REL-02 covers stuck commands, reconciliation, provider/dependency outage and repair without history rewrite.</w:t>
      </w:r>
    </w:p>
    <w:p>
      <w:pPr>
        <w:pStyle w:val="Heading2"/>
        <w:keepNext/>
      </w:pPr>
      <w:r>
        <w:t>10.51 LIF-01 - Onboarding, Implementation &amp; Go-live Readiness</w:t>
      </w:r>
    </w:p>
    <w:tbl>
      <w:tblPr>
        <w:tblStyle w:val="TableGrid"/>
        <w:tblW w:type="dxa" w:w="9684"/>
        <w:jc w:val="center"/>
        <w:tblLayout w:type="autofit"/>
        <w:tblLook w:firstColumn="1" w:firstRow="1" w:lastColumn="0" w:lastRow="0" w:noHBand="0" w:noVBand="1" w:val="04A0"/>
      </w:tblPr>
      <w:tblGrid>
        <w:gridCol w:w="4842"/>
        <w:gridCol w:w="4842"/>
      </w:tblGrid>
      <w:tr>
        <w:trPr>
          <w:tblHeader w:val="true"/>
          <w:tblHeader w:val="true"/>
        </w:trPr>
        <w:tc>
          <w:tcPr>
            <w:tcW w:type="dxa" w:w="219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Attribute</w:t>
            </w:r>
          </w:p>
        </w:tc>
        <w:tc>
          <w:tcPr>
            <w:tcW w:type="dxa" w:w="758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Technical Design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phase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Pilot</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surfaces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Admin Web; Internal SaaS Console; Learning Portal</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dependencies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PLT-01, PLT-04, LIF-02, GOV-04</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Authoritative entities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ImplementationProject, ImplementationTask, ReadinessCheck, TrainingPath, GoLivePlan, HypercareCase</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Key events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implementation.started, readiness.changed, go_live.approved, tenant.went_live, hypercare.completed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store</w:t>
            </w:r>
          </w:p>
        </w:tc>
        <w:tc>
          <w:tcPr>
            <w:tcW w:type="dxa" w:w="7588"/>
            <w:tcMar>
              <w:top w:w="70" w:type="dxa"/>
              <w:start w:w="85" w:type="dxa"/>
              <w:bottom w:w="70" w:type="dxa"/>
              <w:end w:w="85" w:type="dxa"/>
              <w:left w:w="80" w:type="dxa"/>
              <w:right w:w="80" w:type="dxa"/>
            </w:tcMar>
            <w:vAlign w:val="center"/>
          </w:tcPr>
          <w:p>
            <w:r>
              <w:t>Control-plane PostgreSQL database; module-prefixed tables; separate runtime role from product plane.</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Data classification</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Confidential/tenant-scoped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Continuity tier</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Tier 2</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Technical interface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Domain command/query interface; no direct 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Async/workflow contract</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Transactional outbox for state changes; idempotent consumers. Durable workflow orchestration for multi-step/timer/provider processes.</w:t>
            </w:r>
          </w:p>
        </w:tc>
      </w:tr>
      <w:tr>
        <w:tc>
          <w:tcPr>
            <w:tcW w:type="dxa" w:w="4842"/>
            <w:tcMar>
              <w:top w:w="70" w:type="dxa"/>
              <w:left w:w="80" w:type="dxa"/>
              <w:bottom w:w="70" w:type="dxa"/>
              <w:right w:w="80" w:type="dxa"/>
            </w:tcMar>
          </w:tcPr>
          <w:p>
            <w:r>
              <w:t>Implementation slice</w:t>
            </w:r>
          </w:p>
        </w:tc>
        <w:tc>
          <w:tcPr>
            <w:tcW w:type="dxa" w:w="4842"/>
            <w:tcMar>
              <w:top w:w="70" w:type="dxa"/>
              <w:left w:w="80" w:type="dxa"/>
              <w:bottom w:w="70" w:type="dxa"/>
              <w:right w:w="80" w:type="dxa"/>
            </w:tcMar>
          </w:tcPr>
          <w:p>
            <w:r>
              <w:t>Pilot</w:t>
            </w:r>
          </w:p>
        </w:tc>
      </w:tr>
    </w:tbl>
    <w:p>
      <w:pPr>
        <w:spacing w:after="40"/>
      </w:pPr>
    </w:p>
    <w:p>
      <w:pPr>
        <w:spacing w:after="80" w:line="259" w:lineRule="auto"/>
      </w:pPr>
      <w:r>
        <w:rPr>
          <w:rFonts w:ascii="Noto Sans" w:hAnsi="Noto Sans"/>
        </w:rPr>
        <w:t>Move a customer from signed contract to confident daily operation through a measurable implementation journey.</w:t>
      </w:r>
    </w:p>
    <w:p>
      <w:pPr>
        <w:pStyle w:val="Heading3"/>
        <w:keepNext/>
      </w:pPr>
      <w:r>
        <w:t>Required Capabilities Preserved</w:t>
      </w:r>
    </w:p>
    <w:p>
      <w:pPr>
        <w:pStyle w:val="Bullet1"/>
        <w:spacing w:after="40" w:line="252" w:lineRule="auto"/>
      </w:pPr>
      <w:r>
        <w:rPr>
          <w:rFonts w:ascii="Noto Sans" w:hAnsi="Noto Sans"/>
        </w:rPr>
        <w:t>Guided setup for organization, brands, locations, legal entities, regional settings and administrators.</w:t>
      </w:r>
    </w:p>
    <w:p>
      <w:pPr>
        <w:pStyle w:val="Bullet1"/>
        <w:spacing w:after="40" w:line="252" w:lineRule="auto"/>
      </w:pPr>
      <w:r>
        <w:rPr>
          <w:rFonts w:ascii="Noto Sans" w:hAnsi="Noto Sans"/>
        </w:rPr>
        <w:t>Configure plans, catalog, pricing, tax, payment, access, schedule, staff, roles, documents, communications and apps.</w:t>
      </w:r>
    </w:p>
    <w:p>
      <w:pPr>
        <w:pStyle w:val="Bullet1"/>
        <w:spacing w:after="40" w:line="252" w:lineRule="auto"/>
      </w:pPr>
      <w:r>
        <w:rPr>
          <w:rFonts w:ascii="Noto Sans" w:hAnsi="Noto Sans"/>
        </w:rPr>
        <w:t>Implementation project with checklist, owner, dependency, due date, evidence, risks and readiness score.</w:t>
      </w:r>
    </w:p>
    <w:p>
      <w:pPr>
        <w:pStyle w:val="Bullet1"/>
        <w:spacing w:after="40" w:line="252" w:lineRule="auto"/>
      </w:pPr>
      <w:r>
        <w:rPr>
          <w:rFonts w:ascii="Noto Sans" w:hAnsi="Noto Sans"/>
        </w:rPr>
        <w:t>Data migration waves, validation, reconciliation, sign-off and cutover plan.</w:t>
      </w:r>
    </w:p>
    <w:p>
      <w:pPr>
        <w:pStyle w:val="Bullet1"/>
        <w:spacing w:after="40" w:line="252" w:lineRule="auto"/>
      </w:pPr>
      <w:r>
        <w:rPr>
          <w:rFonts w:ascii="Noto Sans" w:hAnsi="Noto Sans"/>
        </w:rPr>
        <w:t>Hardware installation, network test, device enrollment, offline validation and operational rehearsal.</w:t>
      </w:r>
    </w:p>
    <w:p>
      <w:pPr>
        <w:pStyle w:val="Bullet1"/>
        <w:spacing w:after="40" w:line="252" w:lineRule="auto"/>
      </w:pPr>
      <w:r>
        <w:rPr>
          <w:rFonts w:ascii="Noto Sans" w:hAnsi="Noto Sans"/>
        </w:rPr>
        <w:t>Role-based training, sandbox practice, knowledge paths and certification.</w:t>
      </w:r>
    </w:p>
    <w:p>
      <w:pPr>
        <w:pStyle w:val="Bullet1"/>
        <w:spacing w:after="40" w:line="252" w:lineRule="auto"/>
      </w:pPr>
      <w:r>
        <w:rPr>
          <w:rFonts w:ascii="Noto Sans" w:hAnsi="Noto Sans"/>
        </w:rPr>
        <w:t>Go-live gate covering data, finance, access, bookings, support, rollback and communication.</w:t>
      </w:r>
    </w:p>
    <w:p>
      <w:pPr>
        <w:pStyle w:val="Bullet1"/>
        <w:spacing w:after="40" w:line="252" w:lineRule="auto"/>
      </w:pPr>
      <w:r>
        <w:rPr>
          <w:rFonts w:ascii="Noto Sans" w:hAnsi="Noto Sans"/>
        </w:rPr>
        <w:t>Hypercare period, issue triage, adoption review and transition to customer success.</w:t>
      </w:r>
    </w:p>
    <w:p>
      <w:pPr>
        <w:pStyle w:val="Heading3"/>
        <w:keepNext/>
      </w:pPr>
      <w:r>
        <w:t>Critical Controls</w:t>
      </w:r>
    </w:p>
    <w:p>
      <w:pPr>
        <w:pStyle w:val="Bullet1"/>
        <w:spacing w:after="40" w:line="252" w:lineRule="auto"/>
      </w:pPr>
      <w:r>
        <w:rPr>
          <w:rFonts w:ascii="Noto Sans" w:hAnsi="Noto Sans"/>
        </w:rPr>
        <w:t>No tenant goes live without validated rollback and business-continuity plan.</w:t>
      </w:r>
    </w:p>
    <w:p>
      <w:pPr>
        <w:pStyle w:val="Bullet1"/>
        <w:spacing w:after="40" w:line="252" w:lineRule="auto"/>
      </w:pPr>
      <w:r>
        <w:rPr>
          <w:rFonts w:ascii="Noto Sans" w:hAnsi="Noto Sans"/>
        </w:rPr>
        <w:t>Readiness gates are evidence-based, not subjective status labels.</w:t>
      </w:r>
    </w:p>
    <w:p>
      <w:pPr>
        <w:pStyle w:val="Heading3"/>
        <w:keepNext/>
      </w:pPr>
      <w:r>
        <w:t>Required Outcomes</w:t>
      </w:r>
    </w:p>
    <w:p>
      <w:pPr>
        <w:pStyle w:val="Bullet1"/>
        <w:spacing w:after="40" w:line="252" w:lineRule="auto"/>
      </w:pPr>
      <w:r>
        <w:rPr>
          <w:rFonts w:ascii="Noto Sans" w:hAnsi="Noto Sans"/>
        </w:rPr>
        <w:t>Time-to-value decreases and implementation risk becomes visible.</w:t>
      </w:r>
    </w:p>
    <w:p>
      <w:pPr>
        <w:pStyle w:val="Bullet1"/>
        <w:spacing w:after="40" w:line="252" w:lineRule="auto"/>
      </w:pPr>
      <w:r>
        <w:rPr>
          <w:rFonts w:ascii="Noto Sans" w:hAnsi="Noto Sans"/>
        </w:rPr>
        <w:t>Staff reach operational confidence before member launch.</w:t>
      </w:r>
    </w:p>
    <w:p>
      <w:pPr>
        <w:pStyle w:val="Heading3"/>
        <w:keepNext/>
      </w:pPr>
      <w:r>
        <w:t>Technical Realization Notes</w:t>
      </w:r>
    </w:p>
    <w:p>
      <w:pPr>
        <w:pStyle w:val="Bullet1"/>
        <w:spacing w:after="40" w:line="252" w:lineRule="auto"/>
      </w:pPr>
      <w:r>
        <w:t>Authority &amp; storage: Control-plane PostgreSQL database; module-prefixed tables; separate runtime role from product plane. Authoritative entities/tables are ImplementationProject, ImplementationTask, ReadinessCheck, TrainingPath, GoLivePlan, HypercareCase.</w:t>
      </w:r>
    </w:p>
    <w:p>
      <w:pPr>
        <w:pStyle w:val="Bullet1"/>
        <w:spacing w:after="40" w:line="252" w:lineRule="auto"/>
      </w:pPr>
      <w:r>
        <w:t>Command inventory: CreateImplementationProject, ConfigureTenant, ValidateReadiness, ApproveGoLive, ExecuteGoLive, VerifyHypercare. Every command declares permission, idempotency, expected aggregate version and transaction boundary.</w:t>
      </w:r>
    </w:p>
    <w:p>
      <w:pPr>
        <w:pStyle w:val="Bullet1"/>
        <w:spacing w:after="40" w:line="252" w:lineRule="auto"/>
      </w:pPr>
      <w:r>
        <w:t>Queries/read models: List/detail and history projections for ImplementationProject, ImplementationTask, ReadinessCheck, TrainingPath; role/surface-specific attention/summary read models for Admin Web; Internal SaaS Console; Learning Portal; every projection exposes freshness/version metadata when asynchronously built.</w:t>
      </w:r>
    </w:p>
    <w:p>
      <w:pPr>
        <w:pStyle w:val="Bullet1"/>
      </w:pPr>
      <w:r>
        <w:t>Indexes/concurrency: tenant-leading indexes for primary list/detail paths; unique external/provider identifiers are scoped by tenant/provider; aggregate version supports optimistic concurrency.</w:t>
      </w:r>
    </w:p>
    <w:p>
      <w:pPr>
        <w:pStyle w:val="Bullet1"/>
      </w:pPr>
      <w:r>
        <w:t>Published events: implementation.started, readiness.changed, go_live.approved, tenant.went_live, hypercare.completed. Consumed dependencies: PLT-01, PLT-04, LIF-02, GOV-04; dependencies are accessed by stable contracts/projections, never direct write-table joins. Direction for this intentional bidirectional pair (LIF-01 &lt;-&gt; GOV-04) is normative in §6.3.</w:t>
      </w:r>
    </w:p>
    <w:p>
      <w:pPr>
        <w:pStyle w:val="Bullet1"/>
      </w:pPr>
      <w:r>
        <w:t>Failure/degraded behavior: Write commands fail atomically; asynchronous effects retry idempotently; stale read models carry freshness and cannot authorize a consequence-bearing mutation beyond budget.</w:t>
      </w:r>
    </w:p>
    <w:p>
      <w:pPr>
        <w:pStyle w:val="Bullet1"/>
      </w:pPr>
      <w:r>
        <w:t>Security/privacy: classification is enforced at field/resource level; tenant context and authorization are mandatory. Restricted data follows §21 controls; support/break-glass access creates delegated actor evidence.</w:t>
      </w:r>
    </w:p>
    <w:p>
      <w:pPr>
        <w:pStyle w:val="Bullet1"/>
      </w:pPr>
      <w:r>
        <w:t>SLI/SLO: Surface/domain API 99.9% initial target; p95 &lt;500-750 ms by workload; queue/projection freshness per §12.5.</w:t>
      </w:r>
    </w:p>
    <w:p>
      <w:pPr>
        <w:pStyle w:val="Bullet1"/>
      </w:pPr>
      <w:r>
        <w:t>Tests/runbook: invariant/property tests for each state transition; contract tests for APIs/events; tenant isolation negative test where tenant-owned; runbook RB-LIF-01 covers stuck commands, reconciliation, provider/dependency outage and repair without history rewrite.</w:t>
      </w:r>
    </w:p>
    <w:p>
      <w:pPr>
        <w:pStyle w:val="Heading2"/>
        <w:keepNext/>
      </w:pPr>
      <w:r>
        <w:t>10.52 LIF-02 - Migration, Import, Validation &amp; Cutover</w:t>
      </w:r>
    </w:p>
    <w:tbl>
      <w:tblPr>
        <w:tblStyle w:val="TableGrid"/>
        <w:tblW w:type="dxa" w:w="9684"/>
        <w:jc w:val="center"/>
        <w:tblLayout w:type="autofit"/>
        <w:tblLook w:firstColumn="1" w:firstRow="1" w:lastColumn="0" w:lastRow="0" w:noHBand="0" w:noVBand="1" w:val="04A0"/>
      </w:tblPr>
      <w:tblGrid>
        <w:gridCol w:w="4842"/>
        <w:gridCol w:w="4842"/>
      </w:tblGrid>
      <w:tr>
        <w:trPr>
          <w:tblHeader w:val="true"/>
          <w:tblHeader w:val="true"/>
        </w:trPr>
        <w:tc>
          <w:tcPr>
            <w:tcW w:type="dxa" w:w="219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Attribute</w:t>
            </w:r>
          </w:p>
        </w:tc>
        <w:tc>
          <w:tcPr>
            <w:tcW w:type="dxa" w:w="758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Technical Design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phase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Pilot</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surfaces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Admin Web; Internal SaaS Console</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dependencies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PLT-01, PPL-01, COM-01, COM-04, SEC-01</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Authoritative entities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MigrationProject, SourceSystem, ImportFile, Mapping, Transformation, ImportRun, ImportError, ReconciliationReport, CutoverRun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Key events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migration.dry_run.completed, migration.error.detected, migration.import.completed, migration.reconciled, cutover.completed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store</w:t>
            </w:r>
          </w:p>
        </w:tc>
        <w:tc>
          <w:tcPr>
            <w:tcW w:type="dxa" w:w="7588"/>
            <w:tcMar>
              <w:top w:w="70" w:type="dxa"/>
              <w:start w:w="85" w:type="dxa"/>
              <w:bottom w:w="70" w:type="dxa"/>
              <w:end w:w="85" w:type="dxa"/>
              <w:left w:w="80" w:type="dxa"/>
              <w:right w:w="80" w:type="dxa"/>
            </w:tcMar>
            <w:vAlign w:val="center"/>
          </w:tcPr>
          <w:p>
            <w:r>
              <w:t>Product PostgreSQL app schema with module-prefixed authoritative tables; no cross-domain write-table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Data classification</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Confidential/tenant-scoped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Continuity tier</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Tier 2</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Technical interface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Domain command/query interface; no direct 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Async/workflow contract</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Transactional outbox for state changes; idempotent consumers. Durable workflow orchestration for multi-step/timer/provider processes.</w:t>
            </w:r>
          </w:p>
        </w:tc>
      </w:tr>
      <w:tr>
        <w:tc>
          <w:tcPr>
            <w:tcW w:type="dxa" w:w="4842"/>
            <w:tcMar>
              <w:top w:w="70" w:type="dxa"/>
              <w:left w:w="80" w:type="dxa"/>
              <w:bottom w:w="70" w:type="dxa"/>
              <w:right w:w="80" w:type="dxa"/>
            </w:tcMar>
          </w:tcPr>
          <w:p>
            <w:r>
              <w:t>Implementation slice</w:t>
            </w:r>
          </w:p>
        </w:tc>
        <w:tc>
          <w:tcPr>
            <w:tcW w:type="dxa" w:w="4842"/>
            <w:tcMar>
              <w:top w:w="70" w:type="dxa"/>
              <w:left w:w="80" w:type="dxa"/>
              <w:bottom w:w="70" w:type="dxa"/>
              <w:right w:w="80" w:type="dxa"/>
            </w:tcMar>
          </w:tcPr>
          <w:p>
            <w:r>
              <w:t>Pilot migration capability using Pilot domain slices</w:t>
            </w:r>
          </w:p>
        </w:tc>
      </w:tr>
    </w:tbl>
    <w:p>
      <w:pPr>
        <w:spacing w:after="40"/>
      </w:pPr>
    </w:p>
    <w:p>
      <w:pPr>
        <w:spacing w:after="80" w:line="259" w:lineRule="auto"/>
      </w:pPr>
      <w:r>
        <w:rPr>
          <w:rFonts w:ascii="Noto Sans" w:hAnsi="Noto Sans"/>
        </w:rPr>
        <w:t>Make switching from spreadsheets or competitors safe, repeatable and commercially compelling.</w:t>
      </w:r>
    </w:p>
    <w:p>
      <w:pPr>
        <w:pStyle w:val="Heading3"/>
        <w:keepNext/>
      </w:pPr>
      <w:r>
        <w:t>Required Capabilities Preserved</w:t>
      </w:r>
    </w:p>
    <w:p>
      <w:pPr>
        <w:pStyle w:val="Bullet1"/>
        <w:spacing w:after="40" w:line="252" w:lineRule="auto"/>
      </w:pPr>
      <w:r>
        <w:rPr>
          <w:rFonts w:ascii="Noto Sans" w:hAnsi="Noto Sans"/>
        </w:rPr>
        <w:t>Source-specific importers for CSV/Excel and prioritized competitors, plus generic API/file framework.</w:t>
      </w:r>
    </w:p>
    <w:p>
      <w:pPr>
        <w:pStyle w:val="Bullet1"/>
        <w:spacing w:after="40" w:line="252" w:lineRule="auto"/>
      </w:pPr>
      <w:r>
        <w:rPr>
          <w:rFonts w:ascii="Noto Sans" w:hAnsi="Noto Sans"/>
        </w:rPr>
        <w:t>Mapping workspace for fields, codes, locations, plans, products, statuses, currencies and identities.</w:t>
      </w:r>
    </w:p>
    <w:p>
      <w:pPr>
        <w:pStyle w:val="Bullet1"/>
        <w:spacing w:after="40" w:line="252" w:lineRule="auto"/>
      </w:pPr>
      <w:r>
        <w:rPr>
          <w:rFonts w:ascii="Noto Sans" w:hAnsi="Noto Sans"/>
        </w:rPr>
        <w:t>Transformations, normalization, deduplication, defaults and exception queues.</w:t>
      </w:r>
    </w:p>
    <w:p>
      <w:pPr>
        <w:pStyle w:val="Bullet1"/>
        <w:spacing w:after="40" w:line="252" w:lineRule="auto"/>
      </w:pPr>
      <w:r>
        <w:rPr>
          <w:rFonts w:ascii="Noto Sans" w:hAnsi="Noto Sans"/>
        </w:rPr>
        <w:t>Dry run with counts, financial totals, orphan records, conflicts, invalid data and remediation guidance.</w:t>
      </w:r>
    </w:p>
    <w:p>
      <w:pPr>
        <w:pStyle w:val="Bullet1"/>
        <w:spacing w:after="40" w:line="252" w:lineRule="auto"/>
      </w:pPr>
      <w:r>
        <w:rPr>
          <w:rFonts w:ascii="Noto Sans" w:hAnsi="Noto Sans"/>
        </w:rPr>
        <w:t>Migration of members, leads, memberships, balances, credits, invoices, payments, bookings, attendance, programs, notes and documents according to scope.</w:t>
      </w:r>
    </w:p>
    <w:p>
      <w:pPr>
        <w:pStyle w:val="Bullet1"/>
        <w:spacing w:after="40" w:line="252" w:lineRule="auto"/>
      </w:pPr>
      <w:r>
        <w:rPr>
          <w:rFonts w:ascii="Noto Sans" w:hAnsi="Noto Sans"/>
        </w:rPr>
        <w:t>Incremental/delta imports, freeze window, cutover runbook and post-cutover reconciliation.</w:t>
      </w:r>
    </w:p>
    <w:p>
      <w:pPr>
        <w:pStyle w:val="Bullet1"/>
        <w:spacing w:after="40" w:line="252" w:lineRule="auto"/>
      </w:pPr>
      <w:r>
        <w:rPr>
          <w:rFonts w:ascii="Noto Sans" w:hAnsi="Noto Sans"/>
        </w:rPr>
        <w:t>Import lineage, source identifiers, evidence, sign-off and controlled rollback.</w:t>
      </w:r>
    </w:p>
    <w:p>
      <w:pPr>
        <w:pStyle w:val="Bullet1"/>
        <w:spacing w:after="40" w:line="252" w:lineRule="auto"/>
      </w:pPr>
      <w:r>
        <w:rPr>
          <w:rFonts w:ascii="Noto Sans" w:hAnsi="Noto Sans"/>
        </w:rPr>
        <w:t>Privacy-safe staging, time-limited source files and secure deletion.</w:t>
      </w:r>
    </w:p>
    <w:p>
      <w:pPr>
        <w:pStyle w:val="Heading3"/>
        <w:keepNext/>
      </w:pPr>
      <w:r>
        <w:t>Critical Controls</w:t>
      </w:r>
    </w:p>
    <w:p>
      <w:pPr>
        <w:pStyle w:val="Bullet1"/>
        <w:spacing w:after="40" w:line="252" w:lineRule="auto"/>
      </w:pPr>
      <w:r>
        <w:rPr>
          <w:rFonts w:ascii="Noto Sans" w:hAnsi="Noto Sans"/>
        </w:rPr>
        <w:t>Financial and entitlement totals require explicit reconciliation and customer sign-off.</w:t>
      </w:r>
    </w:p>
    <w:p>
      <w:pPr>
        <w:pStyle w:val="Bullet1"/>
        <w:spacing w:after="40" w:line="252" w:lineRule="auto"/>
      </w:pPr>
      <w:r>
        <w:rPr>
          <w:rFonts w:ascii="Noto Sans" w:hAnsi="Noto Sans"/>
        </w:rPr>
        <w:t>Source files are encrypted, access-limited and deleted by policy.</w:t>
      </w:r>
    </w:p>
    <w:p>
      <w:pPr>
        <w:pStyle w:val="Heading3"/>
        <w:keepNext/>
      </w:pPr>
      <w:r>
        <w:t>Required Outcomes</w:t>
      </w:r>
    </w:p>
    <w:p>
      <w:pPr>
        <w:pStyle w:val="Bullet1"/>
        <w:spacing w:after="40" w:line="252" w:lineRule="auto"/>
      </w:pPr>
      <w:r>
        <w:rPr>
          <w:rFonts w:ascii="Noto Sans" w:hAnsi="Noto Sans"/>
        </w:rPr>
        <w:t>Migration becomes a productized competitive advantage.</w:t>
      </w:r>
    </w:p>
    <w:p>
      <w:pPr>
        <w:pStyle w:val="Bullet1"/>
        <w:spacing w:after="40" w:line="252" w:lineRule="auto"/>
      </w:pPr>
      <w:r>
        <w:rPr>
          <w:rFonts w:ascii="Noto Sans" w:hAnsi="Noto Sans"/>
        </w:rPr>
        <w:t>Customers switch with traceable data quality and minimal operational downtime.</w:t>
      </w:r>
    </w:p>
    <w:p>
      <w:pPr>
        <w:pStyle w:val="Heading3"/>
        <w:keepNext/>
      </w:pPr>
      <w:r>
        <w:t>Technical Realization Notes</w:t>
      </w:r>
    </w:p>
    <w:p>
      <w:pPr>
        <w:pStyle w:val="Bullet1"/>
        <w:spacing w:after="40" w:line="252" w:lineRule="auto"/>
      </w:pPr>
      <w:r>
        <w:t>Authority &amp; storage: Product PostgreSQL app schema with module-prefixed authoritative tables; no cross-domain write-table access. Authoritative entities/tables are MigrationProject, SourceSystem, ImportFile, Mapping, Transformation, ImportRun, ImportError, ReconciliationReport, CutoverRun.</w:t>
      </w:r>
    </w:p>
    <w:p>
      <w:pPr>
        <w:pStyle w:val="Bullet1"/>
        <w:spacing w:after="40" w:line="252" w:lineRule="auto"/>
      </w:pPr>
      <w:r>
        <w:t>Command inventory: CreateMigrationRun, StageImport, MapFields, ValidateImport, ReconcileImport, RunDeltaMigration, CutoverMigration, RollbackMigration. Every command declares permission, idempotency, expected aggregate version and transaction boundary.</w:t>
      </w:r>
    </w:p>
    <w:p>
      <w:pPr>
        <w:pStyle w:val="Bullet1"/>
        <w:spacing w:after="40" w:line="252" w:lineRule="auto"/>
      </w:pPr>
      <w:r>
        <w:t>Queries/read models: List/detail and history projections for MigrationProject, SourceSystem, ImportFile, Mapping; role/surface-specific attention/summary read models for Admin Web; Internal SaaS Console; every projection exposes freshness/version metadata when asynchronously built.</w:t>
      </w:r>
    </w:p>
    <w:p>
      <w:pPr>
        <w:pStyle w:val="Bullet1"/>
        <w:spacing w:after="40" w:line="252" w:lineRule="auto"/>
      </w:pPr>
      <w:r>
        <w:t>Indexes/concurrency: tenant-leading indexes for primary list/detail paths; unique external/provider identifiers are scoped by tenant/provider; aggregate version supports optimistic concurrency.</w:t>
      </w:r>
    </w:p>
    <w:p>
      <w:pPr>
        <w:pStyle w:val="Bullet1"/>
      </w:pPr>
      <w:r>
        <w:t>Published events: migration.dry_run.completed, migration.error.detected, migration.import.completed, migration.reconciled, cutover.completed. Consumed dependencies: PLT-01, PPL-01, COM-01, COM-04, SEC-01; dependencies are accessed by stable contracts/projections, never direct write-table joins.</w:t>
      </w:r>
    </w:p>
    <w:p>
      <w:pPr>
        <w:pStyle w:val="Bullet1"/>
      </w:pPr>
      <w:r>
        <w:t>Failure/degraded behavior: Write commands fail atomically; asynchronous effects retry idempotently; stale read models carry freshness and cannot authorize a consequence-bearing mutation beyond budget.</w:t>
      </w:r>
    </w:p>
    <w:p>
      <w:pPr>
        <w:pStyle w:val="Bullet1"/>
      </w:pPr>
      <w:r>
        <w:t>Security/privacy: classification is enforced at field/resource level; tenant context and authorization are mandatory. Restricted data follows §21 controls; support/break-glass access creates delegated actor evidence.</w:t>
      </w:r>
    </w:p>
    <w:p>
      <w:pPr>
        <w:pStyle w:val="Bullet1"/>
      </w:pPr>
      <w:r>
        <w:t>SLI/SLO: Surface/domain API 99.9% initial target; p95 &lt;500-750 ms by workload; queue/projection freshness per §12.5.</w:t>
      </w:r>
    </w:p>
    <w:p>
      <w:pPr>
        <w:pStyle w:val="Bullet1"/>
      </w:pPr>
      <w:r>
        <w:t>Tests/runbook: invariant/property tests for each state transition; contract tests for APIs/events; tenant isolation negative test where tenant-owned; runbook RB-LIF-02 covers stuck commands, reconciliation, provider/dependency outage and repair without history rewrite.</w:t>
      </w:r>
    </w:p>
    <w:p>
      <w:pPr>
        <w:pStyle w:val="Heading2"/>
        <w:keepNext/>
      </w:pPr>
      <w:r>
        <w:t>10.53 LIF-03 - Offboarding, Data Portability, Archival &amp; Deletion</w:t>
      </w:r>
    </w:p>
    <w:tbl>
      <w:tblPr>
        <w:tblStyle w:val="TableGrid"/>
        <w:tblW w:type="dxa" w:w="9684"/>
        <w:jc w:val="center"/>
        <w:tblLayout w:type="autofit"/>
        <w:tblLook w:firstColumn="1" w:firstRow="1" w:lastColumn="0" w:lastRow="0" w:noHBand="0" w:noVBand="1" w:val="04A0"/>
      </w:tblPr>
      <w:tblGrid>
        <w:gridCol w:w="4842"/>
        <w:gridCol w:w="4842"/>
      </w:tblGrid>
      <w:tr>
        <w:trPr>
          <w:tblHeader w:val="true"/>
          <w:tblHeader w:val="true"/>
        </w:trPr>
        <w:tc>
          <w:tcPr>
            <w:tcW w:type="dxa" w:w="219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Attribute</w:t>
            </w:r>
          </w:p>
        </w:tc>
        <w:tc>
          <w:tcPr>
            <w:tcW w:type="dxa" w:w="758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Technical Design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phase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Enterprise</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surfaces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Internal SaaS Console; Tenant Admin; Member App</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dependencies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PLT-03, SEC-01, DAT-02, ECO-02</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Authoritative entities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OffboardingCase, DataExportPackage, ArchiveRecord, DeletionJob, LegalHold, CredentialRevocation, DeletionEvidence</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Key events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tenant.offboarding.started, data_export.ready, tenant.archived, credentials.revoked, data.deleted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store</w:t>
            </w:r>
          </w:p>
        </w:tc>
        <w:tc>
          <w:tcPr>
            <w:tcW w:type="dxa" w:w="7588"/>
            <w:tcMar>
              <w:top w:w="70" w:type="dxa"/>
              <w:start w:w="85" w:type="dxa"/>
              <w:bottom w:w="70" w:type="dxa"/>
              <w:end w:w="85" w:type="dxa"/>
              <w:left w:w="80" w:type="dxa"/>
              <w:right w:w="80" w:type="dxa"/>
            </w:tcMar>
            <w:vAlign w:val="center"/>
          </w:tcPr>
          <w:p>
            <w:r>
              <w:t>Product PostgreSQL app schema with module-prefixed authoritative tables; no cross-domain write-table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Data classification</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Confidential/tenant-scoped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Continuity tier</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Tier 2</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Technical interface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Domain command/query interface; no direct 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Async/workflow contract</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Transactional outbox for state changes; idempotent consumers. Durable workflow orchestration for multi-step/timer/provider processes.</w:t>
            </w:r>
          </w:p>
        </w:tc>
      </w:tr>
      <w:tr>
        <w:tc>
          <w:tcPr>
            <w:tcW w:type="dxa" w:w="4842"/>
            <w:tcMar>
              <w:top w:w="70" w:type="dxa"/>
              <w:left w:w="80" w:type="dxa"/>
              <w:bottom w:w="70" w:type="dxa"/>
              <w:right w:w="80" w:type="dxa"/>
            </w:tcMar>
          </w:tcPr>
          <w:p>
            <w:r>
              <w:t>Implementation slice</w:t>
            </w:r>
          </w:p>
        </w:tc>
        <w:tc>
          <w:tcPr>
            <w:tcW w:type="dxa" w:w="4842"/>
            <w:tcMar>
              <w:top w:w="70" w:type="dxa"/>
              <w:left w:w="80" w:type="dxa"/>
              <w:bottom w:w="70" w:type="dxa"/>
              <w:right w:w="80" w:type="dxa"/>
            </w:tcMar>
          </w:tcPr>
          <w:p>
            <w:r>
              <w:t>Enterprise</w:t>
            </w:r>
          </w:p>
        </w:tc>
      </w:tr>
    </w:tbl>
    <w:p>
      <w:pPr>
        <w:spacing w:after="40"/>
      </w:pPr>
    </w:p>
    <w:p>
      <w:pPr>
        <w:spacing w:after="80" w:line="259" w:lineRule="auto"/>
      </w:pPr>
      <w:r>
        <w:rPr>
          <w:rFonts w:ascii="Noto Sans" w:hAnsi="Noto Sans"/>
        </w:rPr>
        <w:t>End customer and user relationships responsibly with complete financial, legal, security and data controls.</w:t>
      </w:r>
    </w:p>
    <w:p>
      <w:pPr>
        <w:pStyle w:val="Heading3"/>
        <w:keepNext/>
      </w:pPr>
      <w:r>
        <w:t>Required Capabilities Preserved</w:t>
      </w:r>
    </w:p>
    <w:p>
      <w:pPr>
        <w:pStyle w:val="Bullet1"/>
        <w:spacing w:after="40" w:line="252" w:lineRule="auto"/>
      </w:pPr>
      <w:r>
        <w:rPr>
          <w:rFonts w:ascii="Noto Sans" w:hAnsi="Noto Sans"/>
        </w:rPr>
        <w:t>Tenant lifecycle from active to past due, suspended, cancelled, read-only, archived and deleted.</w:t>
      </w:r>
    </w:p>
    <w:p>
      <w:pPr>
        <w:pStyle w:val="Bullet1"/>
        <w:spacing w:after="40" w:line="252" w:lineRule="auto"/>
      </w:pPr>
      <w:r>
        <w:rPr>
          <w:rFonts w:ascii="Noto Sans" w:hAnsi="Noto Sans"/>
        </w:rPr>
        <w:t>Final billing, settlement, refunds, outstanding obligations, device return and credential revocation.</w:t>
      </w:r>
    </w:p>
    <w:p>
      <w:pPr>
        <w:pStyle w:val="Bullet1"/>
        <w:spacing w:after="40" w:line="252" w:lineRule="auto"/>
      </w:pPr>
      <w:r>
        <w:rPr>
          <w:rFonts w:ascii="Noto Sans" w:hAnsi="Noto Sans"/>
        </w:rPr>
        <w:t>Structured export for members, contracts, payments, invoices, attendance, bookings, training, nutrition, messages and audit according to rights.</w:t>
      </w:r>
    </w:p>
    <w:p>
      <w:pPr>
        <w:pStyle w:val="Bullet1"/>
        <w:spacing w:after="40" w:line="252" w:lineRule="auto"/>
      </w:pPr>
      <w:r>
        <w:rPr>
          <w:rFonts w:ascii="Noto Sans" w:hAnsi="Noto Sans"/>
        </w:rPr>
        <w:t>Export manifest, schema, checksums, encryption, expiry and delivery audit.</w:t>
      </w:r>
    </w:p>
    <w:p>
      <w:pPr>
        <w:pStyle w:val="Bullet1"/>
        <w:spacing w:after="40" w:line="252" w:lineRule="auto"/>
      </w:pPr>
      <w:r>
        <w:rPr>
          <w:rFonts w:ascii="Noto Sans" w:hAnsi="Noto Sans"/>
        </w:rPr>
        <w:t>Retention by data class, legal hold, archive tier, restoration authorization and deletion schedule.</w:t>
      </w:r>
    </w:p>
    <w:p>
      <w:pPr>
        <w:pStyle w:val="Bullet1"/>
        <w:spacing w:after="40" w:line="252" w:lineRule="auto"/>
      </w:pPr>
      <w:r>
        <w:rPr>
          <w:rFonts w:ascii="Noto Sans" w:hAnsi="Noto Sans"/>
        </w:rPr>
        <w:t>Integration uninstall, webhook shutdown, secret destruction, domain release and app-store transition.</w:t>
      </w:r>
    </w:p>
    <w:p>
      <w:pPr>
        <w:pStyle w:val="Bullet1"/>
        <w:spacing w:after="40" w:line="252" w:lineRule="auto"/>
      </w:pPr>
      <w:r>
        <w:rPr>
          <w:rFonts w:ascii="Noto Sans" w:hAnsi="Noto Sans"/>
        </w:rPr>
        <w:t>Member-level account deletion/export coordinated across tenant and platform obligations.</w:t>
      </w:r>
    </w:p>
    <w:p>
      <w:pPr>
        <w:pStyle w:val="Bullet1"/>
        <w:spacing w:after="40" w:line="252" w:lineRule="auto"/>
      </w:pPr>
      <w:r>
        <w:rPr>
          <w:rFonts w:ascii="Noto Sans" w:hAnsi="Noto Sans"/>
        </w:rPr>
        <w:t>Deletion evidence and tombstones preventing unintended recreation or orphaned references.</w:t>
      </w:r>
    </w:p>
    <w:p>
      <w:pPr>
        <w:pStyle w:val="Heading3"/>
        <w:keepNext/>
      </w:pPr>
      <w:r>
        <w:t>Critical Controls</w:t>
      </w:r>
    </w:p>
    <w:p>
      <w:pPr>
        <w:pStyle w:val="Bullet1"/>
        <w:spacing w:after="40" w:line="252" w:lineRule="auto"/>
      </w:pPr>
      <w:r>
        <w:rPr>
          <w:rFonts w:ascii="Noto Sans" w:hAnsi="Noto Sans"/>
        </w:rPr>
        <w:t>Deletion occurs only after retention, legal hold and billing obligations are evaluated.</w:t>
      </w:r>
    </w:p>
    <w:p>
      <w:pPr>
        <w:pStyle w:val="Bullet1"/>
        <w:spacing w:after="40" w:line="252" w:lineRule="auto"/>
      </w:pPr>
      <w:r>
        <w:rPr>
          <w:rFonts w:ascii="Noto Sans" w:hAnsi="Noto Sans"/>
        </w:rPr>
        <w:t>Exports are permissioned, encrypted, time-limited and auditable.</w:t>
      </w:r>
    </w:p>
    <w:p>
      <w:pPr>
        <w:pStyle w:val="Heading3"/>
        <w:keepNext/>
      </w:pPr>
      <w:r>
        <w:t>Required Outcomes</w:t>
      </w:r>
    </w:p>
    <w:p>
      <w:pPr>
        <w:pStyle w:val="Bullet1"/>
        <w:spacing w:after="40" w:line="252" w:lineRule="auto"/>
      </w:pPr>
      <w:r>
        <w:rPr>
          <w:rFonts w:ascii="Noto Sans" w:hAnsi="Noto Sans"/>
        </w:rPr>
        <w:t>Customers trust that they own and can retrieve their data.</w:t>
      </w:r>
    </w:p>
    <w:p>
      <w:pPr>
        <w:pStyle w:val="Bullet1"/>
        <w:spacing w:after="40" w:line="252" w:lineRule="auto"/>
      </w:pPr>
      <w:r>
        <w:rPr>
          <w:rFonts w:ascii="Noto Sans" w:hAnsi="Noto Sans"/>
        </w:rPr>
        <w:t>Departed tenants do not leave active credentials, costs or hidden risk.</w:t>
      </w:r>
    </w:p>
    <w:p>
      <w:pPr>
        <w:pStyle w:val="Heading3"/>
        <w:keepNext/>
      </w:pPr>
      <w:r>
        <w:t>Technical Realization Notes</w:t>
      </w:r>
    </w:p>
    <w:p>
      <w:pPr>
        <w:pStyle w:val="Bullet1"/>
        <w:spacing w:after="40" w:line="252" w:lineRule="auto"/>
      </w:pPr>
      <w:r>
        <w:t>Authority &amp; storage: Product PostgreSQL app schema with module-prefixed authoritative tables; no cross-domain write-table access. Authoritative entities/tables are OffboardingCase, DataExportPackage, ArchiveRecord, DeletionJob, LegalHold, CredentialRevocation, DeletionEvidence.</w:t>
      </w:r>
    </w:p>
    <w:p>
      <w:pPr>
        <w:pStyle w:val="Bullet1"/>
        <w:spacing w:after="40" w:line="252" w:lineRule="auto"/>
      </w:pPr>
      <w:r>
        <w:t>Command inventory: CreateExport, StartOffboarding, FreezeTenantWrites, VerifyHandover, ApplyRetention, DeleteTenantData, ArchiveLegalEvidence. Every command declares permission, idempotency, expected aggregate version and transaction boundary.</w:t>
      </w:r>
    </w:p>
    <w:p>
      <w:pPr>
        <w:pStyle w:val="Bullet1"/>
        <w:spacing w:after="40" w:line="252" w:lineRule="auto"/>
      </w:pPr>
      <w:r>
        <w:t>Queries/read models: List/detail and history projections for OffboardingCase, DataExportPackage, ArchiveRecord, DeletionJob; role/surface-specific attention/summary read models for Internal SaaS Console; Tenant Admin; Member App; every projection exposes freshness/version metadata when asynchronously built.</w:t>
      </w:r>
    </w:p>
    <w:p>
      <w:pPr>
        <w:pStyle w:val="Bullet1"/>
      </w:pPr>
      <w:r>
        <w:t>Indexes/concurrency: tenant-leading indexes for primary list/detail paths; unique external/provider identifiers are scoped by tenant/provider; aggregate version supports optimistic concurrency.</w:t>
      </w:r>
    </w:p>
    <w:p>
      <w:pPr>
        <w:pStyle w:val="Bullet1"/>
      </w:pPr>
      <w:r>
        <w:t>Published events: tenant.offboarding.started, data_export.ready, tenant.archived, credentials.revoked, data.deleted. Consumed dependencies: PLT-03, SEC-01, DAT-02, ECO-02; dependencies are accessed by stable contracts/projections, never direct write-table joins.</w:t>
      </w:r>
    </w:p>
    <w:p>
      <w:pPr>
        <w:pStyle w:val="Bullet1"/>
      </w:pPr>
      <w:r>
        <w:t>Failure/degraded behavior: Write commands fail atomically; asynchronous effects retry idempotently; stale read models carry freshness and cannot authorize a consequence-bearing mutation beyond budget.</w:t>
      </w:r>
    </w:p>
    <w:p>
      <w:pPr>
        <w:pStyle w:val="Bullet1"/>
      </w:pPr>
      <w:r>
        <w:t>Security/privacy: classification is enforced at field/resource level; tenant context and authorization are mandatory. Restricted data follows §21 controls; support/break-glass access creates delegated actor evidence.</w:t>
      </w:r>
    </w:p>
    <w:p>
      <w:pPr>
        <w:pStyle w:val="Bullet1"/>
      </w:pPr>
      <w:r>
        <w:t>SLI/SLO: Surface/domain API 99.9% initial target; p95 &lt;500-750 ms by workload; queue/projection freshness per §12.5.</w:t>
      </w:r>
    </w:p>
    <w:p>
      <w:pPr>
        <w:pStyle w:val="Bullet1"/>
      </w:pPr>
      <w:r>
        <w:t>Tests/runbook: invariant/property tests for each state transition; contract tests for APIs/events; tenant isolation negative test where tenant-owned; runbook RB-LIF-03 covers stuck commands, reconciliation, provider/dependency outage and repair without history rewrite.</w:t>
      </w:r>
    </w:p>
    <w:p>
      <w:pPr>
        <w:pStyle w:val="Heading2"/>
        <w:keepNext/>
      </w:pPr>
      <w:r>
        <w:t>10.54 GOV-01 - Quality Engineering, CI/CD, Release &amp; Schema Management</w:t>
      </w:r>
    </w:p>
    <w:tbl>
      <w:tblPr>
        <w:tblStyle w:val="TableGrid"/>
        <w:tblW w:type="dxa" w:w="9684"/>
        <w:jc w:val="center"/>
        <w:tblLayout w:type="autofit"/>
        <w:tblLook w:firstColumn="1" w:firstRow="1" w:lastColumn="0" w:lastRow="0" w:noHBand="0" w:noVBand="1" w:val="04A0"/>
      </w:tblPr>
      <w:tblGrid>
        <w:gridCol w:w="4842"/>
        <w:gridCol w:w="4842"/>
      </w:tblGrid>
      <w:tr>
        <w:trPr>
          <w:tblHeader w:val="true"/>
          <w:tblHeader w:val="true"/>
        </w:trPr>
        <w:tc>
          <w:tcPr>
            <w:tcW w:type="dxa" w:w="219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Attribute</w:t>
            </w:r>
          </w:p>
        </w:tc>
        <w:tc>
          <w:tcPr>
            <w:tcW w:type="dxa" w:w="758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Technical Design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phase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Foundation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surfaces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Engineering; Internal SaaS Console</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dependencies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PLT-02, REL-01, SEC-01</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Authoritative entities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TestSuite, TestRun, BuildArtifact, Deployment, Release, DatabaseMigration, MobileVersion, ChangeNotice</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Key events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build.completed, quality_gate.failed, deployment.started, deployment.rolled_back, release.published, schema.migrated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store</w:t>
            </w:r>
          </w:p>
        </w:tc>
        <w:tc>
          <w:tcPr>
            <w:tcW w:type="dxa" w:w="7588"/>
            <w:tcMar>
              <w:top w:w="70" w:type="dxa"/>
              <w:start w:w="85" w:type="dxa"/>
              <w:bottom w:w="70" w:type="dxa"/>
              <w:end w:w="85" w:type="dxa"/>
              <w:left w:w="80" w:type="dxa"/>
              <w:right w:w="80" w:type="dxa"/>
            </w:tcMar>
            <w:vAlign w:val="center"/>
          </w:tcPr>
          <w:p>
            <w:r>
              <w:t>Product PostgreSQL app schema with module-prefixed authoritative tables; no cross-domain write-table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Data classification</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Confidential/tenant-scoped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Continuity tier</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Tier 2</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Technical interface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Domain command/query interface; no direct 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Async/workflow contract</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Transactional outbox for state changes; idempotent consumers. Durable workflow orchestration for multi-step/timer/provider processes.</w:t>
            </w:r>
          </w:p>
        </w:tc>
      </w:tr>
      <w:tr>
        <w:tc>
          <w:tcPr>
            <w:tcW w:type="dxa" w:w="4842"/>
            <w:tcMar>
              <w:top w:w="70" w:type="dxa"/>
              <w:left w:w="80" w:type="dxa"/>
              <w:bottom w:w="70" w:type="dxa"/>
              <w:right w:w="80" w:type="dxa"/>
            </w:tcMar>
          </w:tcPr>
          <w:p>
            <w:r>
              <w:t>Implementation slice</w:t>
            </w:r>
          </w:p>
        </w:tc>
        <w:tc>
          <w:tcPr>
            <w:tcW w:type="dxa" w:w="4842"/>
            <w:tcMar>
              <w:top w:w="70" w:type="dxa"/>
              <w:left w:w="80" w:type="dxa"/>
              <w:bottom w:w="70" w:type="dxa"/>
              <w:right w:w="80" w:type="dxa"/>
            </w:tcMar>
          </w:tcPr>
          <w:p>
            <w:r>
              <w:t>Foundation</w:t>
            </w:r>
          </w:p>
        </w:tc>
      </w:tr>
    </w:tbl>
    <w:p>
      <w:pPr>
        <w:spacing w:after="40"/>
      </w:pPr>
    </w:p>
    <w:p>
      <w:pPr>
        <w:spacing w:after="80" w:line="259" w:lineRule="auto"/>
      </w:pPr>
      <w:r>
        <w:rPr>
          <w:rFonts w:ascii="Noto Sans" w:hAnsi="Noto Sans"/>
        </w:rPr>
        <w:t>Deliver frequent change safely across backend, web, mobile, data, integrations and edge devices.</w:t>
      </w:r>
    </w:p>
    <w:p>
      <w:pPr>
        <w:pStyle w:val="Heading3"/>
        <w:keepNext/>
      </w:pPr>
      <w:r>
        <w:t>Required Capabilities Preserved</w:t>
      </w:r>
    </w:p>
    <w:p>
      <w:pPr>
        <w:pStyle w:val="Bullet1"/>
        <w:spacing w:after="40" w:line="252" w:lineRule="auto"/>
      </w:pPr>
      <w:r>
        <w:rPr>
          <w:rFonts w:ascii="Noto Sans" w:hAnsi="Noto Sans"/>
        </w:rPr>
        <w:t>Test pyramid covering unit, component, integration, contract, end-to-end, mobile UI and exploratory testing.</w:t>
      </w:r>
    </w:p>
    <w:p>
      <w:pPr>
        <w:pStyle w:val="Bullet1"/>
        <w:spacing w:after="40" w:line="252" w:lineRule="auto"/>
      </w:pPr>
      <w:r>
        <w:rPr>
          <w:rFonts w:ascii="Noto Sans" w:hAnsi="Noto Sans"/>
        </w:rPr>
        <w:t>Critical workflow suites for authentication, tenant isolation, membership, booking, payment, ledger, POS, access and migration.</w:t>
      </w:r>
    </w:p>
    <w:p>
      <w:pPr>
        <w:pStyle w:val="Bullet1"/>
        <w:spacing w:after="40" w:line="252" w:lineRule="auto"/>
      </w:pPr>
      <w:r>
        <w:rPr>
          <w:rFonts w:ascii="Noto Sans" w:hAnsi="Noto Sans"/>
        </w:rPr>
        <w:t>Load, performance, security, accessibility, localization, offline and failure testing.</w:t>
      </w:r>
    </w:p>
    <w:p>
      <w:pPr>
        <w:pStyle w:val="Bullet1"/>
        <w:spacing w:after="40" w:line="252" w:lineRule="auto"/>
      </w:pPr>
      <w:r>
        <w:rPr>
          <w:rFonts w:ascii="Noto Sans" w:hAnsi="Noto Sans"/>
        </w:rPr>
        <w:t>CI gates for lint, test, vulnerability, schema compatibility, migration safety and artifact signing.</w:t>
      </w:r>
    </w:p>
    <w:p>
      <w:pPr>
        <w:pStyle w:val="Bullet1"/>
        <w:spacing w:after="40" w:line="252" w:lineRule="auto"/>
      </w:pPr>
      <w:r>
        <w:rPr>
          <w:rFonts w:ascii="Noto Sans" w:hAnsi="Noto Sans"/>
        </w:rPr>
        <w:t>Progressive delivery, canary, feature flags, automated rollback and release evidence.</w:t>
      </w:r>
    </w:p>
    <w:p>
      <w:pPr>
        <w:pStyle w:val="Bullet1"/>
        <w:spacing w:after="40" w:line="252" w:lineRule="auto"/>
      </w:pPr>
      <w:r>
        <w:rPr>
          <w:rFonts w:ascii="Noto Sans" w:hAnsi="Noto Sans"/>
        </w:rPr>
        <w:t>Backward-compatible database changes, expand-contract pattern, zero-downtime migration and rollback strategy.</w:t>
      </w:r>
    </w:p>
    <w:p>
      <w:pPr>
        <w:pStyle w:val="Bullet1"/>
        <w:spacing w:after="40" w:line="252" w:lineRule="auto"/>
      </w:pPr>
      <w:r>
        <w:rPr>
          <w:rFonts w:ascii="Noto Sans" w:hAnsi="Noto Sans"/>
        </w:rPr>
        <w:t>Mobile version support policy, store rollout, crash monitoring and remote configuration.</w:t>
      </w:r>
    </w:p>
    <w:p>
      <w:pPr>
        <w:pStyle w:val="Bullet1"/>
        <w:spacing w:after="40" w:line="252" w:lineRule="auto"/>
      </w:pPr>
      <w:r>
        <w:rPr>
          <w:rFonts w:ascii="Noto Sans" w:hAnsi="Noto Sans"/>
        </w:rPr>
        <w:t>Release train, changelog, maintenance, beta/GA/deprecation lifecycle and customer communication.</w:t>
      </w:r>
    </w:p>
    <w:p>
      <w:pPr>
        <w:pStyle w:val="Heading3"/>
        <w:keepNext/>
      </w:pPr>
      <w:r>
        <w:t>Critical Controls</w:t>
      </w:r>
    </w:p>
    <w:p>
      <w:pPr>
        <w:pStyle w:val="Bullet1"/>
        <w:spacing w:after="40" w:line="252" w:lineRule="auto"/>
      </w:pPr>
      <w:r>
        <w:rPr>
          <w:rFonts w:ascii="Noto Sans" w:hAnsi="Noto Sans"/>
        </w:rPr>
        <w:t>Tenant isolation, finance and access tests are release-blocking.</w:t>
      </w:r>
    </w:p>
    <w:p>
      <w:pPr>
        <w:pStyle w:val="Bullet1"/>
        <w:spacing w:after="40" w:line="252" w:lineRule="auto"/>
      </w:pPr>
      <w:r>
        <w:rPr>
          <w:rFonts w:ascii="Noto Sans" w:hAnsi="Noto Sans"/>
        </w:rPr>
        <w:t>Every production artifact is reproducible, signed and traceable to source and tests.</w:t>
      </w:r>
    </w:p>
    <w:p>
      <w:pPr>
        <w:pStyle w:val="Heading3"/>
        <w:keepNext/>
      </w:pPr>
      <w:r>
        <w:t>Required Outcomes</w:t>
      </w:r>
    </w:p>
    <w:p>
      <w:pPr>
        <w:pStyle w:val="Bullet1"/>
        <w:spacing w:after="40" w:line="252" w:lineRule="auto"/>
      </w:pPr>
      <w:r>
        <w:rPr>
          <w:rFonts w:ascii="Noto Sans" w:hAnsi="Noto Sans"/>
        </w:rPr>
        <w:t>Release velocity increases without sacrificing trust.</w:t>
      </w:r>
    </w:p>
    <w:p>
      <w:pPr>
        <w:pStyle w:val="Bullet1"/>
        <w:spacing w:after="40" w:line="252" w:lineRule="auto"/>
      </w:pPr>
      <w:r>
        <w:rPr>
          <w:rFonts w:ascii="Noto Sans" w:hAnsi="Noto Sans"/>
        </w:rPr>
        <w:t>Schema and mobile evolution do not break active tenants.</w:t>
      </w:r>
    </w:p>
    <w:p>
      <w:pPr>
        <w:pStyle w:val="Heading3"/>
        <w:keepNext/>
      </w:pPr>
      <w:r>
        <w:t>Technical Realization Notes</w:t>
      </w:r>
    </w:p>
    <w:p>
      <w:pPr>
        <w:pStyle w:val="Bullet1"/>
        <w:spacing w:after="40" w:line="252" w:lineRule="auto"/>
      </w:pPr>
      <w:r>
        <w:t>Authority &amp; storage: Product PostgreSQL app schema with module-prefixed authoritative tables; no cross-domain write-table access. Authoritative entities/tables are TestSuite, TestRun, BuildArtifact, Deployment, Release, DatabaseMigration, MobileVersion, ChangeNotice.</w:t>
      </w:r>
    </w:p>
    <w:p>
      <w:pPr>
        <w:pStyle w:val="Bullet1"/>
        <w:spacing w:after="40" w:line="252" w:lineRule="auto"/>
      </w:pPr>
      <w:r>
        <w:t>Command inventory: DefineQualityGate, RunReleaseGate, ApproveRelease, RollbackRelease, ApplySchemaMigration, DeprecateAPI, CloseQualityException. Every command declares permission, idempotency, expected aggregate version and transaction boundary.</w:t>
      </w:r>
    </w:p>
    <w:p>
      <w:pPr>
        <w:pStyle w:val="Bullet1"/>
        <w:spacing w:after="40" w:line="252" w:lineRule="auto"/>
      </w:pPr>
      <w:r>
        <w:t>Queries/read models: List/detail and history projections for TestSuite, TestRun, BuildArtifact, Deployment; role/surface-specific attention/summary read models for Engineering; Internal SaaS Console; every projection exposes freshness/version metadata when asynchronously built.</w:t>
      </w:r>
    </w:p>
    <w:p>
      <w:pPr>
        <w:pStyle w:val="Bullet1"/>
      </w:pPr>
      <w:r>
        <w:t>Indexes/concurrency: tenant-leading indexes for primary list/detail paths; unique external/provider identifiers are scoped by tenant/provider; aggregate version supports optimistic concurrency.</w:t>
      </w:r>
    </w:p>
    <w:p>
      <w:pPr>
        <w:pStyle w:val="Bullet1"/>
      </w:pPr>
      <w:r>
        <w:t>Published events: build.completed, quality_gate.failed, deployment.started, deployment.rolled_back, release.published, schema.migrated. Consumed dependencies: PLT-02, REL-01, SEC-01; dependencies are accessed by stable contracts/projections, never direct write-table joins.</w:t>
      </w:r>
    </w:p>
    <w:p>
      <w:pPr>
        <w:pStyle w:val="Bullet1"/>
      </w:pPr>
      <w:r>
        <w:t>Failure/degraded behavior: Write commands fail atomically; asynchronous effects retry idempotently; stale read models carry freshness and cannot authorize a consequence-bearing mutation beyond budget.</w:t>
      </w:r>
    </w:p>
    <w:p>
      <w:pPr>
        <w:pStyle w:val="Bullet1"/>
      </w:pPr>
      <w:r>
        <w:t>Security/privacy: classification is enforced at field/resource level; tenant context and authorization are mandatory. Restricted data follows §21 controls; support/break-glass access creates delegated actor evidence.</w:t>
      </w:r>
    </w:p>
    <w:p>
      <w:pPr>
        <w:pStyle w:val="Bullet1"/>
      </w:pPr>
      <w:r>
        <w:t>SLI/SLO: Surface/domain API 99.9% initial target; p95 &lt;500-750 ms by workload; queue/projection freshness per §12.5.</w:t>
      </w:r>
    </w:p>
    <w:p>
      <w:pPr>
        <w:pStyle w:val="Bullet1"/>
      </w:pPr>
      <w:r>
        <w:t>Tests/runbook: invariant/property tests for each state transition; contract tests for APIs/events; tenant isolation negative test where tenant-owned; runbook RB-GOV-01 covers stuck commands, reconciliation, provider/dependency outage and repair without history rewrite.</w:t>
      </w:r>
    </w:p>
    <w:p>
      <w:pPr>
        <w:pStyle w:val="Heading2"/>
        <w:keepNext/>
      </w:pPr>
      <w:r>
        <w:t>10.55 GOV-02 - Product, Architecture, Data &amp; AI Governance</w:t>
      </w:r>
    </w:p>
    <w:tbl>
      <w:tblPr>
        <w:tblStyle w:val="TableGrid"/>
        <w:tblW w:type="dxa" w:w="9684"/>
        <w:jc w:val="center"/>
        <w:tblLayout w:type="autofit"/>
        <w:tblLook w:firstColumn="1" w:firstRow="1" w:lastColumn="0" w:lastRow="0" w:noHBand="0" w:noVBand="1" w:val="04A0"/>
      </w:tblPr>
      <w:tblGrid>
        <w:gridCol w:w="4842"/>
        <w:gridCol w:w="4842"/>
      </w:tblGrid>
      <w:tr>
        <w:trPr>
          <w:tblHeader w:val="true"/>
          <w:tblHeader w:val="true"/>
        </w:trPr>
        <w:tc>
          <w:tcPr>
            <w:tcW w:type="dxa" w:w="219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Attribute</w:t>
            </w:r>
          </w:p>
        </w:tc>
        <w:tc>
          <w:tcPr>
            <w:tcW w:type="dxa" w:w="758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Technical Design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phase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Foundation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surfaces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Internal Product Operations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dependencies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PLT-01</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Authoritative entities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DomainOwnership, ArchitectureDecision, ProductLifecycleRecord, DesignToken, GovernanceReview, RequirementTrace, AIGovernanceReview</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Key events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decision.accepted, domain.owner.changed, product_feature.deprecated, governance.review.completed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store</w:t>
            </w:r>
          </w:p>
        </w:tc>
        <w:tc>
          <w:tcPr>
            <w:tcW w:type="dxa" w:w="7588"/>
            <w:tcMar>
              <w:top w:w="70" w:type="dxa"/>
              <w:start w:w="85" w:type="dxa"/>
              <w:bottom w:w="70" w:type="dxa"/>
              <w:end w:w="85" w:type="dxa"/>
              <w:left w:w="80" w:type="dxa"/>
              <w:right w:w="80" w:type="dxa"/>
            </w:tcMar>
            <w:vAlign w:val="center"/>
          </w:tcPr>
          <w:p>
            <w:r>
              <w:t>Control-plane PostgreSQL database; module-prefixed tables; separate runtime role from product plane.</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Data classification</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Confidential/tenant-scoped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Continuity tier</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Tier 2</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Technical interface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Domain command/query interface; no direct 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Async/workflow contract</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Transactional outbox for state changes; idempotent consumers.</w:t>
            </w:r>
          </w:p>
        </w:tc>
      </w:tr>
      <w:tr>
        <w:tc>
          <w:tcPr>
            <w:tcW w:type="dxa" w:w="4842"/>
            <w:tcMar>
              <w:top w:w="70" w:type="dxa"/>
              <w:left w:w="80" w:type="dxa"/>
              <w:bottom w:w="70" w:type="dxa"/>
              <w:right w:w="80" w:type="dxa"/>
            </w:tcMar>
          </w:tcPr>
          <w:p>
            <w:r>
              <w:t>Implementation slice</w:t>
            </w:r>
          </w:p>
        </w:tc>
        <w:tc>
          <w:tcPr>
            <w:tcW w:type="dxa" w:w="4842"/>
            <w:tcMar>
              <w:top w:w="70" w:type="dxa"/>
              <w:left w:w="80" w:type="dxa"/>
              <w:bottom w:w="70" w:type="dxa"/>
              <w:right w:w="80" w:type="dxa"/>
            </w:tcMar>
          </w:tcPr>
          <w:p>
            <w:r>
              <w:t>Foundation</w:t>
            </w:r>
          </w:p>
        </w:tc>
      </w:tr>
    </w:tbl>
    <w:p>
      <w:pPr>
        <w:spacing w:after="40"/>
      </w:pPr>
    </w:p>
    <w:p>
      <w:pPr>
        <w:spacing w:after="80" w:line="259" w:lineRule="auto"/>
      </w:pPr>
      <w:r>
        <w:rPr>
          <w:rFonts w:ascii="Noto Sans" w:hAnsi="Noto Sans"/>
        </w:rPr>
        <w:t>Keep a large product coherent through ownership, decisions, standards and measurable lifecycle control.</w:t>
      </w:r>
    </w:p>
    <w:p>
      <w:pPr>
        <w:pStyle w:val="Heading3"/>
        <w:keepNext/>
      </w:pPr>
      <w:r>
        <w:t>Required Capabilities Preserved</w:t>
      </w:r>
    </w:p>
    <w:p>
      <w:pPr>
        <w:pStyle w:val="Bullet1"/>
        <w:spacing w:after="40" w:line="252" w:lineRule="auto"/>
      </w:pPr>
      <w:r>
        <w:rPr>
          <w:rFonts w:ascii="Noto Sans" w:hAnsi="Noto Sans"/>
        </w:rPr>
        <w:t>Domain ownership with product, design, engineering, data and operations accountable leaders.</w:t>
      </w:r>
    </w:p>
    <w:p>
      <w:pPr>
        <w:pStyle w:val="Bullet1"/>
        <w:spacing w:after="40" w:line="252" w:lineRule="auto"/>
      </w:pPr>
      <w:r>
        <w:rPr>
          <w:rFonts w:ascii="Noto Sans" w:hAnsi="Noto Sans"/>
        </w:rPr>
        <w:t>Architecture decision records, service boundaries, invariants, dependency rules and review forum.</w:t>
      </w:r>
    </w:p>
    <w:p>
      <w:pPr>
        <w:pStyle w:val="Bullet1"/>
        <w:spacing w:after="40" w:line="252" w:lineRule="auto"/>
      </w:pPr>
      <w:r>
        <w:rPr>
          <w:rFonts w:ascii="Noto Sans" w:hAnsi="Noto Sans"/>
        </w:rPr>
        <w:t>Product lifecycle from discovery to beta, GA, deprecation and removal with evidence gates.</w:t>
      </w:r>
    </w:p>
    <w:p>
      <w:pPr>
        <w:pStyle w:val="Bullet1"/>
        <w:spacing w:after="40" w:line="252" w:lineRule="auto"/>
      </w:pPr>
      <w:r>
        <w:rPr>
          <w:rFonts w:ascii="Noto Sans" w:hAnsi="Noto Sans"/>
        </w:rPr>
        <w:t>Design system governance for components, interaction patterns, accessibility, RTL and white-label tokens.</w:t>
      </w:r>
    </w:p>
    <w:p>
      <w:pPr>
        <w:pStyle w:val="Bullet1"/>
        <w:spacing w:after="40" w:line="252" w:lineRule="auto"/>
      </w:pPr>
      <w:r>
        <w:rPr>
          <w:rFonts w:ascii="Noto Sans" w:hAnsi="Noto Sans"/>
        </w:rPr>
        <w:t>Data governance council for ownership, metrics, quality, classification, lineage and access.</w:t>
      </w:r>
    </w:p>
    <w:p>
      <w:pPr>
        <w:pStyle w:val="Bullet1"/>
        <w:spacing w:after="40" w:line="252" w:lineRule="auto"/>
      </w:pPr>
      <w:r>
        <w:rPr>
          <w:rFonts w:ascii="Noto Sans" w:hAnsi="Noto Sans"/>
        </w:rPr>
        <w:t>AI governance for use-case approval, risk tier, evaluation, model change, human oversight and incident response.</w:t>
      </w:r>
    </w:p>
    <w:p>
      <w:pPr>
        <w:pStyle w:val="Bullet1"/>
        <w:spacing w:after="40" w:line="252" w:lineRule="auto"/>
      </w:pPr>
      <w:r>
        <w:rPr>
          <w:rFonts w:ascii="Noto Sans" w:hAnsi="Noto Sans"/>
        </w:rPr>
        <w:t>Requirement traceability from strategy through domain, flow, screen, event, test and metric.</w:t>
      </w:r>
    </w:p>
    <w:p>
      <w:pPr>
        <w:pStyle w:val="Bullet1"/>
        <w:spacing w:after="40" w:line="252" w:lineRule="auto"/>
      </w:pPr>
      <w:r>
        <w:rPr>
          <w:rFonts w:ascii="Noto Sans" w:hAnsi="Noto Sans"/>
        </w:rPr>
        <w:t>Portfolio prioritization using value, urgency, dependency, risk, revenue, cost and learning.</w:t>
      </w:r>
    </w:p>
    <w:p>
      <w:pPr>
        <w:pStyle w:val="Heading3"/>
        <w:keepNext/>
      </w:pPr>
      <w:r>
        <w:t>Critical Controls</w:t>
      </w:r>
    </w:p>
    <w:p>
      <w:pPr>
        <w:pStyle w:val="Bullet1"/>
        <w:spacing w:after="40" w:line="252" w:lineRule="auto"/>
      </w:pPr>
      <w:r>
        <w:rPr>
          <w:rFonts w:ascii="Noto Sans" w:hAnsi="Noto Sans"/>
        </w:rPr>
        <w:t>No domain has ambiguous ownership or multiple sources of truth.</w:t>
      </w:r>
    </w:p>
    <w:p>
      <w:pPr>
        <w:pStyle w:val="Bullet1"/>
        <w:spacing w:after="40" w:line="252" w:lineRule="auto"/>
      </w:pPr>
      <w:r>
        <w:rPr>
          <w:rFonts w:ascii="Noto Sans" w:hAnsi="Noto Sans"/>
        </w:rPr>
        <w:t>High-risk AI, data and architecture changes require documented review.</w:t>
      </w:r>
    </w:p>
    <w:p>
      <w:pPr>
        <w:pStyle w:val="Heading3"/>
        <w:keepNext/>
      </w:pPr>
      <w:r>
        <w:t>Required Outcomes</w:t>
      </w:r>
    </w:p>
    <w:p>
      <w:pPr>
        <w:pStyle w:val="Bullet1"/>
        <w:spacing w:after="40" w:line="252" w:lineRule="auto"/>
      </w:pPr>
      <w:r>
        <w:rPr>
          <w:rFonts w:ascii="Noto Sans" w:hAnsi="Noto Sans"/>
        </w:rPr>
        <w:t>The platform grows without becoming an incoherent feature collection.</w:t>
      </w:r>
    </w:p>
    <w:p>
      <w:pPr>
        <w:pStyle w:val="Bullet1"/>
        <w:spacing w:after="40" w:line="252" w:lineRule="auto"/>
      </w:pPr>
      <w:r>
        <w:rPr>
          <w:rFonts w:ascii="Noto Sans" w:hAnsi="Noto Sans"/>
        </w:rPr>
        <w:t>Decisions and tradeoffs remain understandable years later.</w:t>
      </w:r>
    </w:p>
    <w:p>
      <w:pPr>
        <w:pStyle w:val="Heading3"/>
        <w:keepNext/>
      </w:pPr>
      <w:r>
        <w:t>Technical Realization Notes</w:t>
      </w:r>
    </w:p>
    <w:p>
      <w:pPr>
        <w:pStyle w:val="Bullet1"/>
        <w:spacing w:after="40" w:line="252" w:lineRule="auto"/>
      </w:pPr>
      <w:r>
        <w:t>Authority &amp; storage: Control-plane PostgreSQL database; module-prefixed tables; separate runtime role from product plane. Authoritative entities/tables are DomainOwnership, ArchitectureDecision, ProductLifecycleRecord, DesignToken, GovernanceReview, RequirementTrace, AIGovernanceReview.</w:t>
      </w:r>
    </w:p>
    <w:p>
      <w:pPr>
        <w:pStyle w:val="Bullet1"/>
        <w:spacing w:after="40" w:line="252" w:lineRule="auto"/>
      </w:pPr>
      <w:r>
        <w:t>Command inventory: RecordADR, AssignDomainOwner, RegisterRequirementTrace, RunGovernanceReview, ApproveAIUseCase, ApproveDataProduct, DeprecateCapability. Every command declares permission, idempotency, expected aggregate version and transaction boundary.</w:t>
      </w:r>
    </w:p>
    <w:p>
      <w:pPr>
        <w:pStyle w:val="Bullet1"/>
        <w:spacing w:after="40" w:line="252" w:lineRule="auto"/>
      </w:pPr>
      <w:r>
        <w:t>Queries/read models: List/detail and history projections for DomainOwnership, ArchitectureDecision, ProductLifecycleRecord, DesignToken; role/surface-specific attention/summary read models for Internal Product Operations; every projection exposes freshness/version metadata when asynchronously built.</w:t>
      </w:r>
    </w:p>
    <w:p>
      <w:pPr>
        <w:pStyle w:val="Bullet1"/>
      </w:pPr>
      <w:r>
        <w:t>Indexes/concurrency: tenant-leading indexes for primary list/detail paths; unique external/provider identifiers are scoped by tenant/provider; aggregate version supports optimistic concurrency.</w:t>
      </w:r>
    </w:p>
    <w:p>
      <w:pPr>
        <w:pStyle w:val="Bullet1"/>
      </w:pPr>
      <w:r>
        <w:t>Published events: decision.accepted, domain.owner.changed, product_feature.deprecated, governance.review.completed. Consumed dependencies: PLT-01; dependencies are accessed by stable contracts/projections, never direct write-table joins.</w:t>
      </w:r>
    </w:p>
    <w:p>
      <w:pPr>
        <w:pStyle w:val="Bullet1"/>
      </w:pPr>
      <w:r>
        <w:t>Failure/degraded behavior: Write commands fail atomically; asynchronous effects retry idempotently; stale read models carry freshness and cannot authorize a consequence-bearing mutation beyond budget.</w:t>
      </w:r>
    </w:p>
    <w:p>
      <w:pPr>
        <w:pStyle w:val="Bullet1"/>
      </w:pPr>
      <w:r>
        <w:t>Security/privacy: classification is enforced at field/resource level; tenant context and authorization are mandatory. Restricted data follows §21 controls; support/break-glass access creates delegated actor evidence.</w:t>
      </w:r>
    </w:p>
    <w:p>
      <w:pPr>
        <w:pStyle w:val="Bullet1"/>
      </w:pPr>
      <w:r>
        <w:t>SLI/SLO: Surface/domain API 99.9% initial target; p95 &lt;500-750 ms by workload; queue/projection freshness per §12.5.</w:t>
      </w:r>
    </w:p>
    <w:p>
      <w:pPr>
        <w:pStyle w:val="Bullet1"/>
      </w:pPr>
      <w:r>
        <w:t>Tests/runbook: invariant/property tests for each state transition; contract tests for APIs/events; tenant isolation negative test where tenant-owned; runbook RB-GOV-02 covers stuck commands, reconciliation, provider/dependency outage and repair without history rewrite.</w:t>
      </w:r>
    </w:p>
    <w:p>
      <w:pPr>
        <w:pStyle w:val="Heading2"/>
        <w:keepNext/>
      </w:pPr>
      <w:r>
        <w:t>10.56 GOV-03 - Legal, Procurement, Vendor, Partner &amp; Compliance Operations</w:t>
      </w:r>
    </w:p>
    <w:tbl>
      <w:tblPr>
        <w:tblStyle w:val="TableGrid"/>
        <w:tblW w:type="dxa" w:w="9684"/>
        <w:jc w:val="center"/>
        <w:tblLayout w:type="autofit"/>
        <w:tblLook w:firstColumn="1" w:firstRow="1" w:lastColumn="0" w:lastRow="0" w:noHBand="0" w:noVBand="1" w:val="04A0"/>
      </w:tblPr>
      <w:tblGrid>
        <w:gridCol w:w="4842"/>
        <w:gridCol w:w="4842"/>
      </w:tblGrid>
      <w:tr>
        <w:trPr>
          <w:tblHeader w:val="true"/>
          <w:tblHeader w:val="true"/>
        </w:trPr>
        <w:tc>
          <w:tcPr>
            <w:tcW w:type="dxa" w:w="219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Attribute</w:t>
            </w:r>
          </w:p>
        </w:tc>
        <w:tc>
          <w:tcPr>
            <w:tcW w:type="dxa" w:w="7588"/>
            <w:shd w:fill="2E6F73"/>
            <w:tcMar>
              <w:top w:w="70" w:type="dxa"/>
              <w:start w:w="90" w:type="dxa"/>
              <w:bottom w:w="70" w:type="dxa"/>
              <w:end w:w="90" w:type="dxa"/>
              <w:left w:w="80" w:type="dxa"/>
              <w:right w:w="80" w:type="dxa"/>
            </w:tcMar>
            <w:vAlign w:val="center"/>
          </w:tcPr>
          <w:p>
            <w:pPr>
              <w:jc w:val="center"/>
            </w:pPr>
            <w:r>
              <w:rPr>
                <w:rFonts w:ascii="Noto Sans" w:hAnsi="Noto Sans"/>
                <w:b/>
                <w:color w:val="FFFFFF"/>
                <w:sz w:val="16"/>
              </w:rPr>
              <w:t>Technical Design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phase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Enterprise</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surfaces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Internal SaaS Console; Legal/Compliance Workspace</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Blueprint dependencies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SEC-01, REL-01, PLT-04</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Authoritative entities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LegalDocument, Contract, Obligation, Vendor, VendorAssessment, Subprocessor, PartnerAgreement, ComplianceControl, Evidence</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Key events</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legal_document.published, contract.renewal_due, vendor.risk.changed, partner.certified, control.test.failed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store</w:t>
            </w:r>
          </w:p>
        </w:tc>
        <w:tc>
          <w:tcPr>
            <w:tcW w:type="dxa" w:w="7588"/>
            <w:tcMar>
              <w:top w:w="70" w:type="dxa"/>
              <w:start w:w="85" w:type="dxa"/>
              <w:bottom w:w="70" w:type="dxa"/>
              <w:end w:w="85" w:type="dxa"/>
              <w:left w:w="80" w:type="dxa"/>
              <w:right w:w="80" w:type="dxa"/>
            </w:tcMar>
            <w:vAlign w:val="center"/>
          </w:tcPr>
          <w:p>
            <w:r>
              <w:t>Control-plane PostgreSQL database; module-prefixed tables; separate runtime role from product plane.</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Data classification</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Confidential/tenant-scoped</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Continuity tier</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Tier 2</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Technical interface</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Domain command/query interface; no direct table access.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Async/workflow contract</w:t>
            </w:r>
          </w:p>
        </w:tc>
        <w:tc>
          <w:tcPr>
            <w:tcW w:type="dxa" w:w="75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Transactional outbox for state changes; idempotent consumers. Durable workflow orchestration for multi-step/timer/provider processes.</w:t>
            </w:r>
          </w:p>
        </w:tc>
      </w:tr>
      <w:tr>
        <w:tc>
          <w:tcPr>
            <w:tcW w:type="dxa" w:w="4842"/>
            <w:tcMar>
              <w:top w:w="70" w:type="dxa"/>
              <w:left w:w="80" w:type="dxa"/>
              <w:bottom w:w="70" w:type="dxa"/>
              <w:right w:w="80" w:type="dxa"/>
            </w:tcMar>
          </w:tcPr>
          <w:p>
            <w:r>
              <w:t>Implementation slice</w:t>
            </w:r>
          </w:p>
        </w:tc>
        <w:tc>
          <w:tcPr>
            <w:tcW w:type="dxa" w:w="4842"/>
            <w:tcMar>
              <w:top w:w="70" w:type="dxa"/>
              <w:left w:w="80" w:type="dxa"/>
              <w:bottom w:w="70" w:type="dxa"/>
              <w:right w:w="80" w:type="dxa"/>
            </w:tcMar>
          </w:tcPr>
          <w:p>
            <w:r>
              <w:t>Enterprise</w:t>
            </w:r>
          </w:p>
        </w:tc>
      </w:tr>
    </w:tbl>
    <w:p>
      <w:pPr>
        <w:spacing w:after="40"/>
      </w:pPr>
    </w:p>
    <w:p>
      <w:pPr>
        <w:spacing w:after="80" w:line="259" w:lineRule="auto"/>
      </w:pPr>
      <w:r>
        <w:rPr>
          <w:rFonts w:ascii="Noto Sans" w:hAnsi="Noto Sans"/>
        </w:rPr>
        <w:t>Make Veyro ready for enterprise buying, regulated operations and responsible third-party dependence.</w:t>
      </w:r>
    </w:p>
    <w:p>
      <w:pPr>
        <w:pStyle w:val="Heading3"/>
        <w:keepNext/>
      </w:pPr>
      <w:r>
        <w:t>Required Capabilities Preserved</w:t>
      </w:r>
    </w:p>
    <w:p>
      <w:pPr>
        <w:pStyle w:val="Bullet1"/>
        <w:spacing w:after="40" w:line="252" w:lineRule="auto"/>
      </w:pPr>
      <w:r>
        <w:rPr>
          <w:rFonts w:ascii="Noto Sans" w:hAnsi="Noto Sans"/>
        </w:rPr>
        <w:t>Terms, privacy notice, DPA, SLA, acceptable-use, biometric, AI, marketplace and partner policies with versioning.</w:t>
      </w:r>
    </w:p>
    <w:p>
      <w:pPr>
        <w:pStyle w:val="Bullet1"/>
        <w:spacing w:after="40" w:line="252" w:lineRule="auto"/>
      </w:pPr>
      <w:r>
        <w:rPr>
          <w:rFonts w:ascii="Noto Sans" w:hAnsi="Noto Sans"/>
        </w:rPr>
        <w:t>Contract repository, obligations, renewal, notice periods, security addenda and approval workflow.</w:t>
      </w:r>
    </w:p>
    <w:p>
      <w:pPr>
        <w:pStyle w:val="Bullet1"/>
        <w:spacing w:after="40" w:line="252" w:lineRule="auto"/>
      </w:pPr>
      <w:r>
        <w:rPr>
          <w:rFonts w:ascii="Noto Sans" w:hAnsi="Noto Sans"/>
        </w:rPr>
        <w:t>Enterprise procurement pack, security questionnaires, architecture diagrams and evidence library.</w:t>
      </w:r>
    </w:p>
    <w:p>
      <w:pPr>
        <w:pStyle w:val="Bullet1"/>
        <w:spacing w:after="40" w:line="252" w:lineRule="auto"/>
      </w:pPr>
      <w:r>
        <w:rPr>
          <w:rFonts w:ascii="Noto Sans" w:hAnsi="Noto Sans"/>
        </w:rPr>
        <w:t>Vendor inventory, risk tier, due diligence, DPA, subprocessor, SLA, cost, performance and exit plan.</w:t>
      </w:r>
    </w:p>
    <w:p>
      <w:pPr>
        <w:pStyle w:val="Bullet1"/>
        <w:spacing w:after="40" w:line="252" w:lineRule="auto"/>
      </w:pPr>
      <w:r>
        <w:rPr>
          <w:rFonts w:ascii="Noto Sans" w:hAnsi="Noto Sans"/>
        </w:rPr>
        <w:t>Partner/reseller onboarding, certification, territory, deal registration, commission, conduct and termination.</w:t>
      </w:r>
    </w:p>
    <w:p>
      <w:pPr>
        <w:pStyle w:val="Bullet1"/>
        <w:spacing w:after="40" w:line="252" w:lineRule="auto"/>
      </w:pPr>
      <w:r>
        <w:rPr>
          <w:rFonts w:ascii="Noto Sans" w:hAnsi="Noto Sans"/>
        </w:rPr>
        <w:t>Compliance control mapping, evidence collection, audit calendar, remediation and continuous monitoring.</w:t>
      </w:r>
    </w:p>
    <w:p>
      <w:pPr>
        <w:pStyle w:val="Bullet1"/>
        <w:spacing w:after="40" w:line="252" w:lineRule="auto"/>
      </w:pPr>
      <w:r>
        <w:rPr>
          <w:rFonts w:ascii="Noto Sans" w:hAnsi="Noto Sans"/>
        </w:rPr>
        <w:t>Insurance, business continuity, intellectual property and open-source license governance.</w:t>
      </w:r>
    </w:p>
    <w:p>
      <w:pPr>
        <w:pStyle w:val="Heading3"/>
        <w:keepNext/>
      </w:pPr>
      <w:r>
        <w:t>Critical Controls</w:t>
      </w:r>
    </w:p>
    <w:p>
      <w:pPr>
        <w:pStyle w:val="Bullet1"/>
        <w:spacing w:after="40" w:line="252" w:lineRule="auto"/>
      </w:pPr>
      <w:r>
        <w:rPr>
          <w:rFonts w:ascii="Noto Sans" w:hAnsi="Noto Sans"/>
        </w:rPr>
        <w:t>Material vendors and subprocessors cannot be adopted without risk and privacy review.</w:t>
      </w:r>
    </w:p>
    <w:p>
      <w:pPr>
        <w:pStyle w:val="Bullet1"/>
        <w:spacing w:after="40" w:line="252" w:lineRule="auto"/>
      </w:pPr>
      <w:r>
        <w:rPr>
          <w:rFonts w:ascii="Noto Sans" w:hAnsi="Noto Sans"/>
        </w:rPr>
        <w:t>Customer commitments map to owned controls and measurable evidence.</w:t>
      </w:r>
    </w:p>
    <w:p>
      <w:pPr>
        <w:pStyle w:val="Heading3"/>
        <w:keepNext/>
      </w:pPr>
      <w:r>
        <w:t>Required Outcomes</w:t>
      </w:r>
    </w:p>
    <w:p>
      <w:pPr>
        <w:pStyle w:val="Bullet1"/>
        <w:spacing w:after="40" w:line="252" w:lineRule="auto"/>
      </w:pPr>
      <w:r>
        <w:rPr>
          <w:rFonts w:ascii="Noto Sans" w:hAnsi="Noto Sans"/>
        </w:rPr>
        <w:t>Enterprise deals pass procurement with less bespoke effort.</w:t>
      </w:r>
    </w:p>
    <w:p>
      <w:pPr>
        <w:pStyle w:val="Bullet1"/>
        <w:spacing w:after="40" w:line="252" w:lineRule="auto"/>
      </w:pPr>
      <w:r>
        <w:rPr>
          <w:rFonts w:ascii="Noto Sans" w:hAnsi="Noto Sans"/>
        </w:rPr>
        <w:t>Third-party risk and obligations are visible before incidents or renewal.</w:t>
      </w:r>
    </w:p>
    <w:p>
      <w:pPr>
        <w:pStyle w:val="Heading3"/>
        <w:keepNext/>
      </w:pPr>
      <w:r>
        <w:t>Technical Realization Notes</w:t>
      </w:r>
    </w:p>
    <w:p>
      <w:pPr>
        <w:pStyle w:val="Bullet1"/>
        <w:spacing w:after="40" w:line="252" w:lineRule="auto"/>
      </w:pPr>
      <w:r>
        <w:t>Authority &amp; storage: Control-plane PostgreSQL database; module-prefixed tables; separate runtime role from product plane. Authoritative entities/tables are LegalDocument, Contract, Obligation, Vendor, VendorAssessment, Subprocessor, PartnerAgreement, ComplianceControl, Evidence.</w:t>
      </w:r>
    </w:p>
    <w:p>
      <w:pPr>
        <w:pStyle w:val="Bullet1"/>
        <w:spacing w:after="40" w:line="252" w:lineRule="auto"/>
      </w:pPr>
      <w:r>
        <w:t>Command inventory: RegisterVendor, ReviewDPA, ApproveSubprocessor, RecordContractObligation, RenewContract, CompleteSecurityQuestionnaire, OffboardVendor. Every command declares permission, idempotency, expected aggregate version and transaction boundary.</w:t>
      </w:r>
    </w:p>
    <w:p>
      <w:pPr>
        <w:pStyle w:val="Bullet1"/>
        <w:spacing w:after="40" w:line="252" w:lineRule="auto"/>
      </w:pPr>
      <w:r>
        <w:t>Queries/read models: List/detail and history projections for LegalDocument, Contract, Obligation, Vendor; role/surface-specific attention/summary read models for Internal SaaS Console; Legal/Compliance Workspace; every projection exposes freshness/version metadata when asynchronously built.</w:t>
      </w:r>
    </w:p>
    <w:p>
      <w:pPr>
        <w:pStyle w:val="Bullet1"/>
      </w:pPr>
      <w:r>
        <w:t>Indexes/concurrency: tenant-leading indexes for primary list/detail paths; unique external/provider identifiers are scoped by tenant/provider; aggregate version supports optimistic concurrency.</w:t>
      </w:r>
    </w:p>
    <w:p>
      <w:pPr>
        <w:pStyle w:val="Bullet1"/>
      </w:pPr>
      <w:r>
        <w:t>Published events: legal_document.published, contract.renewal_due, vendor.risk.changed, partner.certified, control.test.failed. Consumed dependencies: SEC-01, REL-01, PLT-04; dependencies are accessed by stable contracts/projections, never direct write-table joins.</w:t>
      </w:r>
    </w:p>
    <w:p>
      <w:pPr>
        <w:pStyle w:val="Bullet1"/>
      </w:pPr>
      <w:r>
        <w:t>Failure/degraded behavior: Write commands fail atomically; asynchronous effects retry idempotently; stale read models carry freshness and cannot authorize a consequence-bearing mutation beyond budget.</w:t>
      </w:r>
    </w:p>
    <w:p>
      <w:pPr>
        <w:pStyle w:val="Bullet1"/>
      </w:pPr>
      <w:r>
        <w:t>Security/privacy: classification is enforced at field/resource level; tenant context and authorization are mandatory. Restricted data follows §21 controls; support/break-glass access creates delegated actor evidence.</w:t>
      </w:r>
    </w:p>
    <w:p>
      <w:pPr>
        <w:pStyle w:val="Bullet1"/>
      </w:pPr>
      <w:r>
        <w:t>SLI/SLO: Surface/domain API 99.9% initial target; p95 &lt;500-750 ms by workload; queue/projection freshness per §12.5.</w:t>
      </w:r>
    </w:p>
    <w:p>
      <w:pPr>
        <w:pStyle w:val="Bullet1"/>
      </w:pPr>
      <w:r>
        <w:t>Tests/runbook: invariant/property tests for each state transition; contract tests for APIs/events; tenant isolation negative test where tenant-owned; runbook RB-GOV-03 covers stuck commands, reconciliation, provider/dependency outage and repair without history rewrite.</w:t>
      </w:r>
    </w:p>
    <w:p>
      <w:pPr>
        <w:pStyle w:val="Heading2"/>
        <w:keepNext/>
      </w:pPr>
      <w:r>
        <w:t>10.57 GOV-04 - GTM Operations, Knowledge, Training, Feedback &amp; Product Education</w:t>
      </w:r>
    </w:p>
    <w:tbl>
      <w:tblPr>
        <w:tblStyle w:val="TableGrid"/>
        <w:tblW w:type="dxa" w:w="9684"/>
        <w:jc w:val="center"/>
        <w:tblLayout w:type="autofit"/>
        <w:tblLook w:firstColumn="1" w:firstRow="1" w:lastColumn="0" w:lastRow="0" w:noHBand="0" w:noVBand="1" w:val="04A0"/>
      </w:tblPr>
      <w:tblGrid>
        <w:gridCol w:w="4842"/>
        <w:gridCol w:w="4842"/>
      </w:tblGrid>
      <w:tr>
        <w:trPr>
          <w:tblHeader w:val="true"/>
          <w:tblHeader w:val="true"/>
          <w:tblHeader w:val="true"/>
        </w:trPr>
        <w:tc>
          <w:tcPr>
            <w:tcW w:type="dxa" w:w="2198"/>
            <w:shd w:fill="2E6F73"/>
            <w:tcMar>
              <w:top w:w="70" w:type="dxa"/>
              <w:start w:w="90" w:type="dxa"/>
              <w:bottom w:w="70" w:type="dxa"/>
              <w:end w:w="90" w:type="dxa"/>
              <w:left w:w="80" w:type="dxa"/>
              <w:right w:w="80" w:type="dxa"/>
            </w:tcMar>
            <w:vAlign w:val="center"/>
          </w:tcPr>
          <w:p>
            <w:pPr>
              <w:spacing w:before="0" w:after="30"/>
              <w:jc w:val="center"/>
            </w:pPr>
            <w:r>
              <w:rPr>
                <w:rFonts w:ascii="Noto Sans" w:hAnsi="Noto Sans"/>
                <w:b/>
                <w:color w:val="FFFFFF"/>
                <w:sz w:val="16"/>
              </w:rPr>
              <w:t>Attribute</w:t>
            </w:r>
          </w:p>
        </w:tc>
        <w:tc>
          <w:tcPr>
            <w:tcW w:type="dxa" w:w="7588"/>
            <w:shd w:fill="2E6F73"/>
            <w:tcMar>
              <w:top w:w="70" w:type="dxa"/>
              <w:start w:w="90" w:type="dxa"/>
              <w:bottom w:w="70" w:type="dxa"/>
              <w:end w:w="90" w:type="dxa"/>
              <w:left w:w="80" w:type="dxa"/>
              <w:right w:w="80" w:type="dxa"/>
            </w:tcMar>
            <w:vAlign w:val="center"/>
          </w:tcPr>
          <w:p>
            <w:pPr>
              <w:spacing w:before="0" w:after="30"/>
              <w:jc w:val="center"/>
            </w:pPr>
            <w:r>
              <w:rPr>
                <w:rFonts w:ascii="Noto Sans" w:hAnsi="Noto Sans"/>
                <w:b/>
                <w:color w:val="FFFFFF"/>
                <w:sz w:val="16"/>
              </w:rPr>
              <w:t>Technical Design</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Blueprint phase</w:t>
            </w:r>
          </w:p>
        </w:tc>
        <w:tc>
          <w:tcPr>
            <w:tcW w:type="dxa" w:w="758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Pilot</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Primary surfaces</w:t>
            </w:r>
          </w:p>
        </w:tc>
        <w:tc>
          <w:tcPr>
            <w:tcW w:type="dxa" w:w="758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Internal SaaS Console; Learning Portal; In-product Help</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Blueprint dependencies</w:t>
            </w:r>
          </w:p>
        </w:tc>
        <w:tc>
          <w:tcPr>
            <w:tcW w:type="dxa" w:w="7588"/>
            <w:tcMar>
              <w:top w:w="70" w:type="dxa"/>
              <w:start w:w="85" w:type="dxa"/>
              <w:bottom w:w="70" w:type="dxa"/>
              <w:end w:w="85" w:type="dxa"/>
              <w:left w:w="80" w:type="dxa"/>
              <w:right w:w="80" w:type="dxa"/>
            </w:tcMar>
            <w:vAlign w:val="center"/>
          </w:tcPr>
          <w:p>
            <w:pPr>
              <w:spacing w:before="0" w:after="30"/>
            </w:pPr>
            <w:r>
              <w:rPr>
                <w:sz w:val="16"/>
              </w:rPr>
              <w:t>PLT-04, LIF-01</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Authoritative entities</w:t>
            </w:r>
          </w:p>
        </w:tc>
        <w:tc>
          <w:tcPr>
            <w:tcW w:type="dxa" w:w="758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GTMLead, DemoTenant, KnowledgeArticle, LearningPath, Certification, FeedbackItem, Opportunity, AdoptionCampaign</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Key events</w:t>
            </w:r>
          </w:p>
        </w:tc>
        <w:tc>
          <w:tcPr>
            <w:tcW w:type="dxa" w:w="758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demo.created, learning.completed, feedback.received, opportunity.validated, release_communication.sent</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Primary store</w:t>
            </w:r>
          </w:p>
        </w:tc>
        <w:tc>
          <w:tcPr>
            <w:tcW w:type="dxa" w:w="7588"/>
            <w:tcMar>
              <w:top w:w="70" w:type="dxa"/>
              <w:start w:w="85" w:type="dxa"/>
              <w:bottom w:w="70" w:type="dxa"/>
              <w:end w:w="85" w:type="dxa"/>
              <w:left w:w="80" w:type="dxa"/>
              <w:right w:w="80" w:type="dxa"/>
            </w:tcMar>
            <w:vAlign w:val="center"/>
          </w:tcPr>
          <w:p>
            <w:pPr>
              <w:spacing w:before="0" w:after="30"/>
            </w:pPr>
            <w:r>
              <w:rPr>
                <w:sz w:val="16"/>
              </w:rPr>
              <w:t>Control-plane PostgreSQL database; module-prefixed tables; separate runtime role from product plane.</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Data classification</w:t>
            </w:r>
          </w:p>
        </w:tc>
        <w:tc>
          <w:tcPr>
            <w:tcW w:type="dxa" w:w="758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Confidential/tenant-scoped</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Continuity tier</w:t>
            </w:r>
          </w:p>
        </w:tc>
        <w:tc>
          <w:tcPr>
            <w:tcW w:type="dxa" w:w="758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Tier 2</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Technical interface</w:t>
            </w:r>
          </w:p>
        </w:tc>
        <w:tc>
          <w:tcPr>
            <w:tcW w:type="dxa" w:w="758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Domain command/query interface; no direct table access.</w:t>
            </w:r>
          </w:p>
        </w:tc>
      </w:tr>
      <w:tr>
        <w:tc>
          <w:tcPr>
            <w:tcW w:type="dxa" w:w="219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Async/workflow contract</w:t>
            </w:r>
          </w:p>
        </w:tc>
        <w:tc>
          <w:tcPr>
            <w:tcW w:type="dxa" w:w="7588"/>
            <w:tcMar>
              <w:top w:w="70" w:type="dxa"/>
              <w:start w:w="85" w:type="dxa"/>
              <w:bottom w:w="70" w:type="dxa"/>
              <w:end w:w="85" w:type="dxa"/>
              <w:left w:w="80" w:type="dxa"/>
              <w:right w:w="80" w:type="dxa"/>
            </w:tcMar>
            <w:vAlign w:val="center"/>
          </w:tcPr>
          <w:p>
            <w:pPr>
              <w:spacing w:after="30" w:line="245" w:lineRule="auto" w:before="0"/>
              <w:jc w:val="left"/>
            </w:pPr>
            <w:r>
              <w:rPr>
                <w:rFonts w:ascii="Noto Sans" w:hAnsi="Noto Sans"/>
                <w:color w:val="1F2933"/>
                <w:sz w:val="16"/>
              </w:rPr>
              <w:t>Transactional outbox for state changes; idempotent consumers. Durable workflow orchestration for multi-step/timer/provider processes.</w:t>
            </w:r>
          </w:p>
        </w:tc>
      </w:tr>
      <w:tr>
        <w:tc>
          <w:tcPr>
            <w:tcW w:type="dxa" w:w="4842"/>
            <w:tcMar>
              <w:top w:w="70" w:type="dxa"/>
              <w:left w:w="80" w:type="dxa"/>
              <w:bottom w:w="70" w:type="dxa"/>
              <w:right w:w="80" w:type="dxa"/>
            </w:tcMar>
            <w:vAlign w:val="center"/>
          </w:tcPr>
          <w:p>
            <w:pPr>
              <w:spacing w:before="0" w:after="30"/>
            </w:pPr>
            <w:r>
              <w:rPr>
                <w:sz w:val="16"/>
              </w:rPr>
              <w:t>Implementation slice</w:t>
            </w:r>
          </w:p>
        </w:tc>
        <w:tc>
          <w:tcPr>
            <w:tcW w:type="dxa" w:w="4842"/>
            <w:tcMar>
              <w:top w:w="70" w:type="dxa"/>
              <w:left w:w="80" w:type="dxa"/>
              <w:bottom w:w="70" w:type="dxa"/>
              <w:right w:w="80" w:type="dxa"/>
            </w:tcMar>
            <w:vAlign w:val="center"/>
          </w:tcPr>
          <w:p>
            <w:pPr>
              <w:spacing w:before="0" w:after="30"/>
            </w:pPr>
            <w:r>
              <w:rPr>
                <w:sz w:val="16"/>
              </w:rPr>
              <w:t>Pilot</w:t>
            </w:r>
          </w:p>
        </w:tc>
      </w:tr>
    </w:tbl>
    <w:p>
      <w:pPr>
        <w:spacing w:after="40"/>
      </w:pPr>
    </w:p>
    <w:p>
      <w:pPr>
        <w:spacing w:after="80" w:line="259" w:lineRule="auto"/>
      </w:pPr>
      <w:r>
        <w:rPr>
          <w:rFonts w:ascii="Noto Sans" w:hAnsi="Noto Sans"/>
        </w:rPr>
        <w:t>Connect sales, implementation, support, education and product learning into a repeatable customer lifecycle.</w:t>
      </w:r>
    </w:p>
    <w:p>
      <w:pPr>
        <w:pStyle w:val="Heading3"/>
        <w:keepNext/>
      </w:pPr>
      <w:r>
        <w:t>Required Capabilities Preserved</w:t>
      </w:r>
    </w:p>
    <w:p>
      <w:pPr>
        <w:pStyle w:val="Bullet1"/>
        <w:spacing w:after="40" w:line="252" w:lineRule="auto"/>
      </w:pPr>
      <w:r>
        <w:rPr>
          <w:rFonts w:ascii="Noto Sans" w:hAnsi="Noto Sans"/>
        </w:rPr>
        <w:t>Internal sales pipeline for Veyro leads, demos, trials, proposals, procurement, contracts and handoff.</w:t>
      </w:r>
    </w:p>
    <w:p>
      <w:pPr>
        <w:pStyle w:val="Bullet1"/>
        <w:spacing w:after="40" w:line="252" w:lineRule="auto"/>
      </w:pPr>
      <w:r>
        <w:rPr>
          <w:rFonts w:ascii="Noto Sans" w:hAnsi="Noto Sans"/>
        </w:rPr>
        <w:t>Demo tenants, scenario data, role-based demo scripts and resettable environments.</w:t>
      </w:r>
    </w:p>
    <w:p>
      <w:pPr>
        <w:pStyle w:val="Bullet1"/>
        <w:spacing w:after="40" w:line="252" w:lineRule="auto"/>
      </w:pPr>
      <w:r>
        <w:rPr>
          <w:rFonts w:ascii="Noto Sans" w:hAnsi="Noto Sans"/>
        </w:rPr>
        <w:t>Knowledge base, contextual help, guided tours, release notes and troubleshooting trees.</w:t>
      </w:r>
    </w:p>
    <w:p>
      <w:pPr>
        <w:pStyle w:val="Bullet1"/>
        <w:spacing w:after="40" w:line="252" w:lineRule="auto"/>
      </w:pPr>
      <w:r>
        <w:rPr>
          <w:rFonts w:ascii="Noto Sans" w:hAnsi="Noto Sans"/>
        </w:rPr>
        <w:t>Admin Academy, Coach Academy, implementation training and partner certification.</w:t>
      </w:r>
    </w:p>
    <w:p>
      <w:pPr>
        <w:pStyle w:val="Bullet1"/>
        <w:spacing w:after="40" w:line="252" w:lineRule="auto"/>
      </w:pPr>
      <w:r>
        <w:rPr>
          <w:rFonts w:ascii="Noto Sans" w:hAnsi="Noto Sans"/>
        </w:rPr>
        <w:t>Feedback intake from support, NPS, interviews, in-product prompts, sales and partners with deduplication.</w:t>
      </w:r>
    </w:p>
    <w:p>
      <w:pPr>
        <w:pStyle w:val="Bullet1"/>
        <w:spacing w:after="40" w:line="252" w:lineRule="auto"/>
      </w:pPr>
      <w:r>
        <w:rPr>
          <w:rFonts w:ascii="Noto Sans" w:hAnsi="Noto Sans"/>
        </w:rPr>
        <w:t>Opportunity repository linking problem evidence, affected segment, value, risk and decision.</w:t>
      </w:r>
    </w:p>
    <w:p>
      <w:pPr>
        <w:pStyle w:val="Bullet1"/>
        <w:spacing w:after="40" w:line="252" w:lineRule="auto"/>
      </w:pPr>
      <w:r>
        <w:rPr>
          <w:rFonts w:ascii="Noto Sans" w:hAnsi="Noto Sans"/>
        </w:rPr>
        <w:t>Adoption campaigns and capability education targeted by tenant configuration and behavior.</w:t>
      </w:r>
    </w:p>
    <w:p>
      <w:pPr>
        <w:pStyle w:val="Bullet1"/>
        <w:spacing w:after="40" w:line="252" w:lineRule="auto"/>
      </w:pPr>
      <w:r>
        <w:rPr>
          <w:rFonts w:ascii="Noto Sans" w:hAnsi="Noto Sans"/>
        </w:rPr>
        <w:t>Release and deprecation communication by impacted tenant, role and integration.</w:t>
      </w:r>
    </w:p>
    <w:p>
      <w:pPr>
        <w:pStyle w:val="Heading3"/>
        <w:keepNext/>
      </w:pPr>
      <w:r>
        <w:t>Critical Controls</w:t>
      </w:r>
    </w:p>
    <w:p>
      <w:pPr>
        <w:pStyle w:val="Bullet1"/>
        <w:spacing w:after="40" w:line="252" w:lineRule="auto"/>
      </w:pPr>
      <w:r>
        <w:rPr>
          <w:rFonts w:ascii="Noto Sans" w:hAnsi="Noto Sans"/>
        </w:rPr>
        <w:t>Demo and learning data is synthetic and isolated from production.</w:t>
      </w:r>
    </w:p>
    <w:p>
      <w:pPr>
        <w:pStyle w:val="Bullet1"/>
        <w:spacing w:after="40" w:line="252" w:lineRule="auto"/>
      </w:pPr>
      <w:r>
        <w:rPr>
          <w:rFonts w:ascii="Noto Sans" w:hAnsi="Noto Sans"/>
        </w:rPr>
        <w:t>Feedback prioritization preserves evidence and does not become a vote count.</w:t>
      </w:r>
    </w:p>
    <w:p>
      <w:pPr>
        <w:pStyle w:val="Heading3"/>
        <w:keepNext/>
      </w:pPr>
      <w:r>
        <w:t>Required Outcomes</w:t>
      </w:r>
    </w:p>
    <w:p>
      <w:pPr>
        <w:pStyle w:val="Bullet1"/>
        <w:spacing w:after="40" w:line="252" w:lineRule="auto"/>
      </w:pPr>
      <w:r>
        <w:rPr>
          <w:rFonts w:ascii="Noto Sans" w:hAnsi="Noto Sans"/>
        </w:rPr>
        <w:t>Customers learn faster and adopt more of the platform.</w:t>
      </w:r>
    </w:p>
    <w:p>
      <w:pPr>
        <w:pStyle w:val="Bullet1"/>
        <w:spacing w:after="40" w:line="252" w:lineRule="auto"/>
      </w:pPr>
      <w:r>
        <w:rPr>
          <w:rFonts w:ascii="Noto Sans" w:hAnsi="Noto Sans"/>
        </w:rPr>
        <w:t>Product decisions use a continuous, traceable evidence stream.</w:t>
      </w:r>
    </w:p>
    <w:p>
      <w:pPr>
        <w:pStyle w:val="Heading3"/>
        <w:keepNext/>
      </w:pPr>
      <w:r>
        <w:t>Technical Realization Notes</w:t>
      </w:r>
    </w:p>
    <w:p>
      <w:pPr>
        <w:pStyle w:val="Bullet1"/>
        <w:spacing w:after="40" w:line="252" w:lineRule="auto"/>
      </w:pPr>
      <w:r>
        <w:t>Authority &amp; storage: Control-plane PostgreSQL database; module-prefixed tables; separate runtime role from product plane. Authoritative entities/tables are GTMLead, DemoTenant, KnowledgeArticle, LearningPath, Certification, FeedbackItem, Opportunity, AdoptionCampaign.</w:t>
      </w:r>
    </w:p>
    <w:p>
      <w:pPr>
        <w:pStyle w:val="Bullet1"/>
        <w:spacing w:after="40" w:line="252" w:lineRule="auto"/>
      </w:pPr>
      <w:r>
        <w:t>Command inventory: PublishKnowledgeArticle, CreateTrainingModule, CaptureFeedback, TriageFeedback, PublishReleaseEducation, MeasureAdoption. Every command declares permission, idempotency, expected aggregate version and transaction boundary.</w:t>
      </w:r>
    </w:p>
    <w:p>
      <w:pPr>
        <w:pStyle w:val="Bullet1"/>
        <w:spacing w:after="40" w:line="252" w:lineRule="auto"/>
      </w:pPr>
      <w:r>
        <w:t>Queries/read models: List/detail and history projections for GTMLead, DemoTenant, KnowledgeArticle, LearningPath; role/surface-specific attention/summary read models for Internal SaaS Console; Learning Portal; In-product Help; every projection exposes freshness/version metadata when asynchronously built.</w:t>
      </w:r>
    </w:p>
    <w:p>
      <w:pPr>
        <w:pStyle w:val="Bullet1"/>
      </w:pPr>
      <w:r>
        <w:t>Indexes/concurrency: tenant-leading indexes for primary list/detail paths; unique external/provider identifiers are scoped by tenant/provider; aggregate version supports optimistic concurrency.</w:t>
      </w:r>
    </w:p>
    <w:p>
      <w:pPr>
        <w:pStyle w:val="Bullet1"/>
      </w:pPr>
      <w:r>
        <w:t>Published events: demo.created, learning.completed, feedback.received, opportunity.validated, release_communication.sent. Consumed dependencies: PLT-04, LIF-01; dependencies are accessed by stable contracts/projections, never direct write-table joins. Direction for this intentional bidirectional pair (LIF-01 &lt;-&gt; GOV-04) is normative in §6.3.</w:t>
      </w:r>
    </w:p>
    <w:p>
      <w:pPr>
        <w:pStyle w:val="Bullet1"/>
      </w:pPr>
      <w:r>
        <w:t>Failure/degraded behavior: Write commands fail atomically; asynchronous effects retry idempotently; stale read models carry freshness and cannot authorize a consequence-bearing mutation beyond budget.</w:t>
      </w:r>
    </w:p>
    <w:p>
      <w:pPr>
        <w:pStyle w:val="Bullet1"/>
      </w:pPr>
      <w:r>
        <w:t>Security/privacy: classification is enforced at field/resource level; tenant context and authorization are mandatory. Restricted data follows §21 controls; support/break-glass access creates delegated actor evidence.</w:t>
      </w:r>
    </w:p>
    <w:p>
      <w:pPr>
        <w:pStyle w:val="Bullet1"/>
      </w:pPr>
      <w:r>
        <w:t>SLI/SLO: Surface/domain API 99.9% initial target; p95 &lt;500-750 ms by workload; queue/projection freshness per §12.5.</w:t>
      </w:r>
    </w:p>
    <w:p>
      <w:pPr>
        <w:pStyle w:val="Bullet1"/>
      </w:pPr>
      <w:r>
        <w:t>Tests/runbook: invariant/property tests for each state transition; contract tests for APIs/events; tenant isolation negative test where tenant-owned; runbook RB-GOV-04 covers stuck commands, reconciliation, provider/dependency outage and repair without history rewrite.</w:t>
      </w:r>
    </w:p>
    <w:p>
      <w:pPr>
        <w:pStyle w:val="Heading1"/>
        <w:keepNext/>
      </w:pPr>
      <w:r>
        <w:t>11. API, BFF &amp; Realtime Contract</w:t>
      </w:r>
    </w:p>
    <w:p>
      <w:pPr>
        <w:pStyle w:val="Heading2"/>
        <w:keepNext/>
      </w:pPr>
      <w:r>
        <w:t>11.1 API Style</w:t>
      </w:r>
    </w:p>
    <w:p>
      <w:pPr>
        <w:pStyle w:val="Heading3"/>
      </w:pPr>
      <w:r>
        <w:t>Idempotency contract</w:t>
      </w:r>
    </w:p>
    <w:p>
      <w:pPr>
        <w:pStyle w:val="Bullet1"/>
      </w:pPr>
      <w:r>
        <w:t>Mutation idempotency scope is (tenant_id, HTTP method, canonical route, Idempotency-Key). Keys are retained for at least 24 hours and longer for payments/fiscal/provider operations according to provider retry windows.</w:t>
      </w:r>
    </w:p>
    <w:p>
      <w:pPr>
        <w:pStyle w:val="Bullet1"/>
      </w:pPr>
      <w:r>
        <w:t>The server stores request hash, authoritative result/status, response body reference and expiry. Reuse with the same body returns the stored response and original status; reuse with a different body returns HTTP 409 with code IDEMPOTENCY_KEY_REUSED_WITH_DIFFERENT_PAYLOAD.</w:t>
      </w:r>
    </w:p>
    <w:p>
      <w:pPr>
        <w:pStyle w:val="Bullet1"/>
      </w:pPr>
      <w:r>
        <w:t>The same idempotency key becomes command_id and is propagated to outbox/provider dispatch records. Provider-specific idempotency keys are deterministic derivatives rather than newly generated values.</w:t>
      </w:r>
    </w:p>
    <w:p>
      <w:pPr>
        <w:pStyle w:val="Bullet1"/>
        <w:spacing w:after="80" w:line="252" w:lineRule="auto"/>
      </w:pPr>
      <w:r>
        <w:rPr>
          <w:rFonts w:ascii="Noto Sans" w:hAnsi="Noto Sans"/>
        </w:rPr>
        <w:t>Versioned REST/JSON external and application APIs under /api/v1. OpenAPI is the contract source for generated clients.</w:t>
      </w:r>
    </w:p>
    <w:p>
      <w:pPr>
        <w:pStyle w:val="Bullet1"/>
        <w:spacing w:after="80" w:line="252" w:lineRule="auto"/>
      </w:pPr>
      <w:r>
        <w:rPr>
          <w:rFonts w:ascii="Noto Sans" w:hAnsi="Noto Sans"/>
        </w:rPr>
        <w:t>Commands are explicit action endpoints when domain semantics matter (for example /memberships/{id}:freeze) rather than generic PATCH for consequence-heavy transitions.</w:t>
      </w:r>
    </w:p>
    <w:p>
      <w:pPr>
        <w:pStyle w:val="Bullet1"/>
        <w:spacing w:after="80" w:line="252" w:lineRule="auto"/>
      </w:pPr>
      <w:r>
        <w:rPr>
          <w:rFonts w:ascii="Noto Sans" w:hAnsi="Noto Sans"/>
        </w:rPr>
        <w:t>Queries use resource endpoints and surface-specific read endpoints for Member 360, Command Center, Coach Today and other composed views.</w:t>
      </w:r>
    </w:p>
    <w:p>
      <w:pPr>
        <w:pStyle w:val="Bullet1"/>
        <w:spacing w:after="80" w:line="252" w:lineRule="auto"/>
      </w:pPr>
      <w:r>
        <w:rPr>
          <w:rFonts w:ascii="Noto Sans" w:hAnsi="Noto Sans"/>
        </w:rPr>
        <w:t>Cursor pagination for large changing collections; offset pagination allowed only for small stable reference data.</w:t>
      </w:r>
    </w:p>
    <w:p>
      <w:pPr>
        <w:pStyle w:val="Bullet1"/>
        <w:spacing w:after="80" w:line="252" w:lineRule="auto"/>
      </w:pPr>
      <w:r>
        <w:rPr>
          <w:rFonts w:ascii="Noto Sans" w:hAnsi="Noto Sans"/>
        </w:rPr>
        <w:t>RFC 7807 Problem Details-compatible error envelope with stable machine code, localized safe message, correlation ID and recoverability metadata.</w:t>
      </w:r>
    </w:p>
    <w:p>
      <w:pPr>
        <w:pStyle w:val="Bullet1"/>
        <w:spacing w:after="80" w:line="252" w:lineRule="auto"/>
      </w:pPr>
      <w:r>
        <w:rPr>
          <w:rFonts w:ascii="Noto Sans" w:hAnsi="Noto Sans"/>
        </w:rPr>
        <w:t>Idempotency-Key required for externally retryable mutations such as orders, payments, refunds, booking, check-in and workflow starts.</w:t>
      </w:r>
    </w:p>
    <w:p>
      <w:pPr>
        <w:pStyle w:val="Bullet1"/>
        <w:spacing w:after="80" w:line="252" w:lineRule="auto"/>
      </w:pPr>
      <w:r>
        <w:rPr>
          <w:rFonts w:ascii="Noto Sans" w:hAnsi="Noto Sans"/>
        </w:rPr>
        <w:t>ETag/resource version or expected_version used for optimistic concurrency on user-edited records.</w:t>
      </w:r>
    </w:p>
    <w:p>
      <w:pPr>
        <w:pStyle w:val="Bullet1"/>
        <w:spacing w:after="80" w:line="252" w:lineRule="auto"/>
      </w:pPr>
      <w:r>
        <w:rPr>
          <w:rFonts w:ascii="Noto Sans" w:hAnsi="Noto Sans"/>
        </w:rPr>
        <w:t>Every response that is time-sensitive may include generated_at/data_freshness metadata; AI/analytics responses must expose source freshness.</w:t>
      </w:r>
    </w:p>
    <w:tbl>
      <w:tblPr>
        <w:tblStyle w:val="TableGrid"/>
        <w:tblW w:type="dxa" w:w="9684"/>
        <w:tblLayout w:type="autofit"/>
        <w:tblLook w:firstColumn="1" w:firstRow="1" w:lastColumn="0" w:lastRow="0" w:noHBand="0" w:noVBand="1" w:val="04A0"/>
        <w:jc w:val="center"/>
      </w:tblPr>
      <w:tblGrid>
        <w:gridCol w:w="9684"/>
      </w:tblGrid>
      <w:tr>
        <w:trPr>
          <w:cantSplit/>
          <w:tblHeader w:val="true"/>
        </w:trPr>
        <w:tc>
          <w:tcPr>
            <w:tcW w:type="dxa" w:w="9684"/>
            <w:shd w:fill="F7F8FA"/>
            <w:tcMar>
              <w:top w:w="70" w:type="dxa"/>
              <w:start w:w="150" w:type="dxa"/>
              <w:bottom w:w="70" w:type="dxa"/>
              <w:end w:w="150" w:type="dxa"/>
              <w:left w:w="80" w:type="dxa"/>
              <w:right w:w="80" w:type="dxa"/>
            </w:tcMar>
            <w:vAlign w:val="center"/>
          </w:tcPr>
          <w:p>
            <w:pPr>
              <w:spacing w:line="240" w:lineRule="auto" w:after="0"/>
            </w:pPr>
            <w:r>
              <w:rPr>
                <w:rFonts w:ascii="DejaVu Sans Mono" w:hAnsi="DejaVu Sans Mono"/>
                <w:b/>
                <w:color w:val="263238"/>
                <w:sz w:val="16"/>
              </w:rPr>
              <w:t>POST /api/v1/memberships/{membership_id}:freeze</w:t>
              <w:br/>
              <w:t>Headers:</w:t>
              <w:br/>
              <w:t xml:space="preserve">  Authorization: Bearer ...</w:t>
              <w:br/>
              <w:t xml:space="preserve">  Idempotency-Key: &lt;uuid&gt;</w:t>
              <w:br/>
              <w:t xml:space="preserve">  X-Request-ID: &lt;uuid&gt;</w:t>
              <w:br/>
              <w:t>Body:</w:t>
              <w:br/>
              <w:t xml:space="preserve">  { effective_date, reason_code, requested_end_date? }</w:t>
              <w:br/>
              <w:br/>
              <w:t>Response 202:</w:t>
              <w:br/>
              <w:t xml:space="preserve">  { operation_id, membership_id, state: "freeze_scheduled", version }</w:t>
              <w:br/>
            </w:r>
          </w:p>
        </w:tc>
      </w:tr>
    </w:tbl>
    <w:p>
      <w:pPr>
        <w:spacing w:after="40"/>
      </w:pPr>
    </w:p>
    <w:p>
      <w:pPr>
        <w:pStyle w:val="Heading2"/>
        <w:keepNext/>
      </w:pPr>
      <w:r>
        <w:t>11.2 BFF Rules</w:t>
      </w:r>
    </w:p>
    <w:p>
      <w:pPr>
        <w:pStyle w:val="Bullet1"/>
        <w:spacing w:after="80" w:line="252" w:lineRule="auto"/>
      </w:pPr>
      <w:r>
        <w:rPr>
          <w:rFonts w:ascii="Noto Sans" w:hAnsi="Noto Sans"/>
        </w:rPr>
        <w:t>Admin BFF composes permission-filtered business views; it does not own authoritative state.</w:t>
      </w:r>
    </w:p>
    <w:p>
      <w:pPr>
        <w:pStyle w:val="Bullet1"/>
        <w:spacing w:after="80" w:line="252" w:lineRule="auto"/>
      </w:pPr>
      <w:r>
        <w:rPr>
          <w:rFonts w:ascii="Noto Sans" w:hAnsi="Noto Sans"/>
        </w:rPr>
        <w:t>Coach BFF is relationship-aware and returns only assigned/permitted clients and health context.</w:t>
      </w:r>
    </w:p>
    <w:p>
      <w:pPr>
        <w:pStyle w:val="Bullet1"/>
        <w:spacing w:after="80" w:line="252" w:lineRule="auto"/>
      </w:pPr>
      <w:r>
        <w:rPr>
          <w:rFonts w:ascii="Noto Sans" w:hAnsi="Noto Sans"/>
        </w:rPr>
        <w:t>Member BFF returns the signed-in member/household context and hides internal operational fields.</w:t>
      </w:r>
    </w:p>
    <w:p>
      <w:pPr>
        <w:pStyle w:val="Bullet1"/>
        <w:spacing w:after="80" w:line="252" w:lineRule="auto"/>
      </w:pPr>
      <w:r>
        <w:rPr>
          <w:rFonts w:ascii="Noto Sans" w:hAnsi="Noto Sans"/>
        </w:rPr>
        <w:t>Front Desk BFF prioritizes low-latency lookup/access/payment and supports degraded cache hints.</w:t>
      </w:r>
    </w:p>
    <w:p>
      <w:pPr>
        <w:pStyle w:val="Bullet1"/>
        <w:spacing w:after="80" w:line="252" w:lineRule="auto"/>
      </w:pPr>
      <w:r>
        <w:rPr>
          <w:rFonts w:ascii="Noto Sans" w:hAnsi="Noto Sans"/>
        </w:rPr>
        <w:t>Internal Console BFF is a separate privileged application boundary; customer content access requires temporary support session policy.</w:t>
      </w:r>
    </w:p>
    <w:p>
      <w:pPr>
        <w:pStyle w:val="Heading2"/>
        <w:keepNext/>
      </w:pPr>
      <w:r>
        <w:t>11.3 Realtime</w:t>
      </w:r>
    </w:p>
    <w:p>
      <w:pPr>
        <w:pStyle w:val="Bullet1"/>
        <w:spacing w:after="80" w:line="252" w:lineRule="auto"/>
      </w:pPr>
      <w:r>
        <w:rPr>
          <w:rFonts w:ascii="Noto Sans" w:hAnsi="Noto Sans"/>
        </w:rPr>
        <w:t>WebSocket/SSE is used for live arrivals, conversation updates, async job progress, POS/provider state and operational incident status.</w:t>
      </w:r>
    </w:p>
    <w:p>
      <w:pPr>
        <w:pStyle w:val="Bullet1"/>
        <w:spacing w:after="80" w:line="252" w:lineRule="auto"/>
      </w:pPr>
      <w:r>
        <w:rPr>
          <w:rFonts w:ascii="Noto Sans" w:hAnsi="Noto Sans"/>
        </w:rPr>
        <w:t>Realtime channels are authorized per tenant/user/resource and carry no state that cannot be reconstructed from authoritative storage/events.</w:t>
      </w:r>
    </w:p>
    <w:p>
      <w:pPr>
        <w:pStyle w:val="Bullet1"/>
        <w:spacing w:after="80" w:line="252" w:lineRule="auto"/>
      </w:pPr>
      <w:r>
        <w:rPr>
          <w:rFonts w:ascii="Noto Sans" w:hAnsi="Noto Sans"/>
        </w:rPr>
        <w:t>Reconnect uses last_event_id/sequence where possible; clients must tolerate missed realtime and refresh authoritative state.</w:t>
      </w:r>
    </w:p>
    <w:p>
      <w:pPr>
        <w:pStyle w:val="Heading2"/>
        <w:keepNext/>
      </w:pPr>
      <w:r>
        <w:t>11.4 Public API and Webhooks (V2-ready)</w:t>
      </w:r>
    </w:p>
    <w:p>
      <w:pPr>
        <w:pStyle w:val="Bullet1"/>
        <w:spacing w:after="80" w:line="252" w:lineRule="auto"/>
      </w:pPr>
      <w:r>
        <w:rPr>
          <w:rFonts w:ascii="Noto Sans" w:hAnsi="Noto Sans"/>
        </w:rPr>
        <w:t>OAuth 2.1/OIDC authorization for partner apps; service accounts/API keys only for approved server-to-server use cases.</w:t>
      </w:r>
    </w:p>
    <w:p>
      <w:pPr>
        <w:pStyle w:val="Bullet1"/>
        <w:spacing w:after="80" w:line="252" w:lineRule="auto"/>
      </w:pPr>
      <w:r>
        <w:rPr>
          <w:rFonts w:ascii="Noto Sans" w:hAnsi="Noto Sans"/>
        </w:rPr>
        <w:t>Scopes are tenant-authorized and domain-specific. Sensitive scopes require partner certification and tenant admin consent.</w:t>
      </w:r>
    </w:p>
    <w:p>
      <w:pPr>
        <w:pStyle w:val="Bullet1"/>
        <w:spacing w:after="80" w:line="252" w:lineRule="auto"/>
      </w:pPr>
      <w:r>
        <w:rPr>
          <w:rFonts w:ascii="Noto Sans" w:hAnsi="Noto Sans"/>
        </w:rPr>
        <w:t>Webhooks are HMAC-signed, timestamped and replay-protected; retries use exponential backoff, delivery logs and controlled replay.</w:t>
      </w:r>
    </w:p>
    <w:p>
      <w:pPr>
        <w:pStyle w:val="Bullet1"/>
        <w:spacing w:after="80" w:line="252" w:lineRule="auto"/>
      </w:pPr>
      <w:r>
        <w:t>Public webhook delivery is unordered unless a specific public contract explicitly guarantees otherwise. Payloads carry resource/version metadata; consumers must deduplicate and reconcile from the current resource state rather than infer state from arrival order.</w:t>
      </w:r>
    </w:p>
    <w:p>
      <w:pPr>
        <w:pStyle w:val="Bullet1"/>
        <w:spacing w:after="80" w:line="252" w:lineRule="auto"/>
      </w:pPr>
      <w:r>
        <w:rPr>
          <w:rFonts w:ascii="Noto Sans" w:hAnsi="Noto Sans"/>
        </w:rPr>
        <w:t>API deprecation includes announced sunset, compatibility tests and migration guidance.</w:t>
      </w:r>
    </w:p>
    <w:p>
      <w:pPr>
        <w:pStyle w:val="Heading2"/>
      </w:pPr>
      <w:r>
        <w:t>11.5 Stable Error Catalog</w:t>
      </w:r>
    </w:p>
    <w:tbl>
      <w:tblPr>
        <w:tblStyle w:val="TableGrid"/>
        <w:tblW w:type="dxa" w:w="9000"/>
        <w:jc w:val="center"/>
        <w:tblLayout w:type="fixed"/>
        <w:tblLook w:firstColumn="1" w:firstRow="1" w:lastColumn="0" w:lastRow="0" w:noHBand="0" w:noVBand="1" w:val="04A0"/>
        <w:tblCellMar>
          <w:top w:w="64" w:type="dxa"/>
          <w:left w:w="64" w:type="dxa"/>
          <w:bottom w:w="64" w:type="dxa"/>
          <w:right w:w="64" w:type="dxa"/>
        </w:tblCellMar>
      </w:tblPr>
      <w:tblGrid>
        <w:gridCol w:w="3888"/>
        <w:gridCol w:w="893"/>
        <w:gridCol w:w="4219"/>
      </w:tblGrid>
      <w:tr>
        <w:trPr>
          <w:tblHeader w:val="true"/>
        </w:trPr>
        <w:tc>
          <w:tcPr>
            <w:tcW w:type="dxa" w:w="3888"/>
            <w:vAlign w:val="center"/>
            <w:tcMar>
              <w:top w:w="70" w:type="dxa"/>
              <w:left w:w="80" w:type="dxa"/>
              <w:bottom w:w="70" w:type="dxa"/>
              <w:right w:w="80" w:type="dxa"/>
            </w:tcMar>
          </w:tcPr>
          <w:p>
            <w:pPr>
              <w:spacing w:before="0" w:after="0" w:line="240" w:lineRule="auto"/>
            </w:pPr>
            <w:r>
              <w:rPr>
                <w:b/>
                <w:sz w:val="16"/>
              </w:rPr>
              <w:t>Code</w:t>
            </w:r>
          </w:p>
        </w:tc>
        <w:tc>
          <w:tcPr>
            <w:tcW w:type="dxa" w:w="892"/>
            <w:vAlign w:val="center"/>
            <w:tcMar>
              <w:top w:w="70" w:type="dxa"/>
              <w:left w:w="80" w:type="dxa"/>
              <w:bottom w:w="70" w:type="dxa"/>
              <w:right w:w="80" w:type="dxa"/>
            </w:tcMar>
          </w:tcPr>
          <w:p>
            <w:pPr>
              <w:spacing w:before="0" w:after="0" w:line="240" w:lineRule="auto"/>
              <w:jc w:val="center"/>
            </w:pPr>
            <w:r>
              <w:rPr>
                <w:b/>
                <w:sz w:val="16"/>
              </w:rPr>
              <w:t>HTTP</w:t>
            </w:r>
          </w:p>
        </w:tc>
        <w:tc>
          <w:tcPr>
            <w:tcW w:type="dxa" w:w="4219"/>
            <w:vAlign w:val="center"/>
            <w:tcMar>
              <w:top w:w="70" w:type="dxa"/>
              <w:left w:w="80" w:type="dxa"/>
              <w:bottom w:w="70" w:type="dxa"/>
              <w:right w:w="80" w:type="dxa"/>
            </w:tcMar>
          </w:tcPr>
          <w:p>
            <w:pPr>
              <w:spacing w:before="0" w:after="0" w:line="240" w:lineRule="auto"/>
            </w:pPr>
            <w:r>
              <w:rPr>
                <w:b/>
                <w:sz w:val="16"/>
              </w:rPr>
              <w:t>Meaning</w:t>
            </w:r>
          </w:p>
        </w:tc>
      </w:tr>
      <w:tr>
        <w:tc>
          <w:tcPr>
            <w:tcW w:type="dxa" w:w="3888"/>
            <w:tcMar>
              <w:top w:w="70" w:type="dxa"/>
              <w:left w:w="80" w:type="dxa"/>
              <w:bottom w:w="70" w:type="dxa"/>
              <w:right w:w="80" w:type="dxa"/>
            </w:tcMar>
            <w:vAlign w:val="center"/>
          </w:tcPr>
          <w:p>
            <w:pPr>
              <w:spacing w:before="0" w:after="0" w:line="240" w:lineRule="auto"/>
            </w:pPr>
            <w:r>
              <w:rPr>
                <w:sz w:val="15"/>
              </w:rPr>
              <w:t>TENANT_CONTEXT_MISSING</w:t>
            </w:r>
          </w:p>
        </w:tc>
        <w:tc>
          <w:tcPr>
            <w:tcW w:type="dxa" w:w="892"/>
            <w:tcMar>
              <w:top w:w="70" w:type="dxa"/>
              <w:left w:w="80" w:type="dxa"/>
              <w:bottom w:w="70" w:type="dxa"/>
              <w:right w:w="80" w:type="dxa"/>
            </w:tcMar>
            <w:vAlign w:val="center"/>
          </w:tcPr>
          <w:p>
            <w:pPr>
              <w:spacing w:before="0" w:after="0" w:line="240" w:lineRule="auto"/>
              <w:jc w:val="center"/>
            </w:pPr>
            <w:r>
              <w:rPr>
                <w:sz w:val="15"/>
              </w:rPr>
              <w:t>401/403</w:t>
            </w:r>
          </w:p>
        </w:tc>
        <w:tc>
          <w:tcPr>
            <w:tcW w:type="dxa" w:w="4219"/>
            <w:tcMar>
              <w:top w:w="70" w:type="dxa"/>
              <w:left w:w="80" w:type="dxa"/>
              <w:bottom w:w="70" w:type="dxa"/>
              <w:right w:w="80" w:type="dxa"/>
            </w:tcMar>
            <w:vAlign w:val="center"/>
          </w:tcPr>
          <w:p>
            <w:pPr>
              <w:spacing w:before="0" w:after="0" w:line="240" w:lineRule="auto"/>
            </w:pPr>
            <w:r>
              <w:rPr>
                <w:sz w:val="15"/>
              </w:rPr>
              <w:t>No validated tenant context.</w:t>
            </w:r>
          </w:p>
        </w:tc>
      </w:tr>
      <w:tr>
        <w:tc>
          <w:tcPr>
            <w:tcW w:type="dxa" w:w="3888"/>
            <w:tcMar>
              <w:top w:w="70" w:type="dxa"/>
              <w:left w:w="80" w:type="dxa"/>
              <w:bottom w:w="70" w:type="dxa"/>
              <w:right w:w="80" w:type="dxa"/>
            </w:tcMar>
            <w:vAlign w:val="center"/>
          </w:tcPr>
          <w:p>
            <w:pPr>
              <w:spacing w:before="0" w:after="0" w:line="240" w:lineRule="auto"/>
            </w:pPr>
            <w:r>
              <w:rPr>
                <w:sz w:val="15"/>
              </w:rPr>
              <w:t>TENANT_SCOPE_MISMATCH</w:t>
            </w:r>
          </w:p>
        </w:tc>
        <w:tc>
          <w:tcPr>
            <w:tcW w:type="dxa" w:w="892"/>
            <w:tcMar>
              <w:top w:w="70" w:type="dxa"/>
              <w:left w:w="80" w:type="dxa"/>
              <w:bottom w:w="70" w:type="dxa"/>
              <w:right w:w="80" w:type="dxa"/>
            </w:tcMar>
            <w:vAlign w:val="center"/>
          </w:tcPr>
          <w:p>
            <w:pPr>
              <w:spacing w:before="0" w:after="0" w:line="240" w:lineRule="auto"/>
              <w:jc w:val="center"/>
            </w:pPr>
            <w:r>
              <w:rPr>
                <w:sz w:val="15"/>
              </w:rPr>
              <w:t>403</w:t>
            </w:r>
          </w:p>
        </w:tc>
        <w:tc>
          <w:tcPr>
            <w:tcW w:type="dxa" w:w="4219"/>
            <w:tcMar>
              <w:top w:w="70" w:type="dxa"/>
              <w:left w:w="80" w:type="dxa"/>
              <w:bottom w:w="70" w:type="dxa"/>
              <w:right w:w="80" w:type="dxa"/>
            </w:tcMar>
            <w:vAlign w:val="center"/>
          </w:tcPr>
          <w:p>
            <w:pPr>
              <w:spacing w:before="0" w:after="0" w:line="240" w:lineRule="auto"/>
            </w:pPr>
            <w:r>
              <w:rPr>
                <w:sz w:val="15"/>
              </w:rPr>
              <w:t>Resource belongs to another scope.</w:t>
            </w:r>
          </w:p>
        </w:tc>
      </w:tr>
      <w:tr>
        <w:tc>
          <w:tcPr>
            <w:tcW w:type="dxa" w:w="3888"/>
            <w:tcMar>
              <w:top w:w="70" w:type="dxa"/>
              <w:left w:w="80" w:type="dxa"/>
              <w:bottom w:w="70" w:type="dxa"/>
              <w:right w:w="80" w:type="dxa"/>
            </w:tcMar>
            <w:vAlign w:val="center"/>
          </w:tcPr>
          <w:p>
            <w:pPr>
              <w:spacing w:before="0" w:after="0" w:line="240" w:lineRule="auto"/>
            </w:pPr>
            <w:r>
              <w:rPr>
                <w:sz w:val="15"/>
              </w:rPr>
              <w:t>PERMISSION_DENIED</w:t>
            </w:r>
          </w:p>
        </w:tc>
        <w:tc>
          <w:tcPr>
            <w:tcW w:type="dxa" w:w="892"/>
            <w:tcMar>
              <w:top w:w="70" w:type="dxa"/>
              <w:left w:w="80" w:type="dxa"/>
              <w:bottom w:w="70" w:type="dxa"/>
              <w:right w:w="80" w:type="dxa"/>
            </w:tcMar>
            <w:vAlign w:val="center"/>
          </w:tcPr>
          <w:p>
            <w:pPr>
              <w:spacing w:before="0" w:after="0" w:line="240" w:lineRule="auto"/>
              <w:jc w:val="center"/>
            </w:pPr>
            <w:r>
              <w:rPr>
                <w:sz w:val="15"/>
              </w:rPr>
              <w:t>403</w:t>
            </w:r>
          </w:p>
        </w:tc>
        <w:tc>
          <w:tcPr>
            <w:tcW w:type="dxa" w:w="4219"/>
            <w:tcMar>
              <w:top w:w="70" w:type="dxa"/>
              <w:left w:w="80" w:type="dxa"/>
              <w:bottom w:w="70" w:type="dxa"/>
              <w:right w:w="80" w:type="dxa"/>
            </w:tcMar>
            <w:vAlign w:val="center"/>
          </w:tcPr>
          <w:p>
            <w:pPr>
              <w:spacing w:before="0" w:after="0" w:line="240" w:lineRule="auto"/>
            </w:pPr>
            <w:r>
              <w:rPr>
                <w:sz w:val="15"/>
              </w:rPr>
              <w:t>Action/resource/scope denied.</w:t>
            </w:r>
          </w:p>
        </w:tc>
      </w:tr>
      <w:tr>
        <w:tc>
          <w:tcPr>
            <w:tcW w:type="dxa" w:w="3888"/>
            <w:tcMar>
              <w:top w:w="70" w:type="dxa"/>
              <w:left w:w="80" w:type="dxa"/>
              <w:bottom w:w="70" w:type="dxa"/>
              <w:right w:w="80" w:type="dxa"/>
            </w:tcMar>
            <w:vAlign w:val="center"/>
          </w:tcPr>
          <w:p>
            <w:pPr>
              <w:spacing w:before="0" w:after="0" w:line="240" w:lineRule="auto"/>
            </w:pPr>
            <w:r>
              <w:rPr>
                <w:sz w:val="15"/>
              </w:rPr>
              <w:t>ASSURANCE_REQUIRED</w:t>
            </w:r>
          </w:p>
        </w:tc>
        <w:tc>
          <w:tcPr>
            <w:tcW w:type="dxa" w:w="892"/>
            <w:tcMar>
              <w:top w:w="70" w:type="dxa"/>
              <w:left w:w="80" w:type="dxa"/>
              <w:bottom w:w="70" w:type="dxa"/>
              <w:right w:w="80" w:type="dxa"/>
            </w:tcMar>
            <w:vAlign w:val="center"/>
          </w:tcPr>
          <w:p>
            <w:pPr>
              <w:spacing w:before="0" w:after="0" w:line="240" w:lineRule="auto"/>
              <w:jc w:val="center"/>
            </w:pPr>
            <w:r>
              <w:rPr>
                <w:sz w:val="15"/>
              </w:rPr>
              <w:t>403</w:t>
            </w:r>
          </w:p>
        </w:tc>
        <w:tc>
          <w:tcPr>
            <w:tcW w:type="dxa" w:w="4219"/>
            <w:tcMar>
              <w:top w:w="70" w:type="dxa"/>
              <w:left w:w="80" w:type="dxa"/>
              <w:bottom w:w="70" w:type="dxa"/>
              <w:right w:w="80" w:type="dxa"/>
            </w:tcMar>
            <w:vAlign w:val="center"/>
          </w:tcPr>
          <w:p>
            <w:pPr>
              <w:spacing w:before="0" w:after="0" w:line="240" w:lineRule="auto"/>
            </w:pPr>
            <w:r>
              <w:rPr>
                <w:sz w:val="15"/>
              </w:rPr>
              <w:t>Step-up authentication required.</w:t>
            </w:r>
          </w:p>
        </w:tc>
      </w:tr>
      <w:tr>
        <w:tc>
          <w:tcPr>
            <w:tcW w:type="dxa" w:w="3888"/>
            <w:tcMar>
              <w:top w:w="70" w:type="dxa"/>
              <w:left w:w="80" w:type="dxa"/>
              <w:bottom w:w="70" w:type="dxa"/>
              <w:right w:w="80" w:type="dxa"/>
            </w:tcMar>
            <w:vAlign w:val="center"/>
          </w:tcPr>
          <w:p>
            <w:pPr>
              <w:spacing w:before="0" w:after="0" w:line="240" w:lineRule="auto"/>
            </w:pPr>
            <w:r>
              <w:rPr>
                <w:sz w:val="15"/>
              </w:rPr>
              <w:t>APPROVAL_REQUIRED</w:t>
            </w:r>
          </w:p>
        </w:tc>
        <w:tc>
          <w:tcPr>
            <w:tcW w:type="dxa" w:w="892"/>
            <w:tcMar>
              <w:top w:w="70" w:type="dxa"/>
              <w:left w:w="80" w:type="dxa"/>
              <w:bottom w:w="70" w:type="dxa"/>
              <w:right w:w="80" w:type="dxa"/>
            </w:tcMar>
            <w:vAlign w:val="center"/>
          </w:tcPr>
          <w:p>
            <w:pPr>
              <w:spacing w:before="0" w:after="0" w:line="240" w:lineRule="auto"/>
              <w:jc w:val="center"/>
            </w:pPr>
            <w:r>
              <w:rPr>
                <w:sz w:val="15"/>
              </w:rPr>
              <w:t>409</w:t>
            </w:r>
          </w:p>
        </w:tc>
        <w:tc>
          <w:tcPr>
            <w:tcW w:type="dxa" w:w="4219"/>
            <w:tcMar>
              <w:top w:w="70" w:type="dxa"/>
              <w:left w:w="80" w:type="dxa"/>
              <w:bottom w:w="70" w:type="dxa"/>
              <w:right w:w="80" w:type="dxa"/>
            </w:tcMar>
            <w:vAlign w:val="center"/>
          </w:tcPr>
          <w:p>
            <w:pPr>
              <w:spacing w:before="0" w:after="0" w:line="240" w:lineRule="auto"/>
            </w:pPr>
            <w:r>
              <w:rPr>
                <w:sz w:val="15"/>
              </w:rPr>
              <w:t>Action awaits approval.</w:t>
            </w:r>
          </w:p>
        </w:tc>
      </w:tr>
      <w:tr>
        <w:tc>
          <w:tcPr>
            <w:tcW w:type="dxa" w:w="3888"/>
            <w:tcMar>
              <w:top w:w="70" w:type="dxa"/>
              <w:left w:w="80" w:type="dxa"/>
              <w:bottom w:w="70" w:type="dxa"/>
              <w:right w:w="80" w:type="dxa"/>
            </w:tcMar>
            <w:vAlign w:val="center"/>
          </w:tcPr>
          <w:p>
            <w:pPr>
              <w:spacing w:before="0" w:after="0" w:line="240" w:lineRule="auto"/>
            </w:pPr>
            <w:r>
              <w:rPr>
                <w:sz w:val="15"/>
              </w:rPr>
              <w:t>IDEMPOTENCY_KEY_REUSED_WITH_DIFFERENT_PAYLOAD</w:t>
            </w:r>
          </w:p>
        </w:tc>
        <w:tc>
          <w:tcPr>
            <w:tcW w:type="dxa" w:w="892"/>
            <w:tcMar>
              <w:top w:w="70" w:type="dxa"/>
              <w:left w:w="80" w:type="dxa"/>
              <w:bottom w:w="70" w:type="dxa"/>
              <w:right w:w="80" w:type="dxa"/>
            </w:tcMar>
            <w:vAlign w:val="center"/>
          </w:tcPr>
          <w:p>
            <w:pPr>
              <w:spacing w:before="0" w:after="0" w:line="240" w:lineRule="auto"/>
              <w:jc w:val="center"/>
            </w:pPr>
            <w:r>
              <w:rPr>
                <w:sz w:val="15"/>
              </w:rPr>
              <w:t>409</w:t>
            </w:r>
          </w:p>
        </w:tc>
        <w:tc>
          <w:tcPr>
            <w:tcW w:type="dxa" w:w="4219"/>
            <w:tcMar>
              <w:top w:w="70" w:type="dxa"/>
              <w:left w:w="80" w:type="dxa"/>
              <w:bottom w:w="70" w:type="dxa"/>
              <w:right w:w="80" w:type="dxa"/>
            </w:tcMar>
            <w:vAlign w:val="center"/>
          </w:tcPr>
          <w:p>
            <w:pPr>
              <w:spacing w:before="0" w:after="0" w:line="240" w:lineRule="auto"/>
            </w:pPr>
            <w:r>
              <w:rPr>
                <w:sz w:val="15"/>
              </w:rPr>
              <w:t>Same key, different request hash.</w:t>
            </w:r>
          </w:p>
        </w:tc>
      </w:tr>
      <w:tr>
        <w:tc>
          <w:tcPr>
            <w:tcW w:type="dxa" w:w="3888"/>
            <w:tcMar>
              <w:top w:w="70" w:type="dxa"/>
              <w:left w:w="80" w:type="dxa"/>
              <w:bottom w:w="70" w:type="dxa"/>
              <w:right w:w="80" w:type="dxa"/>
            </w:tcMar>
            <w:vAlign w:val="center"/>
          </w:tcPr>
          <w:p>
            <w:pPr>
              <w:spacing w:before="0" w:after="0" w:line="240" w:lineRule="auto"/>
            </w:pPr>
            <w:r>
              <w:rPr>
                <w:sz w:val="15"/>
              </w:rPr>
              <w:t>VERSION_CONFLICT</w:t>
            </w:r>
          </w:p>
        </w:tc>
        <w:tc>
          <w:tcPr>
            <w:tcW w:type="dxa" w:w="892"/>
            <w:tcMar>
              <w:top w:w="70" w:type="dxa"/>
              <w:left w:w="80" w:type="dxa"/>
              <w:bottom w:w="70" w:type="dxa"/>
              <w:right w:w="80" w:type="dxa"/>
            </w:tcMar>
            <w:vAlign w:val="center"/>
          </w:tcPr>
          <w:p>
            <w:pPr>
              <w:spacing w:before="0" w:after="0" w:line="240" w:lineRule="auto"/>
              <w:jc w:val="center"/>
            </w:pPr>
            <w:r>
              <w:rPr>
                <w:sz w:val="15"/>
              </w:rPr>
              <w:t>409</w:t>
            </w:r>
          </w:p>
        </w:tc>
        <w:tc>
          <w:tcPr>
            <w:tcW w:type="dxa" w:w="4219"/>
            <w:tcMar>
              <w:top w:w="70" w:type="dxa"/>
              <w:left w:w="80" w:type="dxa"/>
              <w:bottom w:w="70" w:type="dxa"/>
              <w:right w:w="80" w:type="dxa"/>
            </w:tcMar>
            <w:vAlign w:val="center"/>
          </w:tcPr>
          <w:p>
            <w:pPr>
              <w:spacing w:before="0" w:after="0" w:line="240" w:lineRule="auto"/>
            </w:pPr>
            <w:r>
              <w:rPr>
                <w:sz w:val="15"/>
              </w:rPr>
              <w:t>Optimistic-concurrency conflict.</w:t>
            </w:r>
          </w:p>
        </w:tc>
      </w:tr>
      <w:tr>
        <w:tc>
          <w:tcPr>
            <w:tcW w:type="dxa" w:w="3888"/>
            <w:tcMar>
              <w:top w:w="70" w:type="dxa"/>
              <w:left w:w="80" w:type="dxa"/>
              <w:bottom w:w="70" w:type="dxa"/>
              <w:right w:w="80" w:type="dxa"/>
            </w:tcMar>
            <w:vAlign w:val="center"/>
          </w:tcPr>
          <w:p>
            <w:pPr>
              <w:spacing w:before="0" w:after="0" w:line="240" w:lineRule="auto"/>
            </w:pPr>
            <w:r>
              <w:rPr>
                <w:sz w:val="15"/>
              </w:rPr>
              <w:t>INVALID_STATE_TRANSITION</w:t>
            </w:r>
          </w:p>
        </w:tc>
        <w:tc>
          <w:tcPr>
            <w:tcW w:type="dxa" w:w="892"/>
            <w:tcMar>
              <w:top w:w="70" w:type="dxa"/>
              <w:left w:w="80" w:type="dxa"/>
              <w:bottom w:w="70" w:type="dxa"/>
              <w:right w:w="80" w:type="dxa"/>
            </w:tcMar>
            <w:vAlign w:val="center"/>
          </w:tcPr>
          <w:p>
            <w:pPr>
              <w:spacing w:before="0" w:after="0" w:line="240" w:lineRule="auto"/>
              <w:jc w:val="center"/>
            </w:pPr>
            <w:r>
              <w:rPr>
                <w:sz w:val="15"/>
              </w:rPr>
              <w:t>409</w:t>
            </w:r>
          </w:p>
        </w:tc>
        <w:tc>
          <w:tcPr>
            <w:tcW w:type="dxa" w:w="4219"/>
            <w:tcMar>
              <w:top w:w="70" w:type="dxa"/>
              <w:left w:w="80" w:type="dxa"/>
              <w:bottom w:w="70" w:type="dxa"/>
              <w:right w:w="80" w:type="dxa"/>
            </w:tcMar>
            <w:vAlign w:val="center"/>
          </w:tcPr>
          <w:p>
            <w:pPr>
              <w:spacing w:before="0" w:after="0" w:line="240" w:lineRule="auto"/>
            </w:pPr>
            <w:r>
              <w:rPr>
                <w:sz w:val="15"/>
              </w:rPr>
              <w:t>Aggregate state does not allow transition.</w:t>
            </w:r>
          </w:p>
        </w:tc>
      </w:tr>
      <w:tr>
        <w:tc>
          <w:tcPr>
            <w:tcW w:type="dxa" w:w="3888"/>
            <w:tcMar>
              <w:top w:w="70" w:type="dxa"/>
              <w:left w:w="80" w:type="dxa"/>
              <w:bottom w:w="70" w:type="dxa"/>
              <w:right w:w="80" w:type="dxa"/>
            </w:tcMar>
            <w:vAlign w:val="center"/>
          </w:tcPr>
          <w:p>
            <w:pPr>
              <w:spacing w:before="0" w:after="0" w:line="240" w:lineRule="auto"/>
            </w:pPr>
            <w:r>
              <w:rPr>
                <w:sz w:val="15"/>
              </w:rPr>
              <w:t>ENTITLEMENT_NOT_AVAILABLE</w:t>
            </w:r>
          </w:p>
        </w:tc>
        <w:tc>
          <w:tcPr>
            <w:tcW w:type="dxa" w:w="892"/>
            <w:tcMar>
              <w:top w:w="70" w:type="dxa"/>
              <w:left w:w="80" w:type="dxa"/>
              <w:bottom w:w="70" w:type="dxa"/>
              <w:right w:w="80" w:type="dxa"/>
            </w:tcMar>
            <w:vAlign w:val="center"/>
          </w:tcPr>
          <w:p>
            <w:pPr>
              <w:spacing w:before="0" w:after="0" w:line="240" w:lineRule="auto"/>
              <w:jc w:val="center"/>
            </w:pPr>
            <w:r>
              <w:rPr>
                <w:sz w:val="15"/>
              </w:rPr>
              <w:t>409</w:t>
            </w:r>
          </w:p>
        </w:tc>
        <w:tc>
          <w:tcPr>
            <w:tcW w:type="dxa" w:w="4219"/>
            <w:tcMar>
              <w:top w:w="70" w:type="dxa"/>
              <w:left w:w="80" w:type="dxa"/>
              <w:bottom w:w="70" w:type="dxa"/>
              <w:right w:w="80" w:type="dxa"/>
            </w:tcMar>
            <w:vAlign w:val="center"/>
          </w:tcPr>
          <w:p>
            <w:pPr>
              <w:spacing w:before="0" w:after="0" w:line="240" w:lineRule="auto"/>
            </w:pPr>
            <w:r>
              <w:rPr>
                <w:sz w:val="15"/>
              </w:rPr>
              <w:t>No usable entitlement.</w:t>
            </w:r>
          </w:p>
        </w:tc>
      </w:tr>
      <w:tr>
        <w:tc>
          <w:tcPr>
            <w:tcW w:type="dxa" w:w="3888"/>
            <w:tcMar>
              <w:top w:w="70" w:type="dxa"/>
              <w:left w:w="80" w:type="dxa"/>
              <w:bottom w:w="70" w:type="dxa"/>
              <w:right w:w="80" w:type="dxa"/>
            </w:tcMar>
            <w:vAlign w:val="center"/>
          </w:tcPr>
          <w:p>
            <w:pPr>
              <w:spacing w:before="0" w:after="0" w:line="240" w:lineRule="auto"/>
            </w:pPr>
            <w:r>
              <w:rPr>
                <w:sz w:val="15"/>
              </w:rPr>
              <w:t>ENTITLEMENT_RESERVATION_CONFLICT</w:t>
            </w:r>
          </w:p>
        </w:tc>
        <w:tc>
          <w:tcPr>
            <w:tcW w:type="dxa" w:w="892"/>
            <w:tcMar>
              <w:top w:w="70" w:type="dxa"/>
              <w:left w:w="80" w:type="dxa"/>
              <w:bottom w:w="70" w:type="dxa"/>
              <w:right w:w="80" w:type="dxa"/>
            </w:tcMar>
            <w:vAlign w:val="center"/>
          </w:tcPr>
          <w:p>
            <w:pPr>
              <w:spacing w:before="0" w:after="0" w:line="240" w:lineRule="auto"/>
              <w:jc w:val="center"/>
            </w:pPr>
            <w:r>
              <w:rPr>
                <w:sz w:val="15"/>
              </w:rPr>
              <w:t>409</w:t>
            </w:r>
          </w:p>
        </w:tc>
        <w:tc>
          <w:tcPr>
            <w:tcW w:type="dxa" w:w="4219"/>
            <w:tcMar>
              <w:top w:w="70" w:type="dxa"/>
              <w:left w:w="80" w:type="dxa"/>
              <w:bottom w:w="70" w:type="dxa"/>
              <w:right w:w="80" w:type="dxa"/>
            </w:tcMar>
            <w:vAlign w:val="center"/>
          </w:tcPr>
          <w:p>
            <w:pPr>
              <w:spacing w:before="0" w:after="0" w:line="240" w:lineRule="auto"/>
            </w:pPr>
            <w:r>
              <w:rPr>
                <w:sz w:val="15"/>
              </w:rPr>
              <w:t>Grant is reserved/consumed elsewhere.</w:t>
            </w:r>
          </w:p>
        </w:tc>
      </w:tr>
      <w:tr>
        <w:tc>
          <w:tcPr>
            <w:tcW w:type="dxa" w:w="3888"/>
            <w:tcMar>
              <w:top w:w="70" w:type="dxa"/>
              <w:left w:w="80" w:type="dxa"/>
              <w:bottom w:w="70" w:type="dxa"/>
              <w:right w:w="80" w:type="dxa"/>
            </w:tcMar>
            <w:vAlign w:val="center"/>
          </w:tcPr>
          <w:p>
            <w:pPr>
              <w:spacing w:before="0" w:after="0" w:line="240" w:lineRule="auto"/>
            </w:pPr>
            <w:r>
              <w:rPr>
                <w:sz w:val="15"/>
              </w:rPr>
              <w:t>CAPACITY_UNAVAILABLE</w:t>
            </w:r>
          </w:p>
        </w:tc>
        <w:tc>
          <w:tcPr>
            <w:tcW w:type="dxa" w:w="892"/>
            <w:tcMar>
              <w:top w:w="70" w:type="dxa"/>
              <w:left w:w="80" w:type="dxa"/>
              <w:bottom w:w="70" w:type="dxa"/>
              <w:right w:w="80" w:type="dxa"/>
            </w:tcMar>
            <w:vAlign w:val="center"/>
          </w:tcPr>
          <w:p>
            <w:pPr>
              <w:spacing w:before="0" w:after="0" w:line="240" w:lineRule="auto"/>
              <w:jc w:val="center"/>
            </w:pPr>
            <w:r>
              <w:rPr>
                <w:sz w:val="15"/>
              </w:rPr>
              <w:t>409</w:t>
            </w:r>
          </w:p>
        </w:tc>
        <w:tc>
          <w:tcPr>
            <w:tcW w:type="dxa" w:w="4219"/>
            <w:tcMar>
              <w:top w:w="70" w:type="dxa"/>
              <w:left w:w="80" w:type="dxa"/>
              <w:bottom w:w="70" w:type="dxa"/>
              <w:right w:w="80" w:type="dxa"/>
            </w:tcMar>
            <w:vAlign w:val="center"/>
          </w:tcPr>
          <w:p>
            <w:pPr>
              <w:spacing w:before="0" w:after="0" w:line="240" w:lineRule="auto"/>
            </w:pPr>
            <w:r>
              <w:rPr>
                <w:sz w:val="15"/>
              </w:rPr>
              <w:t>Schedule capacity exhausted.</w:t>
            </w:r>
          </w:p>
        </w:tc>
      </w:tr>
      <w:tr>
        <w:tc>
          <w:tcPr>
            <w:tcW w:type="dxa" w:w="3888"/>
            <w:tcMar>
              <w:top w:w="70" w:type="dxa"/>
              <w:left w:w="80" w:type="dxa"/>
              <w:bottom w:w="70" w:type="dxa"/>
              <w:right w:w="80" w:type="dxa"/>
            </w:tcMar>
            <w:vAlign w:val="center"/>
          </w:tcPr>
          <w:p>
            <w:pPr>
              <w:spacing w:before="0" w:after="0" w:line="240" w:lineRule="auto"/>
            </w:pPr>
            <w:r>
              <w:rPr>
                <w:sz w:val="15"/>
              </w:rPr>
              <w:t>PAYMENT_PROVIDER_PENDING</w:t>
            </w:r>
          </w:p>
        </w:tc>
        <w:tc>
          <w:tcPr>
            <w:tcW w:type="dxa" w:w="892"/>
            <w:tcMar>
              <w:top w:w="70" w:type="dxa"/>
              <w:left w:w="80" w:type="dxa"/>
              <w:bottom w:w="70" w:type="dxa"/>
              <w:right w:w="80" w:type="dxa"/>
            </w:tcMar>
            <w:vAlign w:val="center"/>
          </w:tcPr>
          <w:p>
            <w:pPr>
              <w:spacing w:before="0" w:after="0" w:line="240" w:lineRule="auto"/>
              <w:jc w:val="center"/>
            </w:pPr>
            <w:r>
              <w:rPr>
                <w:sz w:val="15"/>
              </w:rPr>
              <w:t>202</w:t>
            </w:r>
          </w:p>
        </w:tc>
        <w:tc>
          <w:tcPr>
            <w:tcW w:type="dxa" w:w="4219"/>
            <w:tcMar>
              <w:top w:w="70" w:type="dxa"/>
              <w:left w:w="80" w:type="dxa"/>
              <w:bottom w:w="70" w:type="dxa"/>
              <w:right w:w="80" w:type="dxa"/>
            </w:tcMar>
            <w:vAlign w:val="center"/>
          </w:tcPr>
          <w:p>
            <w:pPr>
              <w:spacing w:before="0" w:after="0" w:line="240" w:lineRule="auto"/>
            </w:pPr>
            <w:r>
              <w:rPr>
                <w:sz w:val="15"/>
              </w:rPr>
              <w:t>Provider outcome not final.</w:t>
            </w:r>
          </w:p>
        </w:tc>
      </w:tr>
      <w:tr>
        <w:tc>
          <w:tcPr>
            <w:tcW w:type="dxa" w:w="3888"/>
            <w:tcMar>
              <w:top w:w="70" w:type="dxa"/>
              <w:left w:w="80" w:type="dxa"/>
              <w:bottom w:w="70" w:type="dxa"/>
              <w:right w:w="80" w:type="dxa"/>
            </w:tcMar>
            <w:vAlign w:val="center"/>
          </w:tcPr>
          <w:p>
            <w:pPr>
              <w:spacing w:before="0" w:after="0" w:line="240" w:lineRule="auto"/>
            </w:pPr>
            <w:r>
              <w:rPr>
                <w:sz w:val="15"/>
              </w:rPr>
              <w:t>PAYMENT_FAILED</w:t>
            </w:r>
          </w:p>
        </w:tc>
        <w:tc>
          <w:tcPr>
            <w:tcW w:type="dxa" w:w="892"/>
            <w:tcMar>
              <w:top w:w="70" w:type="dxa"/>
              <w:left w:w="80" w:type="dxa"/>
              <w:bottom w:w="70" w:type="dxa"/>
              <w:right w:w="80" w:type="dxa"/>
            </w:tcMar>
            <w:vAlign w:val="center"/>
          </w:tcPr>
          <w:p>
            <w:pPr>
              <w:spacing w:before="0" w:after="0" w:line="240" w:lineRule="auto"/>
              <w:jc w:val="center"/>
            </w:pPr>
            <w:r>
              <w:rPr>
                <w:sz w:val="15"/>
              </w:rPr>
              <w:t>402</w:t>
            </w:r>
          </w:p>
        </w:tc>
        <w:tc>
          <w:tcPr>
            <w:tcW w:type="dxa" w:w="4219"/>
            <w:tcMar>
              <w:top w:w="70" w:type="dxa"/>
              <w:left w:w="80" w:type="dxa"/>
              <w:bottom w:w="70" w:type="dxa"/>
              <w:right w:w="80" w:type="dxa"/>
            </w:tcMar>
            <w:vAlign w:val="center"/>
          </w:tcPr>
          <w:p>
            <w:pPr>
              <w:spacing w:before="0" w:after="0" w:line="240" w:lineRule="auto"/>
            </w:pPr>
            <w:r>
              <w:rPr>
                <w:sz w:val="15"/>
              </w:rPr>
              <w:t>Provider or instrument failure.</w:t>
            </w:r>
          </w:p>
        </w:tc>
      </w:tr>
      <w:tr>
        <w:tc>
          <w:tcPr>
            <w:tcW w:type="dxa" w:w="3888"/>
            <w:tcMar>
              <w:top w:w="70" w:type="dxa"/>
              <w:left w:w="80" w:type="dxa"/>
              <w:bottom w:w="70" w:type="dxa"/>
              <w:right w:w="80" w:type="dxa"/>
            </w:tcMar>
            <w:vAlign w:val="center"/>
          </w:tcPr>
          <w:p>
            <w:pPr>
              <w:spacing w:before="0" w:after="0" w:line="240" w:lineRule="auto"/>
            </w:pPr>
            <w:r>
              <w:rPr>
                <w:sz w:val="15"/>
              </w:rPr>
              <w:t>FISCALIZATION_UNAVAILABLE</w:t>
            </w:r>
          </w:p>
        </w:tc>
        <w:tc>
          <w:tcPr>
            <w:tcW w:type="dxa" w:w="892"/>
            <w:tcMar>
              <w:top w:w="70" w:type="dxa"/>
              <w:left w:w="80" w:type="dxa"/>
              <w:bottom w:w="70" w:type="dxa"/>
              <w:right w:w="80" w:type="dxa"/>
            </w:tcMar>
            <w:vAlign w:val="center"/>
          </w:tcPr>
          <w:p>
            <w:pPr>
              <w:spacing w:before="0" w:after="0" w:line="240" w:lineRule="auto"/>
              <w:jc w:val="center"/>
            </w:pPr>
            <w:r>
              <w:rPr>
                <w:sz w:val="15"/>
              </w:rPr>
              <w:t>503</w:t>
            </w:r>
          </w:p>
        </w:tc>
        <w:tc>
          <w:tcPr>
            <w:tcW w:type="dxa" w:w="4219"/>
            <w:tcMar>
              <w:top w:w="70" w:type="dxa"/>
              <w:left w:w="80" w:type="dxa"/>
              <w:bottom w:w="70" w:type="dxa"/>
              <w:right w:w="80" w:type="dxa"/>
            </w:tcMar>
            <w:vAlign w:val="center"/>
          </w:tcPr>
          <w:p>
            <w:pPr>
              <w:spacing w:before="0" w:after="0" w:line="240" w:lineRule="auto"/>
            </w:pPr>
            <w:r>
              <w:rPr>
                <w:sz w:val="15"/>
              </w:rPr>
              <w:t>Required fiscal provider unavailable.</w:t>
            </w:r>
          </w:p>
        </w:tc>
      </w:tr>
      <w:tr>
        <w:tc>
          <w:tcPr>
            <w:tcW w:type="dxa" w:w="3888"/>
            <w:tcMar>
              <w:top w:w="70" w:type="dxa"/>
              <w:left w:w="80" w:type="dxa"/>
              <w:bottom w:w="70" w:type="dxa"/>
              <w:right w:w="80" w:type="dxa"/>
            </w:tcMar>
            <w:vAlign w:val="center"/>
          </w:tcPr>
          <w:p>
            <w:pPr>
              <w:spacing w:before="0" w:after="0" w:line="240" w:lineRule="auto"/>
            </w:pPr>
            <w:r>
              <w:rPr>
                <w:sz w:val="15"/>
              </w:rPr>
              <w:t>OFFLINE_OPERATION_NOT_ALLOWED</w:t>
            </w:r>
          </w:p>
        </w:tc>
        <w:tc>
          <w:tcPr>
            <w:tcW w:type="dxa" w:w="892"/>
            <w:tcMar>
              <w:top w:w="70" w:type="dxa"/>
              <w:left w:w="80" w:type="dxa"/>
              <w:bottom w:w="70" w:type="dxa"/>
              <w:right w:w="80" w:type="dxa"/>
            </w:tcMar>
            <w:vAlign w:val="center"/>
          </w:tcPr>
          <w:p>
            <w:pPr>
              <w:spacing w:before="0" w:after="0" w:line="240" w:lineRule="auto"/>
              <w:jc w:val="center"/>
            </w:pPr>
            <w:r>
              <w:rPr>
                <w:sz w:val="15"/>
              </w:rPr>
              <w:t>409</w:t>
            </w:r>
          </w:p>
        </w:tc>
        <w:tc>
          <w:tcPr>
            <w:tcW w:type="dxa" w:w="4219"/>
            <w:tcMar>
              <w:top w:w="70" w:type="dxa"/>
              <w:left w:w="80" w:type="dxa"/>
              <w:bottom w:w="70" w:type="dxa"/>
              <w:right w:w="80" w:type="dxa"/>
            </w:tcMar>
            <w:vAlign w:val="center"/>
          </w:tcPr>
          <w:p>
            <w:pPr>
              <w:spacing w:before="0" w:after="0" w:line="240" w:lineRule="auto"/>
            </w:pPr>
            <w:r>
              <w:rPr>
                <w:sz w:val="15"/>
              </w:rPr>
              <w:t>Operation cannot legally/safely complete offline.</w:t>
            </w:r>
          </w:p>
        </w:tc>
      </w:tr>
      <w:tr>
        <w:tc>
          <w:tcPr>
            <w:tcW w:type="dxa" w:w="3888"/>
            <w:tcMar>
              <w:top w:w="70" w:type="dxa"/>
              <w:left w:w="80" w:type="dxa"/>
              <w:bottom w:w="70" w:type="dxa"/>
              <w:right w:w="80" w:type="dxa"/>
            </w:tcMar>
            <w:vAlign w:val="center"/>
          </w:tcPr>
          <w:p>
            <w:pPr>
              <w:spacing w:before="0" w:after="0" w:line="240" w:lineRule="auto"/>
            </w:pPr>
            <w:r>
              <w:rPr>
                <w:sz w:val="15"/>
              </w:rPr>
              <w:t>ACCESS_DENIED</w:t>
            </w:r>
          </w:p>
        </w:tc>
        <w:tc>
          <w:tcPr>
            <w:tcW w:type="dxa" w:w="892"/>
            <w:tcMar>
              <w:top w:w="70" w:type="dxa"/>
              <w:left w:w="80" w:type="dxa"/>
              <w:bottom w:w="70" w:type="dxa"/>
              <w:right w:w="80" w:type="dxa"/>
            </w:tcMar>
            <w:vAlign w:val="center"/>
          </w:tcPr>
          <w:p>
            <w:pPr>
              <w:spacing w:before="0" w:after="0" w:line="240" w:lineRule="auto"/>
              <w:jc w:val="center"/>
            </w:pPr>
            <w:r>
              <w:rPr>
                <w:sz w:val="15"/>
              </w:rPr>
              <w:t>403</w:t>
            </w:r>
          </w:p>
        </w:tc>
        <w:tc>
          <w:tcPr>
            <w:tcW w:type="dxa" w:w="4219"/>
            <w:tcMar>
              <w:top w:w="70" w:type="dxa"/>
              <w:left w:w="80" w:type="dxa"/>
              <w:bottom w:w="70" w:type="dxa"/>
              <w:right w:w="80" w:type="dxa"/>
            </w:tcMar>
            <w:vAlign w:val="center"/>
          </w:tcPr>
          <w:p>
            <w:pPr>
              <w:spacing w:before="0" w:after="0" w:line="240" w:lineRule="auto"/>
            </w:pPr>
            <w:r>
              <w:rPr>
                <w:sz w:val="15"/>
              </w:rPr>
              <w:t>Policy/entitlement decision denied.</w:t>
            </w:r>
          </w:p>
        </w:tc>
      </w:tr>
      <w:tr>
        <w:tc>
          <w:tcPr>
            <w:tcW w:type="dxa" w:w="3888"/>
            <w:tcMar>
              <w:top w:w="70" w:type="dxa"/>
              <w:left w:w="80" w:type="dxa"/>
              <w:bottom w:w="70" w:type="dxa"/>
              <w:right w:w="80" w:type="dxa"/>
            </w:tcMar>
            <w:vAlign w:val="center"/>
          </w:tcPr>
          <w:p>
            <w:pPr>
              <w:spacing w:before="0" w:after="0" w:line="240" w:lineRule="auto"/>
            </w:pPr>
            <w:r>
              <w:rPr>
                <w:sz w:val="15"/>
              </w:rPr>
              <w:t>ACCESS_SNAPSHOT_STALE</w:t>
            </w:r>
          </w:p>
        </w:tc>
        <w:tc>
          <w:tcPr>
            <w:tcW w:type="dxa" w:w="892"/>
            <w:tcMar>
              <w:top w:w="70" w:type="dxa"/>
              <w:left w:w="80" w:type="dxa"/>
              <w:bottom w:w="70" w:type="dxa"/>
              <w:right w:w="80" w:type="dxa"/>
            </w:tcMar>
            <w:vAlign w:val="center"/>
          </w:tcPr>
          <w:p>
            <w:pPr>
              <w:spacing w:before="0" w:after="0" w:line="240" w:lineRule="auto"/>
              <w:jc w:val="center"/>
            </w:pPr>
            <w:r>
              <w:rPr>
                <w:sz w:val="15"/>
              </w:rPr>
              <w:t>503</w:t>
            </w:r>
          </w:p>
        </w:tc>
        <w:tc>
          <w:tcPr>
            <w:tcW w:type="dxa" w:w="4219"/>
            <w:tcMar>
              <w:top w:w="70" w:type="dxa"/>
              <w:left w:w="80" w:type="dxa"/>
              <w:bottom w:w="70" w:type="dxa"/>
              <w:right w:w="80" w:type="dxa"/>
            </w:tcMar>
            <w:vAlign w:val="center"/>
          </w:tcPr>
          <w:p>
            <w:pPr>
              <w:spacing w:before="0" w:after="0" w:line="240" w:lineRule="auto"/>
            </w:pPr>
            <w:r>
              <w:rPr>
                <w:sz w:val="15"/>
              </w:rPr>
              <w:t>Offline snapshot beyond permitted age.</w:t>
            </w:r>
          </w:p>
        </w:tc>
      </w:tr>
      <w:tr>
        <w:tc>
          <w:tcPr>
            <w:tcW w:type="dxa" w:w="3888"/>
            <w:tcMar>
              <w:top w:w="70" w:type="dxa"/>
              <w:left w:w="80" w:type="dxa"/>
              <w:bottom w:w="70" w:type="dxa"/>
              <w:right w:w="80" w:type="dxa"/>
            </w:tcMar>
            <w:vAlign w:val="center"/>
          </w:tcPr>
          <w:p>
            <w:pPr>
              <w:spacing w:before="0" w:after="0" w:line="240" w:lineRule="auto"/>
            </w:pPr>
            <w:r>
              <w:rPr>
                <w:sz w:val="15"/>
              </w:rPr>
              <w:t>CONSENT_REQUIRED</w:t>
            </w:r>
          </w:p>
        </w:tc>
        <w:tc>
          <w:tcPr>
            <w:tcW w:type="dxa" w:w="892"/>
            <w:tcMar>
              <w:top w:w="70" w:type="dxa"/>
              <w:left w:w="80" w:type="dxa"/>
              <w:bottom w:w="70" w:type="dxa"/>
              <w:right w:w="80" w:type="dxa"/>
            </w:tcMar>
            <w:vAlign w:val="center"/>
          </w:tcPr>
          <w:p>
            <w:pPr>
              <w:spacing w:before="0" w:after="0" w:line="240" w:lineRule="auto"/>
              <w:jc w:val="center"/>
            </w:pPr>
            <w:r>
              <w:rPr>
                <w:sz w:val="15"/>
              </w:rPr>
              <w:t>409</w:t>
            </w:r>
          </w:p>
        </w:tc>
        <w:tc>
          <w:tcPr>
            <w:tcW w:type="dxa" w:w="4219"/>
            <w:tcMar>
              <w:top w:w="70" w:type="dxa"/>
              <w:left w:w="80" w:type="dxa"/>
              <w:bottom w:w="70" w:type="dxa"/>
              <w:right w:w="80" w:type="dxa"/>
            </w:tcMar>
            <w:vAlign w:val="center"/>
          </w:tcPr>
          <w:p>
            <w:pPr>
              <w:spacing w:before="0" w:after="0" w:line="240" w:lineRule="auto"/>
            </w:pPr>
            <w:r>
              <w:rPr>
                <w:sz w:val="15"/>
              </w:rPr>
              <w:t>Required consent missing/expired.</w:t>
            </w:r>
          </w:p>
        </w:tc>
      </w:tr>
      <w:tr>
        <w:tc>
          <w:tcPr>
            <w:tcW w:type="dxa" w:w="3888"/>
            <w:tcMar>
              <w:top w:w="70" w:type="dxa"/>
              <w:left w:w="80" w:type="dxa"/>
              <w:bottom w:w="70" w:type="dxa"/>
              <w:right w:w="80" w:type="dxa"/>
            </w:tcMar>
            <w:vAlign w:val="center"/>
          </w:tcPr>
          <w:p>
            <w:pPr>
              <w:spacing w:before="0" w:after="0" w:line="240" w:lineRule="auto"/>
            </w:pPr>
            <w:r>
              <w:rPr>
                <w:sz w:val="15"/>
              </w:rPr>
              <w:t>DATA_RESTRICTED</w:t>
            </w:r>
          </w:p>
        </w:tc>
        <w:tc>
          <w:tcPr>
            <w:tcW w:type="dxa" w:w="892"/>
            <w:tcMar>
              <w:top w:w="70" w:type="dxa"/>
              <w:left w:w="80" w:type="dxa"/>
              <w:bottom w:w="70" w:type="dxa"/>
              <w:right w:w="80" w:type="dxa"/>
            </w:tcMar>
            <w:vAlign w:val="center"/>
          </w:tcPr>
          <w:p>
            <w:pPr>
              <w:spacing w:before="0" w:after="0" w:line="240" w:lineRule="auto"/>
              <w:jc w:val="center"/>
            </w:pPr>
            <w:r>
              <w:rPr>
                <w:sz w:val="15"/>
              </w:rPr>
              <w:t>403</w:t>
            </w:r>
          </w:p>
        </w:tc>
        <w:tc>
          <w:tcPr>
            <w:tcW w:type="dxa" w:w="4219"/>
            <w:tcMar>
              <w:top w:w="70" w:type="dxa"/>
              <w:left w:w="80" w:type="dxa"/>
              <w:bottom w:w="70" w:type="dxa"/>
              <w:right w:w="80" w:type="dxa"/>
            </w:tcMar>
            <w:vAlign w:val="center"/>
          </w:tcPr>
          <w:p>
            <w:pPr>
              <w:spacing w:before="0" w:after="0" w:line="240" w:lineRule="auto"/>
            </w:pPr>
            <w:r>
              <w:rPr>
                <w:sz w:val="15"/>
              </w:rPr>
              <w:t>Field/resource restricted by privacy policy.</w:t>
            </w:r>
          </w:p>
        </w:tc>
      </w:tr>
      <w:tr>
        <w:tc>
          <w:tcPr>
            <w:tcW w:type="dxa" w:w="3888"/>
            <w:tcMar>
              <w:top w:w="70" w:type="dxa"/>
              <w:left w:w="80" w:type="dxa"/>
              <w:bottom w:w="70" w:type="dxa"/>
              <w:right w:w="80" w:type="dxa"/>
            </w:tcMar>
            <w:vAlign w:val="center"/>
          </w:tcPr>
          <w:p>
            <w:pPr>
              <w:spacing w:before="0" w:after="0" w:line="240" w:lineRule="auto"/>
            </w:pPr>
            <w:r>
              <w:rPr>
                <w:sz w:val="15"/>
              </w:rPr>
              <w:t>RATE_LIMITED</w:t>
            </w:r>
          </w:p>
        </w:tc>
        <w:tc>
          <w:tcPr>
            <w:tcW w:type="dxa" w:w="892"/>
            <w:tcMar>
              <w:top w:w="70" w:type="dxa"/>
              <w:left w:w="80" w:type="dxa"/>
              <w:bottom w:w="70" w:type="dxa"/>
              <w:right w:w="80" w:type="dxa"/>
            </w:tcMar>
            <w:vAlign w:val="center"/>
          </w:tcPr>
          <w:p>
            <w:pPr>
              <w:spacing w:before="0" w:after="0" w:line="240" w:lineRule="auto"/>
              <w:jc w:val="center"/>
            </w:pPr>
            <w:r>
              <w:rPr>
                <w:sz w:val="15"/>
              </w:rPr>
              <w:t>429</w:t>
            </w:r>
          </w:p>
        </w:tc>
        <w:tc>
          <w:tcPr>
            <w:tcW w:type="dxa" w:w="4219"/>
            <w:tcMar>
              <w:top w:w="70" w:type="dxa"/>
              <w:left w:w="80" w:type="dxa"/>
              <w:bottom w:w="70" w:type="dxa"/>
              <w:right w:w="80" w:type="dxa"/>
            </w:tcMar>
            <w:vAlign w:val="center"/>
          </w:tcPr>
          <w:p>
            <w:pPr>
              <w:spacing w:before="0" w:after="0" w:line="240" w:lineRule="auto"/>
            </w:pPr>
            <w:r>
              <w:rPr>
                <w:sz w:val="15"/>
              </w:rPr>
              <w:t>Operation/tenant/user rate limit exceeded.</w:t>
            </w:r>
          </w:p>
        </w:tc>
      </w:tr>
      <w:tr>
        <w:tc>
          <w:tcPr>
            <w:tcW w:type="dxa" w:w="3888"/>
            <w:tcMar>
              <w:top w:w="70" w:type="dxa"/>
              <w:left w:w="80" w:type="dxa"/>
              <w:bottom w:w="70" w:type="dxa"/>
              <w:right w:w="80" w:type="dxa"/>
            </w:tcMar>
            <w:vAlign w:val="center"/>
          </w:tcPr>
          <w:p>
            <w:pPr>
              <w:spacing w:before="0" w:after="0" w:line="240" w:lineRule="auto"/>
            </w:pPr>
            <w:r>
              <w:rPr>
                <w:sz w:val="15"/>
              </w:rPr>
              <w:t>DEPENDENCY_UNAVAILABLE</w:t>
            </w:r>
          </w:p>
        </w:tc>
        <w:tc>
          <w:tcPr>
            <w:tcW w:type="dxa" w:w="892"/>
            <w:tcMar>
              <w:top w:w="70" w:type="dxa"/>
              <w:left w:w="80" w:type="dxa"/>
              <w:bottom w:w="70" w:type="dxa"/>
              <w:right w:w="80" w:type="dxa"/>
            </w:tcMar>
            <w:vAlign w:val="center"/>
          </w:tcPr>
          <w:p>
            <w:pPr>
              <w:spacing w:before="0" w:after="0" w:line="240" w:lineRule="auto"/>
              <w:jc w:val="center"/>
            </w:pPr>
            <w:r>
              <w:rPr>
                <w:sz w:val="15"/>
              </w:rPr>
              <w:t>503</w:t>
            </w:r>
          </w:p>
        </w:tc>
        <w:tc>
          <w:tcPr>
            <w:tcW w:type="dxa" w:w="4219"/>
            <w:tcMar>
              <w:top w:w="70" w:type="dxa"/>
              <w:left w:w="80" w:type="dxa"/>
              <w:bottom w:w="70" w:type="dxa"/>
              <w:right w:w="80" w:type="dxa"/>
            </w:tcMar>
            <w:vAlign w:val="center"/>
          </w:tcPr>
          <w:p>
            <w:pPr>
              <w:spacing w:before="0" w:after="0" w:line="240" w:lineRule="auto"/>
            </w:pPr>
            <w:r>
              <w:rPr>
                <w:sz w:val="15"/>
              </w:rPr>
              <w:t>External/internal dependency unavailable.</w:t>
            </w:r>
          </w:p>
        </w:tc>
      </w:tr>
      <w:tr>
        <w:tc>
          <w:tcPr>
            <w:tcW w:type="dxa" w:w="3888"/>
            <w:tcMar>
              <w:top w:w="70" w:type="dxa"/>
              <w:left w:w="80" w:type="dxa"/>
              <w:bottom w:w="70" w:type="dxa"/>
              <w:right w:w="80" w:type="dxa"/>
            </w:tcMar>
            <w:vAlign w:val="center"/>
          </w:tcPr>
          <w:p>
            <w:pPr>
              <w:spacing w:before="0" w:after="0" w:line="240" w:lineRule="auto"/>
            </w:pPr>
            <w:r>
              <w:rPr>
                <w:sz w:val="15"/>
              </w:rPr>
              <w:t>PROJECTION_STALE</w:t>
            </w:r>
          </w:p>
        </w:tc>
        <w:tc>
          <w:tcPr>
            <w:tcW w:type="dxa" w:w="892"/>
            <w:tcMar>
              <w:top w:w="70" w:type="dxa"/>
              <w:left w:w="80" w:type="dxa"/>
              <w:bottom w:w="70" w:type="dxa"/>
              <w:right w:w="80" w:type="dxa"/>
            </w:tcMar>
            <w:vAlign w:val="center"/>
          </w:tcPr>
          <w:p>
            <w:pPr>
              <w:spacing w:before="0" w:after="0" w:line="240" w:lineRule="auto"/>
              <w:jc w:val="center"/>
            </w:pPr>
            <w:r>
              <w:rPr>
                <w:sz w:val="15"/>
              </w:rPr>
              <w:t>503</w:t>
            </w:r>
          </w:p>
        </w:tc>
        <w:tc>
          <w:tcPr>
            <w:tcW w:type="dxa" w:w="4219"/>
            <w:tcMar>
              <w:top w:w="70" w:type="dxa"/>
              <w:left w:w="80" w:type="dxa"/>
              <w:bottom w:w="70" w:type="dxa"/>
              <w:right w:w="80" w:type="dxa"/>
            </w:tcMar>
            <w:vAlign w:val="center"/>
          </w:tcPr>
          <w:p>
            <w:pPr>
              <w:spacing w:before="0" w:after="0" w:line="240" w:lineRule="auto"/>
            </w:pPr>
            <w:r>
              <w:rPr>
                <w:sz w:val="15"/>
              </w:rPr>
              <w:t>Read model too stale to authorize consequence-bearing action.</w:t>
            </w:r>
          </w:p>
        </w:tc>
      </w:tr>
      <w:tr>
        <w:tc>
          <w:tcPr>
            <w:tcW w:type="dxa" w:w="3888"/>
            <w:tcMar>
              <w:top w:w="70" w:type="dxa"/>
              <w:left w:w="80" w:type="dxa"/>
              <w:bottom w:w="70" w:type="dxa"/>
              <w:right w:w="80" w:type="dxa"/>
            </w:tcMar>
            <w:vAlign w:val="center"/>
          </w:tcPr>
          <w:p>
            <w:pPr>
              <w:spacing w:before="0" w:after="0" w:line="240" w:lineRule="auto"/>
            </w:pPr>
            <w:r>
              <w:rPr>
                <w:sz w:val="15"/>
              </w:rPr>
              <w:t>VALIDATION_FAILED</w:t>
            </w:r>
          </w:p>
        </w:tc>
        <w:tc>
          <w:tcPr>
            <w:tcW w:type="dxa" w:w="892"/>
            <w:tcMar>
              <w:top w:w="70" w:type="dxa"/>
              <w:left w:w="80" w:type="dxa"/>
              <w:bottom w:w="70" w:type="dxa"/>
              <w:right w:w="80" w:type="dxa"/>
            </w:tcMar>
            <w:vAlign w:val="center"/>
          </w:tcPr>
          <w:p>
            <w:pPr>
              <w:spacing w:before="0" w:after="0" w:line="240" w:lineRule="auto"/>
              <w:jc w:val="center"/>
            </w:pPr>
            <w:r>
              <w:rPr>
                <w:sz w:val="15"/>
              </w:rPr>
              <w:t>422</w:t>
            </w:r>
          </w:p>
        </w:tc>
        <w:tc>
          <w:tcPr>
            <w:tcW w:type="dxa" w:w="4219"/>
            <w:tcMar>
              <w:top w:w="70" w:type="dxa"/>
              <w:left w:w="80" w:type="dxa"/>
              <w:bottom w:w="70" w:type="dxa"/>
              <w:right w:w="80" w:type="dxa"/>
            </w:tcMar>
            <w:vAlign w:val="center"/>
          </w:tcPr>
          <w:p>
            <w:pPr>
              <w:spacing w:before="0" w:after="0" w:line="240" w:lineRule="auto"/>
            </w:pPr>
            <w:r>
              <w:rPr>
                <w:sz w:val="15"/>
              </w:rPr>
              <w:t>Typed field/business validation errors.</w:t>
            </w:r>
          </w:p>
        </w:tc>
      </w:tr>
      <w:tr>
        <w:tc>
          <w:tcPr>
            <w:tcW w:type="dxa" w:w="3888"/>
            <w:tcMar>
              <w:top w:w="70" w:type="dxa"/>
              <w:left w:w="80" w:type="dxa"/>
              <w:bottom w:w="70" w:type="dxa"/>
              <w:right w:w="80" w:type="dxa"/>
            </w:tcMar>
            <w:vAlign w:val="center"/>
          </w:tcPr>
          <w:p>
            <w:pPr>
              <w:spacing w:before="0" w:after="0" w:line="240" w:lineRule="auto"/>
            </w:pPr>
            <w:r>
              <w:rPr>
                <w:sz w:val="15"/>
              </w:rPr>
              <w:t>NOT_FOUND</w:t>
            </w:r>
          </w:p>
        </w:tc>
        <w:tc>
          <w:tcPr>
            <w:tcW w:type="dxa" w:w="892"/>
            <w:tcMar>
              <w:top w:w="70" w:type="dxa"/>
              <w:left w:w="80" w:type="dxa"/>
              <w:bottom w:w="70" w:type="dxa"/>
              <w:right w:w="80" w:type="dxa"/>
            </w:tcMar>
            <w:vAlign w:val="center"/>
          </w:tcPr>
          <w:p>
            <w:pPr>
              <w:spacing w:before="0" w:after="0" w:line="240" w:lineRule="auto"/>
              <w:jc w:val="center"/>
            </w:pPr>
            <w:r>
              <w:rPr>
                <w:sz w:val="15"/>
              </w:rPr>
              <w:t>404</w:t>
            </w:r>
          </w:p>
        </w:tc>
        <w:tc>
          <w:tcPr>
            <w:tcW w:type="dxa" w:w="4219"/>
            <w:tcMar>
              <w:top w:w="70" w:type="dxa"/>
              <w:left w:w="80" w:type="dxa"/>
              <w:bottom w:w="70" w:type="dxa"/>
              <w:right w:w="80" w:type="dxa"/>
            </w:tcMar>
            <w:vAlign w:val="center"/>
          </w:tcPr>
          <w:p>
            <w:pPr>
              <w:spacing w:before="0" w:after="0" w:line="240" w:lineRule="auto"/>
            </w:pPr>
            <w:r>
              <w:rPr>
                <w:sz w:val="15"/>
              </w:rPr>
              <w:t>Resource not visible or not found.</w:t>
            </w:r>
          </w:p>
        </w:tc>
      </w:tr>
      <w:tr>
        <w:tc>
          <w:tcPr>
            <w:tcW w:type="dxa" w:w="3888"/>
            <w:tcMar>
              <w:top w:w="70" w:type="dxa"/>
              <w:left w:w="80" w:type="dxa"/>
              <w:bottom w:w="70" w:type="dxa"/>
              <w:right w:w="80" w:type="dxa"/>
            </w:tcMar>
            <w:vAlign w:val="center"/>
          </w:tcPr>
          <w:p>
            <w:pPr>
              <w:spacing w:before="0" w:after="0" w:line="240" w:lineRule="auto"/>
            </w:pPr>
            <w:r>
              <w:rPr>
                <w:sz w:val="15"/>
              </w:rPr>
              <w:t>CONFLICT_REQUIRES_REVIEW</w:t>
            </w:r>
          </w:p>
        </w:tc>
        <w:tc>
          <w:tcPr>
            <w:tcW w:type="dxa" w:w="892"/>
            <w:tcMar>
              <w:top w:w="70" w:type="dxa"/>
              <w:left w:w="80" w:type="dxa"/>
              <w:bottom w:w="70" w:type="dxa"/>
              <w:right w:w="80" w:type="dxa"/>
            </w:tcMar>
            <w:vAlign w:val="center"/>
          </w:tcPr>
          <w:p>
            <w:pPr>
              <w:spacing w:before="0" w:after="0" w:line="240" w:lineRule="auto"/>
              <w:jc w:val="center"/>
            </w:pPr>
            <w:r>
              <w:rPr>
                <w:sz w:val="15"/>
              </w:rPr>
              <w:t>409</w:t>
            </w:r>
          </w:p>
        </w:tc>
        <w:tc>
          <w:tcPr>
            <w:tcW w:type="dxa" w:w="4219"/>
            <w:tcMar>
              <w:top w:w="70" w:type="dxa"/>
              <w:left w:w="80" w:type="dxa"/>
              <w:bottom w:w="70" w:type="dxa"/>
              <w:right w:w="80" w:type="dxa"/>
            </w:tcMar>
            <w:vAlign w:val="center"/>
          </w:tcPr>
          <w:p>
            <w:pPr>
              <w:spacing w:before="0" w:after="0" w:line="240" w:lineRule="auto"/>
            </w:pPr>
            <w:r>
              <w:rPr>
                <w:sz w:val="15"/>
              </w:rPr>
              <w:t>Offline/import conflict requires human review.</w:t>
            </w:r>
          </w:p>
        </w:tc>
      </w:tr>
    </w:tbl>
    <w:p>
      <w:pPr>
        <w:pStyle w:val="Heading2"/>
      </w:pPr>
      <w:r>
        <w:t>11.6 Masked Field Representation and Cache Safety</w:t>
      </w:r>
    </w:p>
    <w:p>
      <w:pPr>
        <w:pStyle w:val="Bullet1"/>
      </w:pPr>
      <w:r>
        <w:t>ALLOW_MASKED returns the same resource shape but sensitive fields use a typed object {value:null, visibility:"masked", mask_reason:&lt;stable-code&gt;} or a field-level metadata map generated by the BFF. APIs never substitute misleading fake values.</w:t>
      </w:r>
    </w:p>
    <w:p>
      <w:pPr>
        <w:pStyle w:val="Bullet1"/>
      </w:pPr>
      <w:r>
        <w:t>Authorization_variant (full|masked|summary) and policy_version are part of BFF/read-model cache keys. A cache entry created for a masked caller cannot satisfy an unmasked request, and vice versa.</w:t>
      </w:r>
    </w:p>
    <w:p>
      <w:pPr>
        <w:pStyle w:val="Bullet1"/>
      </w:pPr>
      <w:r>
        <w:t>OpenAPI schemas annotate maskable fields and SDKs expose a Masked&lt;T&gt; wrapper for strongly typed clients.</w:t>
      </w:r>
    </w:p>
    <w:p>
      <w:pPr>
        <w:pStyle w:val="Heading2"/>
      </w:pPr>
      <w:r>
        <w:t>11.7 Public Webhook Contract Projection</w:t>
      </w:r>
    </w:p>
    <w:p>
      <w:pPr>
        <w:pStyle w:val="Bullet1"/>
      </w:pPr>
      <w:r>
        <w:t>Public webhooks are a separate versioned contract, not raw internal events. Internal events are projected to stable public event names/payloads after tenant scope, data classification and partner scope filtering.</w:t>
      </w:r>
    </w:p>
    <w:p>
      <w:pPr>
        <w:pStyle w:val="Bullet1"/>
      </w:pPr>
      <w:r>
        <w:t>Webhook payloads include public_event_id, tenant_id, type, occurred_at, resource reference, version and minimal public data. Restricted/health/biometric fields are never exported without an explicit product scope and tenant authorization.</w:t>
      </w:r>
    </w:p>
    <w:p>
      <w:pPr>
        <w:pStyle w:val="Bullet1"/>
      </w:pPr>
      <w:r>
        <w:t>Signing uses rotating asymmetric/HMAC secrets per app, retry uses exponential backoff, and delivery dedupe is keyed by public_event_id + endpoint. Partner replay uses the public event store rather than replaying internal consumers.</w:t>
      </w:r>
    </w:p>
    <w:p>
      <w:pPr>
        <w:pStyle w:val="Heading2"/>
      </w:pPr>
      <w:r>
        <w:t>11.8 UX Screen-to-BFF Contract Manifest</w:t>
      </w:r>
    </w:p>
    <w:p>
      <w:pPr>
        <w:pStyle w:val="Bullet1"/>
      </w:pPr>
      <w:r>
        <w:t>The approved 170-screen registry is integrated through a machine-readable contracts/ui/screen-contracts.yaml artifact rather than duplicated manually in this document. CI requires one row per V1 Screen ID and rejects orphan/missing screens before feature implementation.</w:t>
      </w:r>
    </w:p>
    <w:p>
      <w:pPr>
        <w:pStyle w:val="Bullet1"/>
      </w:pPr>
      <w:r>
        <w:t>Each row declares screen_id, surface, primary_query/read_model, mutation_commands, realtime_topics, required_permissions, masking_variant, offline_behavior and error/state codes. The manifest is generated/validated against the canonical design registry and OpenAPI/AsyncAPI contracts.</w:t>
      </w:r>
    </w:p>
    <w:p>
      <w:pPr>
        <w:pStyle w:val="Bullet1"/>
      </w:pPr>
      <w:r>
        <w:t>Representative bindings: Admin Command Center → /bff/admin/command-center read model + attention/AI action commands; Member 360 → /bff/admin/members/{id}/360; Coach Today → /bff/coach/today; Member Home → /bff/member/home; Front Desk live arrivals → /bff/front-desk/arrivals. Exact Screen IDs remain sourced from the canonical UX registry to prevent hand-maintained drift.</w:t>
      </w:r>
    </w:p>
    <w:p>
      <w:pPr>
        <w:pStyle w:val="Heading1"/>
        <w:keepNext/>
      </w:pPr>
      <w:r>
        <w:t>12. Event Architecture &amp; Asynchronous Processing</w:t>
      </w:r>
    </w:p>
    <w:p>
      <w:pPr>
        <w:spacing w:after="40"/>
        <w:jc w:val="center"/>
      </w:pPr>
      <w:r>
        <w:drawing>
          <wp:inline xmlns:a="http://schemas.openxmlformats.org/drawingml/2006/main" xmlns:pic="http://schemas.openxmlformats.org/drawingml/2006/picture">
            <wp:extent cx="6172200" cy="558361"/>
            <wp:docPr id="2" name="Picture 2" descr="Figure 2. State-to-event consistency and idempotent delivery model." title="Figure 2. State-to-event consistency and idempotent delivery model."/>
            <wp:cNvGraphicFramePr>
              <a:graphicFrameLocks noChangeAspect="1"/>
            </wp:cNvGraphicFramePr>
            <a:graphic>
              <a:graphicData uri="http://schemas.openxmlformats.org/drawingml/2006/picture">
                <pic:pic>
                  <pic:nvPicPr>
                    <pic:cNvPr id="0" name="events.png"/>
                    <pic:cNvPicPr/>
                  </pic:nvPicPr>
                  <pic:blipFill>
                    <a:blip r:embed="rId11"/>
                    <a:stretch>
                      <a:fillRect/>
                    </a:stretch>
                  </pic:blipFill>
                  <pic:spPr>
                    <a:xfrm>
                      <a:off x="0" y="0"/>
                      <a:ext cx="6172200" cy="558361"/>
                    </a:xfrm>
                    <a:prstGeom prst="rect"/>
                  </pic:spPr>
                </pic:pic>
              </a:graphicData>
            </a:graphic>
          </wp:inline>
        </w:drawing>
      </w:r>
    </w:p>
    <w:p>
      <w:pPr>
        <w:spacing w:after="160"/>
        <w:jc w:val="center"/>
      </w:pPr>
      <w:r>
        <w:rPr>
          <w:rFonts w:ascii="Noto Sans" w:hAnsi="Noto Sans"/>
          <w:i/>
          <w:color w:val="5B6773"/>
          <w:sz w:val="17"/>
        </w:rPr>
        <w:t>Figure 2. State-to-event consistency and idempotent delivery model.</w:t>
      </w:r>
    </w:p>
    <w:p>
      <w:pPr>
        <w:pStyle w:val="Heading2"/>
        <w:keepNext/>
      </w:pPr>
      <w:r>
        <w:t>12.1 Canonical Event Envelope</w:t>
      </w:r>
    </w:p>
    <w:tbl>
      <w:tblPr>
        <w:tblStyle w:val="TableGrid"/>
        <w:tblW w:type="dxa" w:w="9684"/>
        <w:tblLayout w:type="autofit"/>
        <w:tblLook w:firstColumn="1" w:firstRow="1" w:lastColumn="0" w:lastRow="0" w:noHBand="0" w:noVBand="1" w:val="04A0"/>
        <w:jc w:val="center"/>
      </w:tblPr>
      <w:tblGrid>
        <w:gridCol w:w="9684"/>
      </w:tblGrid>
      <w:tr>
        <w:trPr>
          <w:cantSplit/>
          <w:tblHeader w:val="true"/>
        </w:trPr>
        <w:tc>
          <w:tcPr>
            <w:tcW w:type="dxa" w:w="9684"/>
            <w:shd w:fill="F7F8FA"/>
            <w:tcMar>
              <w:top w:w="70" w:type="dxa"/>
              <w:start w:w="150" w:type="dxa"/>
              <w:bottom w:w="70" w:type="dxa"/>
              <w:end w:w="150" w:type="dxa"/>
              <w:left w:w="80" w:type="dxa"/>
              <w:right w:w="80" w:type="dxa"/>
            </w:tcMar>
            <w:vAlign w:val="center"/>
          </w:tcPr>
          <w:p>
            <w:pPr>
              <w:spacing w:line="240" w:lineRule="auto" w:after="0"/>
            </w:pPr>
            <w:r>
              <w:rPr>
                <w:rFonts w:ascii="DejaVu Sans Mono" w:hAnsi="DejaVu Sans Mono"/>
                <w:b/>
                <w:color w:val="263238"/>
                <w:sz w:val="16"/>
              </w:rPr>
              <w:t>{</w:t>
              <w:br/>
              <w:t xml:space="preserve">  "event_id": "uuidv7",</w:t>
              <w:br/>
              <w:t xml:space="preserve">  "event_type": "membership.activated",</w:t>
              <w:br/>
              <w:t xml:space="preserve">  "schema_version": 1,</w:t>
              <w:br/>
              <w:t xml:space="preserve">  "occurred_at": "UTC instant",</w:t>
              <w:br/>
              <w:t xml:space="preserve">  "published_at": "UTC instant",</w:t>
              <w:br/>
              <w:t xml:space="preserve">  "tenant_id": "...",</w:t>
              <w:br/>
              <w:t xml:space="preserve">  "organization_id": "...",</w:t>
              <w:br/>
              <w:t xml:space="preserve">  "brand_id": "...",</w:t>
              <w:br/>
              <w:t xml:space="preserve">  "location_id": "...",</w:t>
              <w:br/>
              <w:t xml:space="preserve">  "aggregate_type": "Membership",</w:t>
              <w:br/>
              <w:t xml:space="preserve">  "aggregate_id": "...",</w:t>
              <w:br/>
              <w:t xml:space="preserve">  "aggregate_version": 7,</w:t>
              <w:br/>
              <w:t xml:space="preserve">  "actor": { "type": "user|service|delegated", "id": "...", "assurance": "AAL-2" },</w:t>
              <w:br/>
              <w:t xml:space="preserve">  "correlation_id": "...",</w:t>
              <w:br/>
              <w:t xml:space="preserve">  "causation_id": "...",</w:t>
              <w:br/>
              <w:t xml:space="preserve">  "idempotency_key": "...",</w:t>
              <w:br/>
              <w:t xml:space="preserve">  "classification": "confidential",</w:t>
              <w:br/>
              <w:t xml:space="preserve">  "purpose": "membership_sale",</w:t>
              <w:br/>
              <w:t xml:space="preserve">  "region": "...",</w:t>
              <w:br/>
              <w:t xml:space="preserve">  "payload": { ... }</w:t>
              <w:br/>
              <w:t>}</w:t>
              <w:br/>
            </w:r>
          </w:p>
        </w:tc>
      </w:tr>
    </w:tbl>
    <w:p>
      <w:pPr>
        <w:spacing w:after="40"/>
      </w:pPr>
    </w:p>
    <w:p>
      <w:pPr>
        <w:pStyle w:val="Heading2"/>
        <w:keepNext/>
      </w:pPr>
      <w:r>
        <w:t>12.2 Publication and Consumption</w:t>
      </w:r>
    </w:p>
    <w:p>
      <w:pPr>
        <w:pStyle w:val="Heading3"/>
      </w:pPr>
      <w:r>
        <w:t>Replay and external side-effect safety</w:t>
      </w:r>
    </w:p>
    <w:p>
      <w:pPr>
        <w:pStyle w:val="Bullet1"/>
      </w:pPr>
      <w:r>
        <w:t>Consumers declare one of REPLAY_SAFE_PURE, REPLAY_SAFE_DEDUPED_SIDE_EFFECT or REPLAY_FORBIDDEN. Replays default to side_effects=suppressed unless an incident commander authorizes a specific deduped side-effect class.</w:t>
      </w:r>
    </w:p>
    <w:p>
      <w:pPr>
        <w:pStyle w:val="Bullet1"/>
      </w:pPr>
      <w:r>
        <w:t>Messaging/payment/tax/device dispatch writes a DispatchGuard row before provider invocation using unique (tenant_id, event_id, channel/action, recipient/resource). Provider callbacks reconcile the same dispatch record; a replay cannot create a second provider action.</w:t>
      </w:r>
    </w:p>
    <w:p>
      <w:pPr>
        <w:pStyle w:val="Bullet1"/>
      </w:pPr>
      <w:r>
        <w:t>Projection consumers may replay freely into empty/rebuild stores. Authorization decisions never rely on a projection whose freshness exceeds its declared budget.</w:t>
      </w:r>
    </w:p>
    <w:p>
      <w:pPr>
        <w:pStyle w:val="Bullet1"/>
        <w:spacing w:after="80" w:line="252" w:lineRule="auto"/>
      </w:pPr>
      <w:r>
        <w:rPr>
          <w:rFonts w:ascii="Noto Sans" w:hAnsi="Noto Sans"/>
        </w:rPr>
        <w:t>A domain transaction writes aggregate changes and one or more outbox records in the same PostgreSQL transaction.</w:t>
      </w:r>
    </w:p>
    <w:p>
      <w:pPr>
        <w:pStyle w:val="Bullet1"/>
        <w:spacing w:after="80" w:line="252" w:lineRule="auto"/>
      </w:pPr>
      <w:r>
        <w:rPr>
          <w:rFonts w:ascii="Noto Sans" w:hAnsi="Noto Sans"/>
        </w:rPr>
        <w:t>Outbox relay publishes to a domain topic/stream. Publication retries are safe; outbox rows record broker acknowledgement.</w:t>
      </w:r>
    </w:p>
    <w:p>
      <w:pPr>
        <w:pStyle w:val="Bullet1"/>
        <w:spacing w:after="80" w:line="252" w:lineRule="auto"/>
      </w:pPr>
      <w:r>
        <w:rPr>
          <w:rFonts w:ascii="Noto Sans" w:hAnsi="Noto Sans"/>
        </w:rPr>
        <w:t>Consumers keep an inbox/deduplication record keyed by event_id and process idempotently.</w:t>
      </w:r>
    </w:p>
    <w:p>
      <w:pPr>
        <w:pStyle w:val="Bullet1"/>
        <w:spacing w:after="80" w:line="252" w:lineRule="auto"/>
      </w:pPr>
      <w:r>
        <w:rPr>
          <w:rFonts w:ascii="Noto Sans" w:hAnsi="Noto Sans"/>
        </w:rPr>
        <w:t>Poison events move to DLQ after bounded retries and create an operational case with tenant impact and replay guidance.</w:t>
      </w:r>
    </w:p>
    <w:p>
      <w:pPr>
        <w:pStyle w:val="Bullet1"/>
        <w:spacing w:after="80" w:line="252" w:lineRule="auto"/>
      </w:pPr>
      <w:r>
        <w:rPr>
          <w:rFonts w:ascii="Noto Sans" w:hAnsi="Noto Sans"/>
        </w:rPr>
        <w:t>Schema compatibility is enforced in CI. Additive changes are preferred; breaking changes use a new event schema version and dual-publish/migration window.</w:t>
      </w:r>
    </w:p>
    <w:p>
      <w:pPr>
        <w:pStyle w:val="Bullet1"/>
        <w:spacing w:after="80" w:line="252" w:lineRule="auto"/>
      </w:pPr>
      <w:r>
        <w:rPr>
          <w:rFonts w:ascii="Noto Sans" w:hAnsi="Noto Sans"/>
        </w:rPr>
        <w:t>PII is minimized in events. Consumers retrieve restricted detail through authorized domain APIs rather than copying sensitive payloads broadly.</w:t>
      </w:r>
    </w:p>
    <w:p>
      <w:pPr>
        <w:pStyle w:val="Bullet1"/>
        <w:spacing w:after="80" w:line="252" w:lineRule="auto"/>
      </w:pPr>
      <w:r>
        <w:rPr>
          <w:rFonts w:ascii="Noto Sans" w:hAnsi="Noto Sans"/>
        </w:rPr>
        <w:t>Timeline projections store user-safe event summaries, not raw event payloads.</w:t>
      </w:r>
    </w:p>
    <w:p>
      <w:pPr>
        <w:pStyle w:val="Heading2"/>
        <w:keepNext/>
      </w:pPr>
      <w:r>
        <w:t>12.3 Routing and Consumer Ordering Strategy</w:t>
      </w:r>
    </w:p>
    <w:p>
      <w:pPr>
        <w:pStyle w:val="Bullet1"/>
      </w:pPr>
      <w:r>
        <w:t>Logical routing name: veyro.&lt;domain&gt;.&lt;event-family&gt;.v1. Physical queue/topic consolidation is allowed if schema and ownership boundaries remain explicit.</w:t>
      </w:r>
    </w:p>
    <w:p>
      <w:pPr>
        <w:pStyle w:val="Bullet1"/>
      </w:pPr>
      <w:r>
        <w:t>The V1 EventBridge/SNS + standard SQS transport provides no delivery-order guarantee, including for events from the same aggregate. tenant_id + aggregate_id remains correlation/routing metadata only; it is not an ordering primitive.</w:t>
      </w:r>
    </w:p>
    <w:p>
      <w:pPr>
        <w:pStyle w:val="Bullet1"/>
      </w:pPr>
      <w:r>
        <w:t>Every consumer is order-independent. Projection consumers gate on aggregate_version: apply only the next expected version, ignore duplicate/older versions, and on a version gap buffer briefly then re-read/rebuild from authoritative state or the retained event archive before marking the projection fresh. Consequence-bearing commands never authorize from an unresolved-gap projection.</w:t>
      </w:r>
    </w:p>
    <w:p>
      <w:pPr>
        <w:pStyle w:val="Bullet1"/>
      </w:pPr>
      <w:r>
        <w:t>Property and contract tests shuffle, duplicate and delay delivery for each stateful projection and require convergence to the authoritative aggregate version. A future FIFO/streaming transport may optimize ordering but cannot weaken this consumer rule.</w:t>
      </w:r>
    </w:p>
    <w:p>
      <w:pPr>
        <w:pStyle w:val="Bullet1"/>
      </w:pPr>
      <w:r>
        <w:t>Event retention is classification/operational-need driven. Long-term business history belongs in domain stores/warehouse, not indefinitely in the queue transport.</w:t>
      </w:r>
    </w:p>
    <w:p>
      <w:pPr>
        <w:pStyle w:val="Heading2"/>
      </w:pPr>
      <w:r>
        <w:t>12.4 Contract Registry and Event Classes</w:t>
      </w:r>
    </w:p>
    <w:p>
      <w:pPr>
        <w:pStyle w:val="Bullet1"/>
      </w:pPr>
      <w:r>
        <w:t>Business domain events are durable, versioned, replayable contracts produced from the transactional outbox. Analytics/telemetry signals use a separate pipeline, may be sampled, and never drive authoritative business state.</w:t>
      </w:r>
    </w:p>
    <w:p>
      <w:pPr>
        <w:pStyle w:val="Bullet1"/>
      </w:pPr>
      <w:r>
        <w:t>Event schemas live in contracts/events as JSON Schema/AsyncAPI with owner, classification, compatibility mode and deprecation date. CI performs backward-compatibility checks and rejects any event name referenced by code/flow documentation but absent from the registry.</w:t>
      </w:r>
    </w:p>
    <w:p>
      <w:pPr>
        <w:pStyle w:val="Bullet1"/>
      </w:pPr>
      <w:r>
        <w:t>V1 transport is EventBridge/SNS + consumer SQS. Event archive in S3 stores the canonical envelope for controlled historical rebuild. Kafka-compatible transport is introduced only when sustained throughput/replay requirements cross the extraction threshold.</w:t>
      </w:r>
    </w:p>
    <w:p>
      <w:pPr>
        <w:pStyle w:val="Heading2"/>
      </w:pPr>
      <w:r>
        <w:t>12.5 Queue, Lag and DLQ Objectives</w:t>
      </w:r>
    </w:p>
    <w:tbl>
      <w:tblPr>
        <w:tblStyle w:val="TableGrid"/>
        <w:tblW w:type="dxa" w:w="9000"/>
        <w:jc w:val="center"/>
        <w:tblLayout w:type="fixed"/>
        <w:tblLook w:firstColumn="1" w:firstRow="1" w:lastColumn="0" w:lastRow="0" w:noHBand="0" w:noVBand="1" w:val="04A0"/>
        <w:tblCellMar>
          <w:top w:w="64" w:type="dxa"/>
          <w:left w:w="64" w:type="dxa"/>
          <w:bottom w:w="64" w:type="dxa"/>
          <w:right w:w="64" w:type="dxa"/>
        </w:tblCellMar>
      </w:tblPr>
      <w:tblGrid>
        <w:gridCol w:w="2016"/>
        <w:gridCol w:w="2189"/>
        <w:gridCol w:w="2189"/>
        <w:gridCol w:w="2606"/>
      </w:tblGrid>
      <w:tr>
        <w:trPr>
          <w:tblHeader w:val="true"/>
        </w:trPr>
        <w:tc>
          <w:tcPr>
            <w:tcW w:type="dxa" w:w="2015"/>
            <w:vAlign w:val="center"/>
            <w:tcMar>
              <w:top w:w="70" w:type="dxa"/>
              <w:left w:w="80" w:type="dxa"/>
              <w:bottom w:w="70" w:type="dxa"/>
              <w:right w:w="80" w:type="dxa"/>
            </w:tcMar>
          </w:tcPr>
          <w:p>
            <w:pPr>
              <w:spacing w:before="0" w:after="0" w:line="240" w:lineRule="auto"/>
            </w:pPr>
            <w:r>
              <w:rPr>
                <w:b/>
                <w:sz w:val="15"/>
              </w:rPr>
              <w:t>Class</w:t>
            </w:r>
          </w:p>
        </w:tc>
        <w:tc>
          <w:tcPr>
            <w:tcW w:type="dxa" w:w="2188"/>
            <w:vAlign w:val="center"/>
            <w:tcMar>
              <w:top w:w="70" w:type="dxa"/>
              <w:left w:w="80" w:type="dxa"/>
              <w:bottom w:w="70" w:type="dxa"/>
              <w:right w:w="80" w:type="dxa"/>
            </w:tcMar>
          </w:tcPr>
          <w:p>
            <w:pPr>
              <w:spacing w:before="0" w:after="0" w:line="240" w:lineRule="auto"/>
            </w:pPr>
            <w:r>
              <w:rPr>
                <w:b/>
                <w:sz w:val="15"/>
              </w:rPr>
              <w:t>Freshness/Lag SLO</w:t>
            </w:r>
          </w:p>
        </w:tc>
        <w:tc>
          <w:tcPr>
            <w:tcW w:type="dxa" w:w="2188"/>
            <w:vAlign w:val="center"/>
            <w:tcMar>
              <w:top w:w="70" w:type="dxa"/>
              <w:left w:w="80" w:type="dxa"/>
              <w:bottom w:w="70" w:type="dxa"/>
              <w:right w:w="80" w:type="dxa"/>
            </w:tcMar>
          </w:tcPr>
          <w:p>
            <w:pPr>
              <w:spacing w:before="0" w:after="0" w:line="240" w:lineRule="auto"/>
            </w:pPr>
            <w:r>
              <w:rPr>
                <w:b/>
                <w:sz w:val="15"/>
              </w:rPr>
              <w:t>Alert</w:t>
            </w:r>
          </w:p>
        </w:tc>
        <w:tc>
          <w:tcPr>
            <w:tcW w:type="dxa" w:w="2606"/>
            <w:vAlign w:val="center"/>
            <w:tcMar>
              <w:top w:w="70" w:type="dxa"/>
              <w:left w:w="80" w:type="dxa"/>
              <w:bottom w:w="70" w:type="dxa"/>
              <w:right w:w="80" w:type="dxa"/>
            </w:tcMar>
          </w:tcPr>
          <w:p>
            <w:pPr>
              <w:spacing w:before="0" w:after="0" w:line="240" w:lineRule="auto"/>
            </w:pPr>
            <w:r>
              <w:rPr>
                <w:b/>
                <w:sz w:val="15"/>
              </w:rPr>
              <w:t>DLQ/Error Budget</w:t>
            </w:r>
          </w:p>
        </w:tc>
      </w:tr>
      <w:tr>
        <w:tc>
          <w:tcPr>
            <w:tcW w:type="dxa" w:w="2015"/>
            <w:tcMar>
              <w:top w:w="70" w:type="dxa"/>
              <w:left w:w="80" w:type="dxa"/>
              <w:bottom w:w="70" w:type="dxa"/>
              <w:right w:w="80" w:type="dxa"/>
            </w:tcMar>
            <w:vAlign w:val="center"/>
          </w:tcPr>
          <w:p>
            <w:pPr>
              <w:spacing w:before="0" w:after="0" w:line="240" w:lineRule="auto"/>
            </w:pPr>
            <w:r>
              <w:rPr>
                <w:sz w:val="15"/>
              </w:rPr>
              <w:t>Tier-1 command side effects</w:t>
            </w:r>
          </w:p>
        </w:tc>
        <w:tc>
          <w:tcPr>
            <w:tcW w:type="dxa" w:w="2188"/>
            <w:tcMar>
              <w:top w:w="70" w:type="dxa"/>
              <w:left w:w="80" w:type="dxa"/>
              <w:bottom w:w="70" w:type="dxa"/>
              <w:right w:w="80" w:type="dxa"/>
            </w:tcMar>
            <w:vAlign w:val="center"/>
          </w:tcPr>
          <w:p>
            <w:pPr>
              <w:spacing w:before="0" w:after="0" w:line="240" w:lineRule="auto"/>
            </w:pPr>
            <w:r>
              <w:rPr>
                <w:sz w:val="15"/>
              </w:rPr>
              <w:t>&lt;30 s p95 queue age</w:t>
            </w:r>
          </w:p>
        </w:tc>
        <w:tc>
          <w:tcPr>
            <w:tcW w:type="dxa" w:w="2188"/>
            <w:tcMar>
              <w:top w:w="70" w:type="dxa"/>
              <w:left w:w="80" w:type="dxa"/>
              <w:bottom w:w="70" w:type="dxa"/>
              <w:right w:w="80" w:type="dxa"/>
            </w:tcMar>
            <w:vAlign w:val="center"/>
          </w:tcPr>
          <w:p>
            <w:pPr>
              <w:spacing w:before="0" w:after="0" w:line="240" w:lineRule="auto"/>
            </w:pPr>
            <w:r>
              <w:rPr>
                <w:sz w:val="15"/>
              </w:rPr>
              <w:t>&lt;5 min oldest-message alert</w:t>
            </w:r>
          </w:p>
        </w:tc>
        <w:tc>
          <w:tcPr>
            <w:tcW w:type="dxa" w:w="2606"/>
            <w:tcMar>
              <w:top w:w="70" w:type="dxa"/>
              <w:left w:w="80" w:type="dxa"/>
              <w:bottom w:w="70" w:type="dxa"/>
              <w:right w:w="80" w:type="dxa"/>
            </w:tcMar>
            <w:vAlign w:val="center"/>
          </w:tcPr>
          <w:p>
            <w:pPr>
              <w:spacing w:before="0" w:after="0" w:line="240" w:lineRule="auto"/>
            </w:pPr>
            <w:r>
              <w:rPr>
                <w:sz w:val="15"/>
              </w:rPr>
              <w:t>DLQ = 0 tolerated for financial/access until triaged</w:t>
            </w:r>
          </w:p>
        </w:tc>
      </w:tr>
      <w:tr>
        <w:tc>
          <w:tcPr>
            <w:tcW w:type="dxa" w:w="2015"/>
            <w:tcMar>
              <w:top w:w="70" w:type="dxa"/>
              <w:left w:w="80" w:type="dxa"/>
              <w:bottom w:w="70" w:type="dxa"/>
              <w:right w:w="80" w:type="dxa"/>
            </w:tcMar>
            <w:vAlign w:val="center"/>
          </w:tcPr>
          <w:p>
            <w:pPr>
              <w:spacing w:before="0" w:after="0" w:line="240" w:lineRule="auto"/>
            </w:pPr>
            <w:r>
              <w:rPr>
                <w:sz w:val="15"/>
              </w:rPr>
              <w:t>Operational projections</w:t>
            </w:r>
          </w:p>
        </w:tc>
        <w:tc>
          <w:tcPr>
            <w:tcW w:type="dxa" w:w="2188"/>
            <w:tcMar>
              <w:top w:w="70" w:type="dxa"/>
              <w:left w:w="80" w:type="dxa"/>
              <w:bottom w:w="70" w:type="dxa"/>
              <w:right w:w="80" w:type="dxa"/>
            </w:tcMar>
            <w:vAlign w:val="center"/>
          </w:tcPr>
          <w:p>
            <w:pPr>
              <w:spacing w:before="0" w:after="0" w:line="240" w:lineRule="auto"/>
            </w:pPr>
            <w:r>
              <w:rPr>
                <w:sz w:val="15"/>
              </w:rPr>
              <w:t>&lt;60 s p95 freshness</w:t>
            </w:r>
          </w:p>
        </w:tc>
        <w:tc>
          <w:tcPr>
            <w:tcW w:type="dxa" w:w="2188"/>
            <w:tcMar>
              <w:top w:w="70" w:type="dxa"/>
              <w:left w:w="80" w:type="dxa"/>
              <w:bottom w:w="70" w:type="dxa"/>
              <w:right w:w="80" w:type="dxa"/>
            </w:tcMar>
            <w:vAlign w:val="center"/>
          </w:tcPr>
          <w:p>
            <w:pPr>
              <w:spacing w:before="0" w:after="0" w:line="240" w:lineRule="auto"/>
            </w:pPr>
            <w:r>
              <w:rPr>
                <w:sz w:val="15"/>
              </w:rPr>
              <w:t>&lt;5 min alert</w:t>
            </w:r>
          </w:p>
        </w:tc>
        <w:tc>
          <w:tcPr>
            <w:tcW w:type="dxa" w:w="2606"/>
            <w:tcMar>
              <w:top w:w="70" w:type="dxa"/>
              <w:left w:w="80" w:type="dxa"/>
              <w:bottom w:w="70" w:type="dxa"/>
              <w:right w:w="80" w:type="dxa"/>
            </w:tcMar>
            <w:vAlign w:val="center"/>
          </w:tcPr>
          <w:p>
            <w:pPr>
              <w:spacing w:before="0" w:after="0" w:line="240" w:lineRule="auto"/>
            </w:pPr>
            <w:r>
              <w:rPr>
                <w:sz w:val="15"/>
              </w:rPr>
              <w:t>DLQ &lt;0.01% daily</w:t>
            </w:r>
          </w:p>
        </w:tc>
      </w:tr>
      <w:tr>
        <w:tc>
          <w:tcPr>
            <w:tcW w:type="dxa" w:w="2015"/>
            <w:tcMar>
              <w:top w:w="70" w:type="dxa"/>
              <w:left w:w="80" w:type="dxa"/>
              <w:bottom w:w="70" w:type="dxa"/>
              <w:right w:w="80" w:type="dxa"/>
            </w:tcMar>
            <w:vAlign w:val="center"/>
          </w:tcPr>
          <w:p>
            <w:pPr>
              <w:spacing w:before="0" w:after="0" w:line="240" w:lineRule="auto"/>
            </w:pPr>
            <w:r>
              <w:rPr>
                <w:sz w:val="15"/>
              </w:rPr>
              <w:t>Notifications</w:t>
            </w:r>
          </w:p>
        </w:tc>
        <w:tc>
          <w:tcPr>
            <w:tcW w:type="dxa" w:w="2188"/>
            <w:tcMar>
              <w:top w:w="70" w:type="dxa"/>
              <w:left w:w="80" w:type="dxa"/>
              <w:bottom w:w="70" w:type="dxa"/>
              <w:right w:w="80" w:type="dxa"/>
            </w:tcMar>
            <w:vAlign w:val="center"/>
          </w:tcPr>
          <w:p>
            <w:pPr>
              <w:spacing w:before="0" w:after="0" w:line="240" w:lineRule="auto"/>
            </w:pPr>
            <w:r>
              <w:rPr>
                <w:sz w:val="15"/>
              </w:rPr>
              <w:t>&lt;2 min p95 request-to-dispatch</w:t>
            </w:r>
          </w:p>
        </w:tc>
        <w:tc>
          <w:tcPr>
            <w:tcW w:type="dxa" w:w="2188"/>
            <w:tcMar>
              <w:top w:w="70" w:type="dxa"/>
              <w:left w:w="80" w:type="dxa"/>
              <w:bottom w:w="70" w:type="dxa"/>
              <w:right w:w="80" w:type="dxa"/>
            </w:tcMar>
            <w:vAlign w:val="center"/>
          </w:tcPr>
          <w:p>
            <w:pPr>
              <w:spacing w:before="0" w:after="0" w:line="240" w:lineRule="auto"/>
            </w:pPr>
            <w:r>
              <w:rPr>
                <w:sz w:val="15"/>
              </w:rPr>
              <w:t>&lt;10 min alert</w:t>
            </w:r>
          </w:p>
        </w:tc>
        <w:tc>
          <w:tcPr>
            <w:tcW w:type="dxa" w:w="2606"/>
            <w:tcMar>
              <w:top w:w="70" w:type="dxa"/>
              <w:left w:w="80" w:type="dxa"/>
              <w:bottom w:w="70" w:type="dxa"/>
              <w:right w:w="80" w:type="dxa"/>
            </w:tcMar>
            <w:vAlign w:val="center"/>
          </w:tcPr>
          <w:p>
            <w:pPr>
              <w:spacing w:before="0" w:after="0" w:line="240" w:lineRule="auto"/>
            </w:pPr>
            <w:r>
              <w:rPr>
                <w:sz w:val="15"/>
              </w:rPr>
              <w:t>Provider-specific retry budget</w:t>
            </w:r>
          </w:p>
        </w:tc>
      </w:tr>
      <w:tr>
        <w:tc>
          <w:tcPr>
            <w:tcW w:type="dxa" w:w="2015"/>
            <w:tcMar>
              <w:top w:w="70" w:type="dxa"/>
              <w:left w:w="80" w:type="dxa"/>
              <w:bottom w:w="70" w:type="dxa"/>
              <w:right w:w="80" w:type="dxa"/>
            </w:tcMar>
            <w:vAlign w:val="center"/>
          </w:tcPr>
          <w:p>
            <w:pPr>
              <w:spacing w:before="0" w:after="0" w:line="240" w:lineRule="auto"/>
            </w:pPr>
            <w:r>
              <w:rPr>
                <w:sz w:val="15"/>
              </w:rPr>
              <w:t>Analytics telemetry</w:t>
            </w:r>
          </w:p>
        </w:tc>
        <w:tc>
          <w:tcPr>
            <w:tcW w:type="dxa" w:w="2188"/>
            <w:tcMar>
              <w:top w:w="70" w:type="dxa"/>
              <w:left w:w="80" w:type="dxa"/>
              <w:bottom w:w="70" w:type="dxa"/>
              <w:right w:w="80" w:type="dxa"/>
            </w:tcMar>
            <w:vAlign w:val="center"/>
          </w:tcPr>
          <w:p>
            <w:pPr>
              <w:spacing w:before="0" w:after="0" w:line="240" w:lineRule="auto"/>
            </w:pPr>
            <w:r>
              <w:rPr>
                <w:sz w:val="15"/>
              </w:rPr>
              <w:t>&lt;15 min p95 freshness</w:t>
            </w:r>
          </w:p>
        </w:tc>
        <w:tc>
          <w:tcPr>
            <w:tcW w:type="dxa" w:w="2188"/>
            <w:tcMar>
              <w:top w:w="70" w:type="dxa"/>
              <w:left w:w="80" w:type="dxa"/>
              <w:bottom w:w="70" w:type="dxa"/>
              <w:right w:w="80" w:type="dxa"/>
            </w:tcMar>
            <w:vAlign w:val="center"/>
          </w:tcPr>
          <w:p>
            <w:pPr>
              <w:spacing w:before="0" w:after="0" w:line="240" w:lineRule="auto"/>
            </w:pPr>
            <w:r>
              <w:rPr>
                <w:sz w:val="15"/>
              </w:rPr>
              <w:t>&lt;60 min alert</w:t>
            </w:r>
          </w:p>
        </w:tc>
        <w:tc>
          <w:tcPr>
            <w:tcW w:type="dxa" w:w="2606"/>
            <w:tcMar>
              <w:top w:w="70" w:type="dxa"/>
              <w:left w:w="80" w:type="dxa"/>
              <w:bottom w:w="70" w:type="dxa"/>
              <w:right w:w="80" w:type="dxa"/>
            </w:tcMar>
            <w:vAlign w:val="center"/>
          </w:tcPr>
          <w:p>
            <w:pPr>
              <w:spacing w:before="0" w:after="0" w:line="240" w:lineRule="auto"/>
            </w:pPr>
            <w:r>
              <w:rPr>
                <w:sz w:val="15"/>
              </w:rPr>
              <w:t>Loss budget documented by signal</w:t>
            </w:r>
          </w:p>
        </w:tc>
      </w:tr>
    </w:tbl>
    <w:p>
      <w:pPr>
        <w:pStyle w:val="Heading1"/>
        <w:keepNext/>
      </w:pPr>
      <w:r>
        <w:t>13. Durable Workflows, Tasks &amp; Approvals</w:t>
      </w:r>
    </w:p>
    <w:p>
      <w:pPr>
        <w:pStyle w:val="Heading2"/>
        <w:keepNext/>
      </w:pPr>
      <w:r>
        <w:t>13.1 When to Use a Workflow</w:t>
      </w:r>
    </w:p>
    <w:p>
      <w:pPr>
        <w:pStyle w:val="Bullet1"/>
        <w:spacing w:after="80" w:line="252" w:lineRule="auto"/>
      </w:pPr>
      <w:r>
        <w:rPr>
          <w:rFonts w:ascii="Noto Sans" w:hAnsi="Noto Sans"/>
        </w:rPr>
        <w:t>A process spans multiple domains and cannot complete in one local transaction.</w:t>
      </w:r>
    </w:p>
    <w:p>
      <w:pPr>
        <w:pStyle w:val="Bullet1"/>
        <w:spacing w:after="80" w:line="252" w:lineRule="auto"/>
      </w:pPr>
      <w:r>
        <w:rPr>
          <w:rFonts w:ascii="Noto Sans" w:hAnsi="Noto Sans"/>
        </w:rPr>
        <w:t>A provider callback/timer/human approval may arrive minutes or days later.</w:t>
      </w:r>
    </w:p>
    <w:p>
      <w:pPr>
        <w:pStyle w:val="Bullet1"/>
        <w:spacing w:after="80" w:line="252" w:lineRule="auto"/>
      </w:pPr>
      <w:r>
        <w:rPr>
          <w:rFonts w:ascii="Noto Sans" w:hAnsi="Noto Sans"/>
        </w:rPr>
        <w:t>Compensation/retry must survive process restarts or deployments.</w:t>
      </w:r>
    </w:p>
    <w:p>
      <w:pPr>
        <w:pStyle w:val="Bullet1"/>
        <w:spacing w:after="80" w:line="252" w:lineRule="auto"/>
      </w:pPr>
      <w:r>
        <w:rPr>
          <w:rFonts w:ascii="Noto Sans" w:hAnsi="Noto Sans"/>
        </w:rPr>
        <w:t>A business SLA/escalation must be visible and auditable.</w:t>
      </w:r>
    </w:p>
    <w:p>
      <w:pPr>
        <w:pStyle w:val="Bullet1"/>
        <w:spacing w:after="80" w:line="252" w:lineRule="auto"/>
      </w:pPr>
      <w:r>
        <w:rPr>
          <w:rFonts w:ascii="Noto Sans" w:hAnsi="Noto Sans"/>
        </w:rPr>
        <w:t>Examples: tenant provisioning, membership activation with external payment, dunning, migration, offboarding, refund, incident communications, app release, data deletion request.</w:t>
      </w:r>
    </w:p>
    <w:p>
      <w:pPr>
        <w:pStyle w:val="Heading2"/>
        <w:keepNext/>
      </w:pPr>
      <w:r>
        <w:t>13.2 Workflow Rules</w:t>
      </w:r>
    </w:p>
    <w:p>
      <w:pPr>
        <w:pStyle w:val="Bullet1"/>
        <w:spacing w:after="80" w:line="252" w:lineRule="auto"/>
      </w:pPr>
      <w:r>
        <w:rPr>
          <w:rFonts w:ascii="Noto Sans" w:hAnsi="Noto Sans"/>
        </w:rPr>
        <w:t>Workflow state is durable and versioned. Workflow code changes use deterministic versioning/patch markers.</w:t>
      </w:r>
    </w:p>
    <w:p>
      <w:pPr>
        <w:pStyle w:val="Bullet1"/>
        <w:spacing w:after="80" w:line="252" w:lineRule="auto"/>
      </w:pPr>
      <w:r>
        <w:rPr>
          <w:rFonts w:ascii="Noto Sans" w:hAnsi="Noto Sans"/>
        </w:rPr>
        <w:t>Activities are idempotent and may run more than once. External provider requests carry stable idempotency references.</w:t>
      </w:r>
    </w:p>
    <w:p>
      <w:pPr>
        <w:pStyle w:val="Bullet1"/>
        <w:spacing w:after="80" w:line="252" w:lineRule="auto"/>
      </w:pPr>
      <w:r>
        <w:rPr>
          <w:rFonts w:ascii="Noto Sans" w:hAnsi="Noto Sans"/>
        </w:rPr>
        <w:t>Human approvals are domain records linked to workflow state; an approval result cannot be inferred from a notification click alone.</w:t>
      </w:r>
    </w:p>
    <w:p>
      <w:pPr>
        <w:pStyle w:val="Bullet1"/>
        <w:spacing w:after="80" w:line="252" w:lineRule="auto"/>
      </w:pPr>
      <w:r>
        <w:rPr>
          <w:rFonts w:ascii="Noto Sans" w:hAnsi="Noto Sans"/>
        </w:rPr>
        <w:t>Compensation is explicit. Never “rollback” a completed payment by deleting records; issue a refund/reversal command.</w:t>
      </w:r>
    </w:p>
    <w:p>
      <w:pPr>
        <w:pStyle w:val="Bullet1"/>
        <w:spacing w:after="80" w:line="252" w:lineRule="auto"/>
      </w:pPr>
      <w:r>
        <w:rPr>
          <w:rFonts w:ascii="Noto Sans" w:hAnsi="Noto Sans"/>
        </w:rPr>
        <w:t>Timers use workflow engine time, not ad-hoc cron rows. Cron remains for simple stateless maintenance only.</w:t>
      </w:r>
    </w:p>
    <w:p>
      <w:pPr>
        <w:pStyle w:val="Bullet1"/>
        <w:spacing w:after="80" w:line="252" w:lineRule="auto"/>
      </w:pPr>
      <w:r>
        <w:rPr>
          <w:rFonts w:ascii="Noto Sans" w:hAnsi="Noto Sans"/>
        </w:rPr>
        <w:t>Every workflow exposes current state, next wait condition, attempts, last error and recovery action to support tooling.</w:t>
      </w:r>
    </w:p>
    <w:p>
      <w:pPr>
        <w:pStyle w:val="Heading2"/>
      </w:pPr>
      <w:r>
        <w:t>13.3 Workflow Tenant Isolation and Privacy</w:t>
      </w:r>
    </w:p>
    <w:p>
      <w:pPr>
        <w:pStyle w:val="Bullet1"/>
      </w:pPr>
      <w:r>
        <w:t>Every workflow ID and search attribute carries tenant_id and workflow_type. A workflow may only invoke activities through a TenantContext created from its validated start command; cross-tenant signal/query APIs are rejected.</w:t>
      </w:r>
    </w:p>
    <w:p>
      <w:pPr>
        <w:pStyle w:val="Bullet1"/>
      </w:pPr>
      <w:r>
        <w:t>Restricted PII/health/payment data is not embedded in workflow input/history. Histories store opaque resource IDs, command hashes and non-sensitive status. Activities fetch current authorized data at execution time.</w:t>
      </w:r>
    </w:p>
    <w:p>
      <w:pPr>
        <w:pStyle w:val="Bullet1"/>
      </w:pPr>
      <w:r>
        <w:t>History retention is bounded by workflow/legal need and must not exceed the privacy retention schedule. Dunning/provisioning/migration workflows checkpoint durable domain state so recovery does not depend on an indefinitely retained orchestration history.</w:t>
      </w:r>
    </w:p>
    <w:p>
      <w:pPr>
        <w:pStyle w:val="Heading1"/>
        <w:keepNext/>
      </w:pPr>
      <w:r>
        <w:t>14. Commerce, Billing, Payments, Ledger &amp; POS</w:t>
      </w:r>
    </w:p>
    <w:p>
      <w:pPr>
        <w:spacing w:after="40"/>
        <w:jc w:val="center"/>
      </w:pPr>
      <w:r>
        <w:drawing>
          <wp:inline xmlns:a="http://schemas.openxmlformats.org/drawingml/2006/main" xmlns:pic="http://schemas.openxmlformats.org/drawingml/2006/picture">
            <wp:extent cx="6172200" cy="603095"/>
            <wp:docPr id="3" name="Picture 3" descr="Figure 3. Financial and membership coordination without collapsing distinct sources of truth." title="Figure 3. Financial and membership coordination without collapsing distinct sources of truth."/>
            <wp:cNvGraphicFramePr>
              <a:graphicFrameLocks noChangeAspect="1"/>
            </wp:cNvGraphicFramePr>
            <a:graphic>
              <a:graphicData uri="http://schemas.openxmlformats.org/drawingml/2006/picture">
                <pic:pic>
                  <pic:nvPicPr>
                    <pic:cNvPr id="0" name="finance.png"/>
                    <pic:cNvPicPr/>
                  </pic:nvPicPr>
                  <pic:blipFill>
                    <a:blip r:embed="rId12"/>
                    <a:stretch>
                      <a:fillRect/>
                    </a:stretch>
                  </pic:blipFill>
                  <pic:spPr>
                    <a:xfrm>
                      <a:off x="0" y="0"/>
                      <a:ext cx="6172200" cy="603095"/>
                    </a:xfrm>
                    <a:prstGeom prst="rect"/>
                  </pic:spPr>
                </pic:pic>
              </a:graphicData>
            </a:graphic>
          </wp:inline>
        </w:drawing>
      </w:r>
    </w:p>
    <w:p>
      <w:pPr>
        <w:spacing w:after="160"/>
        <w:jc w:val="center"/>
      </w:pPr>
      <w:r>
        <w:rPr>
          <w:rFonts w:ascii="Noto Sans" w:hAnsi="Noto Sans"/>
          <w:i/>
          <w:color w:val="5B6773"/>
          <w:sz w:val="17"/>
        </w:rPr>
        <w:t>Figure 3. Financial and membership coordination without collapsing distinct sources of truth.</w:t>
      </w:r>
    </w:p>
    <w:p>
      <w:pPr>
        <w:pStyle w:val="Heading2"/>
        <w:keepNext/>
      </w:pPr>
      <w:r>
        <w:t>14.1 Money and Tax</w:t>
      </w:r>
    </w:p>
    <w:p>
      <w:pPr>
        <w:pStyle w:val="Bullet1"/>
        <w:spacing w:after="80" w:line="252" w:lineRule="auto"/>
      </w:pPr>
      <w:r>
        <w:rPr>
          <w:rFonts w:ascii="Noto Sans" w:hAnsi="Noto Sans"/>
        </w:rPr>
        <w:t>Use integer minor units plus ISO currency. JOD is represented in fils, preserving three decimal places; no binary floating point in business logic.</w:t>
      </w:r>
    </w:p>
    <w:p>
      <w:pPr>
        <w:pStyle w:val="Bullet1"/>
        <w:spacing w:after="80" w:line="252" w:lineRule="auto"/>
      </w:pPr>
      <w:r>
        <w:rPr>
          <w:rFonts w:ascii="Noto Sans" w:hAnsi="Noto Sans"/>
        </w:rPr>
        <w:t>Price, discount, tax and exchange results are resolved into immutable order/invoice line snapshots with source policy/version.</w:t>
      </w:r>
    </w:p>
    <w:p>
      <w:pPr>
        <w:pStyle w:val="Bullet1"/>
        <w:spacing w:after="80" w:line="252" w:lineRule="auto"/>
      </w:pPr>
      <w:r>
        <w:rPr>
          <w:rFonts w:ascii="Noto Sans" w:hAnsi="Noto Sans"/>
        </w:rPr>
        <w:t>Tax rules are regional configuration/providers; tax rate is never globally hard-coded.</w:t>
      </w:r>
    </w:p>
    <w:p>
      <w:pPr>
        <w:pStyle w:val="Bullet1"/>
        <w:spacing w:after="80" w:line="252" w:lineRule="auto"/>
      </w:pPr>
      <w:r>
        <w:rPr>
          <w:rFonts w:ascii="Noto Sans" w:hAnsi="Noto Sans"/>
        </w:rPr>
        <w:t>Rounding policy is explicit by currency/tax jurisdiction and tested with boundary cases.</w:t>
      </w:r>
    </w:p>
    <w:p>
      <w:pPr>
        <w:pStyle w:val="Heading2"/>
        <w:keepNext/>
      </w:pPr>
      <w:r>
        <w:t>14.2 Payment State Machine</w:t>
      </w:r>
    </w:p>
    <w:tbl>
      <w:tblPr>
        <w:tblStyle w:val="TableGrid"/>
        <w:tblW w:type="dxa" w:w="9684"/>
        <w:tblLayout w:type="autofit"/>
        <w:tblLook w:firstColumn="1" w:firstRow="1" w:lastColumn="0" w:lastRow="0" w:noHBand="0" w:noVBand="1" w:val="04A0"/>
        <w:jc w:val="center"/>
      </w:tblPr>
      <w:tblGrid>
        <w:gridCol w:w="9684"/>
      </w:tblGrid>
      <w:tr>
        <w:trPr>
          <w:cantSplit/>
          <w:tblHeader w:val="true"/>
        </w:trPr>
        <w:tc>
          <w:tcPr>
            <w:tcW w:type="dxa" w:w="9684"/>
            <w:shd w:fill="F7F8FA"/>
            <w:tcMar>
              <w:top w:w="70" w:type="dxa"/>
              <w:start w:w="150" w:type="dxa"/>
              <w:bottom w:w="70" w:type="dxa"/>
              <w:end w:w="150" w:type="dxa"/>
              <w:left w:w="80" w:type="dxa"/>
              <w:right w:w="80" w:type="dxa"/>
            </w:tcMar>
            <w:vAlign w:val="center"/>
          </w:tcPr>
          <w:p>
            <w:pPr>
              <w:spacing w:line="240" w:lineRule="auto" w:after="0"/>
            </w:pPr>
            <w:r>
              <w:rPr>
                <w:rFonts w:ascii="DejaVu Sans Mono" w:hAnsi="DejaVu Sans Mono"/>
                <w:b/>
                <w:color w:val="263238"/>
                <w:sz w:val="16"/>
              </w:rPr>
              <w:t>created -&gt; requires_action? -&gt; authorized -&gt; captured -&gt; succeeded</w:t>
              <w:br/>
              <w:t xml:space="preserve">                         -&gt; failed</w:t>
              <w:br/>
              <w:t xml:space="preserve">                         -&gt; cancelled</w:t>
              <w:br/>
              <w:t>succeeded -&gt; partially_refunded -&gt; refunded</w:t>
              <w:br/>
              <w:t>succeeded -&gt; disputed/chargeback -&gt; resolved</w:t>
              <w:br/>
            </w:r>
          </w:p>
        </w:tc>
      </w:tr>
    </w:tbl>
    <w:p>
      <w:pPr>
        <w:spacing w:after="40"/>
      </w:pPr>
    </w:p>
    <w:p>
      <w:pPr>
        <w:pStyle w:val="Bullet1"/>
        <w:spacing w:after="80" w:line="252" w:lineRule="auto"/>
      </w:pPr>
      <w:r>
        <w:rPr>
          <w:rFonts w:ascii="Noto Sans" w:hAnsi="Noto Sans"/>
        </w:rPr>
        <w:t>Provider redirect/UI state is not authoritative. Signed provider webhook or verified provider query drives final payment state.</w:t>
      </w:r>
    </w:p>
    <w:p>
      <w:pPr>
        <w:pStyle w:val="Bullet1"/>
        <w:spacing w:after="80" w:line="252" w:lineRule="auto"/>
      </w:pPr>
      <w:r>
        <w:rPr>
          <w:rFonts w:ascii="Noto Sans" w:hAnsi="Noto Sans"/>
        </w:rPr>
        <w:t>PaymentIntent stores provider adapter, provider reference, amount, currency, customer/payment token reference and idempotency key.</w:t>
      </w:r>
    </w:p>
    <w:p>
      <w:pPr>
        <w:pStyle w:val="Bullet1"/>
        <w:spacing w:after="80" w:line="252" w:lineRule="auto"/>
      </w:pPr>
      <w:r>
        <w:rPr>
          <w:rFonts w:ascii="Noto Sans" w:hAnsi="Noto Sans"/>
        </w:rPr>
        <w:t>Card PAN/CVV is never stored by Veyro. Prefer hosted fields/tokenization/terminal flows to minimize PCI scope.</w:t>
      </w:r>
    </w:p>
    <w:p>
      <w:pPr>
        <w:pStyle w:val="Bullet1"/>
        <w:spacing w:after="80" w:line="252" w:lineRule="auto"/>
      </w:pPr>
      <w:r>
        <w:rPr>
          <w:rFonts w:ascii="Noto Sans" w:hAnsi="Noto Sans"/>
        </w:rPr>
        <w:t>All provider callbacks are authenticated, timestamp-checked, replay-protected and deduplicated.</w:t>
      </w:r>
    </w:p>
    <w:p>
      <w:pPr>
        <w:pStyle w:val="Bullet1"/>
        <w:spacing w:after="80" w:line="252" w:lineRule="auto"/>
      </w:pPr>
      <w:r>
        <w:rPr>
          <w:rFonts w:ascii="Noto Sans" w:hAnsi="Noto Sans"/>
        </w:rPr>
        <w:t>Retries never create a second economic charge because both Veyro and provider calls use stable idempotency keys.</w:t>
      </w:r>
    </w:p>
    <w:p>
      <w:pPr>
        <w:pStyle w:val="Heading2"/>
        <w:keepNext/>
      </w:pPr>
      <w:r>
        <w:t>14.3 Ledger</w:t>
      </w:r>
    </w:p>
    <w:p>
      <w:pPr>
        <w:pStyle w:val="Heading3"/>
      </w:pPr>
      <w:r>
        <w:t>Deferred revenue and recognition</w:t>
      </w:r>
    </w:p>
    <w:p>
      <w:pPr>
        <w:pStyle w:val="Bullet1"/>
      </w:pPr>
      <w:r>
        <w:t>Prepaid membership cash posts to cash/provider-clearing and UnearnedMembershipRevenue. Revenue is recognized over the service period according to an immutable RevenueRecognitionSchedule linked to membership/invoice lines.</w:t>
      </w:r>
    </w:p>
    <w:p>
      <w:pPr>
        <w:pStyle w:val="Bullet1"/>
      </w:pPr>
      <w:r>
        <w:t>Service/PT credits post initially to ServiceCreditLiability and recognize revenue on consumption or policy-defined expiry/forfeiture. Wallet top-ups remain WalletLiability until applied.</w:t>
      </w:r>
    </w:p>
    <w:p>
      <w:pPr>
        <w:pStyle w:val="Bullet1"/>
      </w:pPr>
      <w:r>
        <w:t>Freeze extends or pauses recognition according to contract policy; cancellation/upgrade/downgrade computes earned vs unearned through the effective date, posts refund/credit/contra entries and creates a replacement recognition schedule. Posted recognition entries are never rewritten.</w:t>
      </w:r>
    </w:p>
    <w:p>
      <w:pPr>
        <w:pStyle w:val="Bullet1"/>
      </w:pPr>
      <w:r>
        <w:t>Proration calculates in high precision, allocates tax/discount at line level, then rounds using the currency exponent (JOD = 3 decimal minor units). Sum-of-parts reconciliation must equal invoice/ledger totals.</w:t>
      </w:r>
    </w:p>
    <w:p>
      <w:pPr>
        <w:pStyle w:val="Bullet1"/>
        <w:spacing w:after="80" w:line="252" w:lineRule="auto"/>
      </w:pPr>
      <w:r>
        <w:rPr>
          <w:rFonts w:ascii="Noto Sans" w:hAnsi="Noto Sans"/>
        </w:rPr>
        <w:t>Double-entry journal with immutable JournalEntry and Posting rows. A journal entry must balance per currency.</w:t>
      </w:r>
    </w:p>
    <w:p>
      <w:pPr>
        <w:pStyle w:val="Bullet1"/>
        <w:spacing w:after="80" w:line="252" w:lineRule="auto"/>
      </w:pPr>
      <w:r>
        <w:rPr>
          <w:rFonts w:ascii="Noto Sans" w:hAnsi="Noto Sans"/>
        </w:rPr>
        <w:t>Business subledgers: member receivable, cash, provider clearing, revenue, tax payable, wallet liability, service-credit liability, refunds/contra revenue, inventory COGS where enabled.</w:t>
      </w:r>
    </w:p>
    <w:p>
      <w:pPr>
        <w:pStyle w:val="Bullet1"/>
        <w:spacing w:after="80" w:line="252" w:lineRule="auto"/>
      </w:pPr>
      <w:r>
        <w:rPr>
          <w:rFonts w:ascii="Noto Sans" w:hAnsi="Noto Sans"/>
        </w:rPr>
        <w:t>Wallet/service credits are liabilities or contractual credits, not mutable balance columns. Current balance is a projection.</w:t>
      </w:r>
    </w:p>
    <w:p>
      <w:pPr>
        <w:pStyle w:val="Bullet1"/>
        <w:spacing w:after="80" w:line="252" w:lineRule="auto"/>
      </w:pPr>
      <w:r>
        <w:rPr>
          <w:rFonts w:ascii="Noto Sans" w:hAnsi="Noto Sans"/>
        </w:rPr>
        <w:t>Correction uses reversal/compensating journal entry referencing the original; no update/delete of posted financial entries.</w:t>
      </w:r>
    </w:p>
    <w:p>
      <w:pPr>
        <w:pStyle w:val="Bullet1"/>
        <w:spacing w:after="80" w:line="252" w:lineRule="auto"/>
      </w:pPr>
      <w:r>
        <w:rPr>
          <w:rFonts w:ascii="Noto Sans" w:hAnsi="Noto Sans"/>
        </w:rPr>
        <w:t>Provider settlement imports reconcile provider clearing to bank/settlement data; mismatches create cases, never silent balance edits.</w:t>
      </w:r>
    </w:p>
    <w:p>
      <w:pPr>
        <w:pStyle w:val="Heading2"/>
        <w:keepNext/>
      </w:pPr>
      <w:r>
        <w:t>14.4 Membership Sale Transaction Boundary</w:t>
      </w:r>
    </w:p>
    <w:p>
      <w:pPr>
        <w:pStyle w:val="Numbered"/>
        <w:spacing w:after="60"/>
      </w:pPr>
      <w:r>
        <w:rPr>
          <w:rFonts w:ascii="Noto Sans" w:hAnsi="Noto Sans"/>
        </w:rPr>
        <w:t>Resolve product/price/tax/promotion and create an Order with immutable commercial snapshot.</w:t>
      </w:r>
    </w:p>
    <w:p>
      <w:pPr>
        <w:pStyle w:val="Numbered"/>
        <w:spacing w:after="60"/>
      </w:pPr>
      <w:r>
        <w:rPr>
          <w:rFonts w:ascii="Noto Sans" w:hAnsi="Noto Sans"/>
        </w:rPr>
        <w:t>Create/finalize Invoice according to billing schedule.</w:t>
      </w:r>
    </w:p>
    <w:p>
      <w:pPr>
        <w:pStyle w:val="Numbered"/>
        <w:spacing w:after="60"/>
      </w:pPr>
      <w:r>
        <w:rPr>
          <w:rFonts w:ascii="Noto Sans" w:hAnsi="Noto Sans"/>
        </w:rPr>
        <w:t>Create PaymentIntent and call provider outside DB transaction.</w:t>
      </w:r>
    </w:p>
    <w:p>
      <w:pPr>
        <w:pStyle w:val="Numbered"/>
        <w:spacing w:after="60"/>
      </w:pPr>
      <w:r>
        <w:rPr>
          <w:rFonts w:ascii="Noto Sans" w:hAnsi="Noto Sans"/>
        </w:rPr>
        <w:t>On confirmed payment, record Payment and post Ledger journal idempotently.</w:t>
      </w:r>
    </w:p>
    <w:p>
      <w:pPr>
        <w:pStyle w:val="Numbered"/>
        <w:spacing w:after="60"/>
      </w:pPr>
      <w:r>
        <w:rPr>
          <w:rFonts w:ascii="Noto Sans" w:hAnsi="Noto Sans"/>
        </w:rPr>
        <w:t>Membership command activates agreement and emits membership.activated.</w:t>
      </w:r>
    </w:p>
    <w:p>
      <w:pPr>
        <w:pStyle w:val="Numbered"/>
        <w:spacing w:after="60"/>
      </w:pPr>
      <w:r>
        <w:rPr>
          <w:rFonts w:ascii="Noto Sans" w:hAnsi="Noto Sans"/>
        </w:rPr>
        <w:t>Entitlement projection/grants update; access/member app/search/timeline react asynchronously.</w:t>
      </w:r>
    </w:p>
    <w:p>
      <w:pPr>
        <w:pStyle w:val="Numbered"/>
        <w:spacing w:after="60"/>
      </w:pPr>
      <w:r>
        <w:rPr>
          <w:rFonts w:ascii="Noto Sans" w:hAnsi="Noto Sans"/>
        </w:rPr>
        <w:t>If downstream entitlement/index notification fails, payment/membership truth remains correct and replayable.</w:t>
      </w:r>
    </w:p>
    <w:p>
      <w:pPr>
        <w:pStyle w:val="Heading2"/>
        <w:keepNext/>
      </w:pPr>
      <w:r>
        <w:t>14.5 POS and Offline</w:t>
      </w:r>
    </w:p>
    <w:p>
      <w:pPr>
        <w:pStyle w:val="Heading3"/>
      </w:pPr>
      <w:r>
        <w:t>Jordan fiscal completion rule</w:t>
      </w:r>
    </w:p>
    <w:p>
      <w:pPr>
        <w:pStyle w:val="Bullet1"/>
      </w:pPr>
      <w:r>
        <w:t>A Veyro order number/local offline receipt is not a Jordan tax invoice. For Jordan tenants, the sale state differentiates ORDER_ACCEPTED, PAYMENT_PENDING, FISCAL_PENDING and FISCAL_COMPLETE.</w:t>
      </w:r>
    </w:p>
    <w:p>
      <w:pPr>
        <w:pStyle w:val="Bullet1"/>
      </w:pPr>
      <w:r>
        <w:t>Until ISTD explicitly validates an offline fiscal procedure for Veyro, a terminal may build a cart and preserve an OfflineSaleDraft, but final tax-invoice completion and payment capture that legally requires immediate invoicing are fail-closed when JoFotara is unavailable. The UI must not display “paid/fiscal complete”.</w:t>
      </w:r>
    </w:p>
    <w:p>
      <w:pPr>
        <w:pStyle w:val="Bullet1"/>
      </w:pPr>
      <w:r>
        <w:t>Server fiscal serials are unique per legal entity/series and stored with provider UUID/reference/QR acknowledgement. Credit notes/returns reference the original fiscal document and are idempotent. Any future preallocated serial-block mechanism requires written tax validation and a dedicated ADR before enablement.</w:t>
      </w:r>
    </w:p>
    <w:p>
      <w:pPr>
        <w:pStyle w:val="Heading2"/>
      </w:pPr>
      <w:r>
        <w:t>14.6 Revenue Recognition and Period Close</w:t>
      </w:r>
    </w:p>
    <w:p>
      <w:pPr>
        <w:pStyle w:val="Bullet1"/>
      </w:pPr>
      <w:r>
        <w:t>A scheduled accounting job posts recognition entries by legal entity/accounting date and is idempotent per schedule period. Period close freezes normal back-dated postings; late corrections use controlled adjustment journals into an open period with reference to the original event.</w:t>
      </w:r>
    </w:p>
    <w:p>
      <w:pPr>
        <w:pStyle w:val="Bullet1"/>
      </w:pPr>
      <w:r>
        <w:t>Financial reports expose cash collected, receivable, unearned revenue, earned revenue, tax liability, provider clearing and wallet/service-credit liabilities separately. Revenue is never inferred directly from successful payments.</w:t>
      </w:r>
    </w:p>
    <w:p>
      <w:pPr>
        <w:pStyle w:val="Heading2"/>
      </w:pPr>
      <w:r>
        <w:t>14.7 Functional Currency and FX</w:t>
      </w:r>
    </w:p>
    <w:p>
      <w:pPr>
        <w:pStyle w:val="Bullet1"/>
      </w:pPr>
      <w:r>
        <w:t>Each LegalEntity has one functional currency. Every monetary posting stores transaction_currency, amount_minor/high-precision amount, functional_currency, functional_amount and fx_rate_snapshot_id when currencies differ.</w:t>
      </w:r>
    </w:p>
    <w:p>
      <w:pPr>
        <w:pStyle w:val="Bullet1"/>
      </w:pPr>
      <w:r>
        <w:t>FxRateSnapshot records source, rate, quote/base convention, effective timestamp and retrieval evidence; rates are immutable once referenced. Settlement differences post to realized FX gain/loss. Open foreign receivables/payables may be revalued at period close with reversing entries.</w:t>
      </w:r>
    </w:p>
    <w:p>
      <w:pPr>
        <w:pStyle w:val="Bullet1"/>
      </w:pPr>
      <w:r>
        <w:t>Jordan V1 operates JOD functional currency and may restrict sellable/payment instruments to JOD until a tenant explicitly enables a validated multi-currency policy. The model remains multi-currency ready without silently converting values.</w:t>
      </w:r>
    </w:p>
    <w:p>
      <w:pPr>
        <w:pStyle w:val="Bullet1"/>
        <w:spacing w:after="80" w:line="252" w:lineRule="auto"/>
      </w:pPr>
      <w:r>
        <w:rPr>
          <w:rFonts w:ascii="Noto Sans" w:hAnsi="Noto Sans"/>
        </w:rPr>
        <w:t>Front Desk/POS maintains a local bounded cart and product snapshot. The server owns order numbers, final pricing policy and financial posting.</w:t>
      </w:r>
    </w:p>
    <w:p>
      <w:pPr>
        <w:pStyle w:val="Bullet1"/>
        <w:spacing w:after="80" w:line="252" w:lineRule="auto"/>
      </w:pPr>
      <w:r>
        <w:t>Offline cash sales may be queued within configured limits only for non-fiscal tenders/markets or where the applicable regional fiscal policy explicitly permits provisional offline sale capture. For Jordan fiscal transactions, §14.5/§26 fail-closed fiscalization rules prevail. Provider-dependent card payments are only “paid” if the terminal/provider confirms supported offline capture; otherwise state is “payment pending”.</w:t>
      </w:r>
    </w:p>
    <w:p>
      <w:pPr>
        <w:pStyle w:val="Bullet1"/>
        <w:spacing w:after="80" w:line="252" w:lineRule="auto"/>
      </w:pPr>
      <w:r>
        <w:rPr>
          <w:rFonts w:ascii="Noto Sans" w:hAnsi="Noto Sans"/>
        </w:rPr>
        <w:t>Cash shift open/close, expected cash, counted cash and variance are explicit records with role/approval thresholds.</w:t>
      </w:r>
    </w:p>
    <w:p>
      <w:pPr>
        <w:pStyle w:val="Bullet1"/>
        <w:spacing w:after="80" w:line="252" w:lineRule="auto"/>
      </w:pPr>
      <w:r>
        <w:rPr>
          <w:rFonts w:ascii="Noto Sans" w:hAnsi="Noto Sans"/>
        </w:rPr>
        <w:t>Inventory reservation/fulfillment is linked to order lines and reconciled if offline stock state conflicts.</w:t>
      </w:r>
    </w:p>
    <w:p>
      <w:pPr>
        <w:pStyle w:val="Heading1"/>
        <w:keepNext/>
      </w:pPr>
      <w:r>
        <w:t>15. Memberships, Entitlements, Scheduling &amp; Booking</w:t>
      </w:r>
    </w:p>
    <w:p>
      <w:pPr>
        <w:pStyle w:val="Heading2"/>
        <w:keepNext/>
      </w:pPr>
      <w:r>
        <w:t>15.1 Membership Lifecycle</w:t>
      </w:r>
    </w:p>
    <w:p>
      <w:pPr>
        <w:pStyle w:val="Bullet1"/>
        <w:spacing w:after="80" w:line="252" w:lineRule="auto"/>
      </w:pPr>
      <w:r>
        <w:rPr>
          <w:rFonts w:ascii="Noto Sans" w:hAnsi="Noto Sans"/>
        </w:rPr>
        <w:t>Membership stores agreement terms/version, start/end, renewal mode, lifecycle state and billing relationship. It never derives access by itself.</w:t>
      </w:r>
    </w:p>
    <w:p>
      <w:pPr>
        <w:pStyle w:val="Bullet1"/>
        <w:spacing w:after="80" w:line="252" w:lineRule="auto"/>
      </w:pPr>
      <w:r>
        <w:rPr>
          <w:rFonts w:ascii="Noto Sans" w:hAnsi="Noto Sans"/>
        </w:rPr>
        <w:t>Freeze/resume/upgrade/downgrade/cancel/transfer are explicit commands with effective dates, policy evaluation, billing/proration effects and audit.</w:t>
      </w:r>
    </w:p>
    <w:p>
      <w:pPr>
        <w:pStyle w:val="Bullet1"/>
        <w:spacing w:after="80" w:line="252" w:lineRule="auto"/>
      </w:pPr>
      <w:r>
        <w:rPr>
          <w:rFonts w:ascii="Noto Sans" w:hAnsi="Noto Sans"/>
        </w:rPr>
        <w:t>Historical terms and past periods are immutable; future scheduled changes are separate records.</w:t>
      </w:r>
    </w:p>
    <w:p>
      <w:pPr>
        <w:pStyle w:val="Bullet1"/>
        <w:spacing w:after="80" w:line="252" w:lineRule="auto"/>
      </w:pPr>
      <w:r>
        <w:rPr>
          <w:rFonts w:ascii="Noto Sans" w:hAnsi="Noto Sans"/>
        </w:rPr>
        <w:t>Dunning may suspend entitlement according to policy without destroying membership history.</w:t>
      </w:r>
    </w:p>
    <w:p>
      <w:pPr>
        <w:pStyle w:val="Heading2"/>
        <w:keepNext/>
      </w:pPr>
      <w:r>
        <w:t>15.2 Entitlement Engine</w:t>
      </w:r>
    </w:p>
    <w:p>
      <w:pPr>
        <w:pStyle w:val="Heading3"/>
      </w:pPr>
      <w:r>
        <w:t>Authoritative MemberEntitlementGrant state machine</w:t>
      </w:r>
    </w:p>
    <w:p>
      <w:pPr>
        <w:pStyle w:val="Bullet1"/>
      </w:pPr>
      <w:r>
        <w:t>COM-01 owns MemberEntitlementGrant(source_type/source_id, member_id, entitlement_type, quantity/unlimited, valid_from/to, location/resource scope, policy_version, version). PLT-03 uses PlanEntitlement for Veyro SaaS plan packaging; the terms are never interchangeable.</w:t>
      </w:r>
    </w:p>
    <w:p>
      <w:pPr>
        <w:pStyle w:val="Bullet1"/>
      </w:pPr>
      <w:r>
        <w:t>Finite grants use atomic RESERVED → CONSUMED or RESERVED → RELEASED transitions. Reserve records reservation_id, purpose/resource, expiry and idempotency_key; a unique active reservation/remaining-quantity constraint plus optimistic version update prevents double spend.</w:t>
      </w:r>
    </w:p>
    <w:p>
      <w:pPr>
        <w:pStyle w:val="Bullet1"/>
      </w:pPr>
      <w:r>
        <w:t>Events: entitlement.granted, entitlement.reserved, entitlement.consumed, entitlement.released, entitlement.expired, entitlement.revoked. Booking reserves where policy requires; session/access fulfilment consumes; cancellation releases. Expired reservations are released by an idempotent worker.</w:t>
      </w:r>
    </w:p>
    <w:p>
      <w:pPr>
        <w:pStyle w:val="Bullet1"/>
      </w:pPr>
      <w:r>
        <w:t>COM-04 ServiceCredit is the accounting liability/recognition source. COM-01 grant is authoritative for “may this member use the service now?” Reconciliation compares grant consumption to service-credit financial postings and opens a case on mismatch.</w:t>
      </w:r>
    </w:p>
    <w:tbl>
      <w:tblPr>
        <w:tblStyle w:val="TableGrid"/>
        <w:tblW w:type="dxa" w:w="9684"/>
        <w:tblLayout w:type="autofit"/>
        <w:tblLook w:firstColumn="1" w:firstRow="1" w:lastColumn="0" w:lastRow="0" w:noHBand="0" w:noVBand="1" w:val="04A0"/>
        <w:jc w:val="center"/>
      </w:tblPr>
      <w:tblGrid>
        <w:gridCol w:w="9684"/>
      </w:tblGrid>
      <w:tr>
        <w:trPr>
          <w:cantSplit/>
          <w:tblHeader w:val="true"/>
        </w:trPr>
        <w:tc>
          <w:tcPr>
            <w:tcW w:type="dxa" w:w="9684"/>
            <w:shd w:fill="F7F8FA"/>
            <w:tcMar>
              <w:top w:w="70" w:type="dxa"/>
              <w:start w:w="150" w:type="dxa"/>
              <w:bottom w:w="70" w:type="dxa"/>
              <w:end w:w="150" w:type="dxa"/>
              <w:left w:w="80" w:type="dxa"/>
              <w:right w:w="80" w:type="dxa"/>
            </w:tcMar>
            <w:vAlign w:val="center"/>
          </w:tcPr>
          <w:p>
            <w:pPr>
              <w:spacing w:line="240" w:lineRule="auto" w:after="0"/>
            </w:pPr>
            <w:r>
              <w:rPr>
                <w:rFonts w:ascii="DejaVu Sans Mono" w:hAnsi="DejaVu Sans Mono"/>
                <w:b/>
                <w:color w:val="263238"/>
                <w:sz w:val="16"/>
              </w:rPr>
              <w:t>evaluate(subject, capability, location, resource?, at_time, context)</w:t>
              <w:br/>
              <w:t xml:space="preserve">  -&gt; ALLOW | DENY | REQUIRE_PAYMENT | REQUIRE_BOOKING | LIMIT_REACHED</w:t>
              <w:br/>
              <w:t xml:space="preserve">     + reason_code + policy_version + remaining_quantity?</w:t>
              <w:br/>
            </w:r>
          </w:p>
        </w:tc>
      </w:tr>
    </w:tbl>
    <w:p>
      <w:pPr>
        <w:spacing w:after="40"/>
      </w:pPr>
    </w:p>
    <w:p>
      <w:pPr>
        <w:pStyle w:val="Bullet1"/>
        <w:spacing w:after="80" w:line="252" w:lineRule="auto"/>
      </w:pPr>
      <w:r>
        <w:rPr>
          <w:rFonts w:ascii="Noto Sans" w:hAnsi="Noto Sans"/>
        </w:rPr>
        <w:t>Entitlement grants may originate from membership, package, corporate eligibility, promotion, manual approved grant or service credit.</w:t>
      </w:r>
    </w:p>
    <w:p>
      <w:pPr>
        <w:pStyle w:val="Bullet1"/>
        <w:spacing w:after="80" w:line="252" w:lineRule="auto"/>
      </w:pPr>
      <w:r>
        <w:rPr>
          <w:rFonts w:ascii="Noto Sans" w:hAnsi="Noto Sans"/>
        </w:rPr>
        <w:t>Quantitative entitlements use a reservation/consume/release model for PT sessions, classes, guest passes and limited services.</w:t>
      </w:r>
    </w:p>
    <w:p>
      <w:pPr>
        <w:pStyle w:val="Bullet1"/>
        <w:spacing w:after="80" w:line="252" w:lineRule="auto"/>
      </w:pPr>
      <w:r>
        <w:rPr>
          <w:rFonts w:ascii="Noto Sans" w:hAnsi="Noto Sans"/>
        </w:rPr>
        <w:t>Access, booking and POS query the entitlement service rather than interpreting membership plan codes.</w:t>
      </w:r>
    </w:p>
    <w:p>
      <w:pPr>
        <w:pStyle w:val="Bullet1"/>
        <w:spacing w:after="80" w:line="252" w:lineRule="auto"/>
      </w:pPr>
      <w:r>
        <w:rPr>
          <w:rFonts w:ascii="Noto Sans" w:hAnsi="Noto Sans"/>
        </w:rPr>
        <w:t>Entitlement decisions are time- and location-aware and retain the policy/grant version used.</w:t>
      </w:r>
    </w:p>
    <w:p>
      <w:pPr>
        <w:pStyle w:val="Heading2"/>
        <w:keepNext/>
      </w:pPr>
      <w:r>
        <w:t>15.3 Scheduling and Booking</w:t>
      </w:r>
    </w:p>
    <w:p>
      <w:pPr>
        <w:pStyle w:val="Bullet1"/>
        <w:spacing w:after="80" w:line="252" w:lineRule="auto"/>
      </w:pPr>
      <w:r>
        <w:rPr>
          <w:rFonts w:ascii="Noto Sans" w:hAnsi="Noto Sans"/>
        </w:rPr>
        <w:t>Schedule owns published occurrences/resources/capacity. Booking owns member reservation/waitlist/cancel/attendance intent.</w:t>
      </w:r>
    </w:p>
    <w:p>
      <w:pPr>
        <w:pStyle w:val="Bullet1"/>
        <w:spacing w:after="80" w:line="252" w:lineRule="auto"/>
      </w:pPr>
      <w:r>
        <w:rPr>
          <w:rFonts w:ascii="Noto Sans" w:hAnsi="Noto Sans"/>
        </w:rPr>
        <w:t>Capacity changes use optimistic concurrency or atomic reservation counters to prevent overbooking.</w:t>
      </w:r>
    </w:p>
    <w:p>
      <w:pPr>
        <w:pStyle w:val="Bullet1"/>
        <w:spacing w:after="80" w:line="252" w:lineRule="auto"/>
      </w:pPr>
      <w:r>
        <w:rPr>
          <w:rFonts w:ascii="Noto Sans" w:hAnsi="Noto Sans"/>
        </w:rPr>
        <w:t>Booking create evaluates eligibility, entitlement, booking window, cancellation/no-show policy and resource capacity.</w:t>
      </w:r>
    </w:p>
    <w:p>
      <w:pPr>
        <w:pStyle w:val="Bullet1"/>
        <w:spacing w:after="80" w:line="252" w:lineRule="auto"/>
      </w:pPr>
      <w:r>
        <w:rPr>
          <w:rFonts w:ascii="Noto Sans" w:hAnsi="Noto Sans"/>
        </w:rPr>
        <w:t>Waitlist promotion is an idempotent workflow with offer/expiry policy; a member cannot consume the same capacity twice.</w:t>
      </w:r>
    </w:p>
    <w:p>
      <w:pPr>
        <w:pStyle w:val="Bullet1"/>
        <w:spacing w:after="80" w:line="252" w:lineRule="auto"/>
      </w:pPr>
      <w:r>
        <w:rPr>
          <w:rFonts w:ascii="Noto Sans" w:hAnsi="Noto Sans"/>
        </w:rPr>
        <w:t>Recurring schedule definition is separate from generated occurrences so historical instances remain stable after template edits.</w:t>
      </w:r>
    </w:p>
    <w:p>
      <w:pPr>
        <w:pStyle w:val="Bullet1"/>
        <w:spacing w:after="80" w:line="252" w:lineRule="auto"/>
      </w:pPr>
      <w:r>
        <w:rPr>
          <w:rFonts w:ascii="Noto Sans" w:hAnsi="Noto Sans"/>
        </w:rPr>
        <w:t>Time zones are location-specific; store UTC instants and source local timezone/recurrence rule for correct DST behavior.</w:t>
      </w:r>
    </w:p>
    <w:p>
      <w:pPr>
        <w:pStyle w:val="Heading1"/>
        <w:keepNext/>
      </w:pPr>
      <w:r>
        <w:t>16. Access Control, Biometrics, Edge &amp; Offline Operation</w:t>
      </w:r>
    </w:p>
    <w:p>
      <w:pPr>
        <w:spacing w:after="40"/>
        <w:jc w:val="center"/>
      </w:pPr>
      <w:r>
        <w:drawing>
          <wp:inline xmlns:a="http://schemas.openxmlformats.org/drawingml/2006/main" xmlns:pic="http://schemas.openxmlformats.org/drawingml/2006/picture">
            <wp:extent cx="6172200" cy="688260"/>
            <wp:docPr id="4" name="Picture 4" descr="Figure 4. Online and bounded offline access decision path." title="Figure 4. Online and bounded offline access decision path."/>
            <wp:cNvGraphicFramePr>
              <a:graphicFrameLocks noChangeAspect="1"/>
            </wp:cNvGraphicFramePr>
            <a:graphic>
              <a:graphicData uri="http://schemas.openxmlformats.org/drawingml/2006/picture">
                <pic:pic>
                  <pic:nvPicPr>
                    <pic:cNvPr id="0" name="access.png"/>
                    <pic:cNvPicPr/>
                  </pic:nvPicPr>
                  <pic:blipFill>
                    <a:blip r:embed="rId13"/>
                    <a:stretch>
                      <a:fillRect/>
                    </a:stretch>
                  </pic:blipFill>
                  <pic:spPr>
                    <a:xfrm>
                      <a:off x="0" y="0"/>
                      <a:ext cx="6172200" cy="688260"/>
                    </a:xfrm>
                    <a:prstGeom prst="rect"/>
                  </pic:spPr>
                </pic:pic>
              </a:graphicData>
            </a:graphic>
          </wp:inline>
        </w:drawing>
      </w:r>
    </w:p>
    <w:p>
      <w:pPr>
        <w:spacing w:after="160"/>
        <w:jc w:val="center"/>
      </w:pPr>
      <w:r>
        <w:rPr>
          <w:rFonts w:ascii="Noto Sans" w:hAnsi="Noto Sans"/>
          <w:i/>
          <w:color w:val="5B6773"/>
          <w:sz w:val="17"/>
        </w:rPr>
        <w:t>Figure 4. Online and bounded offline access decision path.</w:t>
      </w:r>
    </w:p>
    <w:p>
      <w:pPr>
        <w:pStyle w:val="Heading2"/>
        <w:keepNext/>
      </w:pPr>
      <w:r>
        <w:t>16.1 Credential vs Authorization</w:t>
      </w:r>
    </w:p>
    <w:p>
      <w:pPr>
        <w:pStyle w:val="Bullet1"/>
        <w:spacing w:after="80" w:line="252" w:lineRule="auto"/>
      </w:pPr>
      <w:r>
        <w:rPr>
          <w:rFonts w:ascii="Noto Sans" w:hAnsi="Noto Sans"/>
        </w:rPr>
        <w:t>QR, NFC, wallet pass, physical card and biometric token are credentials. They identify a subject/credential record; they do not encode unrestricted authorization.</w:t>
      </w:r>
    </w:p>
    <w:p>
      <w:pPr>
        <w:pStyle w:val="Bullet1"/>
        <w:spacing w:after="80" w:line="252" w:lineRule="auto"/>
      </w:pPr>
      <w:r>
        <w:rPr>
          <w:rFonts w:ascii="Noto Sans" w:hAnsi="Noto Sans"/>
        </w:rPr>
        <w:t>Access decision evaluates credential status, subject identity, location/zone, time, entitlement, membership policy, anti-passback, suspension and device trust.</w:t>
      </w:r>
    </w:p>
    <w:p>
      <w:pPr>
        <w:pStyle w:val="Bullet1"/>
        <w:spacing w:after="80" w:line="252" w:lineRule="auto"/>
      </w:pPr>
      <w:r>
        <w:rPr>
          <w:rFonts w:ascii="Noto Sans" w:hAnsi="Noto Sans"/>
        </w:rPr>
        <w:t>Every decision returns stable reason codes suitable for member/front-desk explanation and stores policy/entitlement version references.</w:t>
      </w:r>
    </w:p>
    <w:p>
      <w:pPr>
        <w:pStyle w:val="Heading2"/>
        <w:keepNext/>
      </w:pPr>
      <w:r>
        <w:t>16.2 Edge Agent</w:t>
      </w:r>
    </w:p>
    <w:p>
      <w:pPr>
        <w:pStyle w:val="Heading3"/>
      </w:pPr>
      <w:r>
        <w:t>Offline snapshot bounds</w:t>
      </w:r>
    </w:p>
    <w:p>
      <w:pPr>
        <w:pStyle w:val="Bullet1"/>
      </w:pPr>
      <w:r>
        <w:t>Standard access snapshot authorization TTL is 12 hours; high-risk zones default to 2 hours and may be configured shorter. Online devices request deltas at least every 5 minutes and immediately on a pushed revocation epoch.</w:t>
      </w:r>
    </w:p>
    <w:p>
      <w:pPr>
        <w:pStyle w:val="Bullet1"/>
      </w:pPr>
      <w:r>
        <w:t>Snapshot payload target is ≤5 MB per 10,000 active credentials and contains only pseudonymous credential hashes, minimal entitlement/policy bits, validity windows and revocation epoch. No member profile/health/payment history is replicated.</w:t>
      </w:r>
    </w:p>
    <w:p>
      <w:pPr>
        <w:pStyle w:val="Bullet1"/>
      </w:pPr>
      <w:r>
        <w:t>Device signing/encryption keys rotate at least every 90 days and immediately on compromise/re-provisioning. If device clock skew exceeds 60 seconds, rotating credentials are not accepted; the device enters supervised/manual degraded mode.</w:t>
      </w:r>
    </w:p>
    <w:p>
      <w:pPr>
        <w:pStyle w:val="Bullet1"/>
      </w:pPr>
      <w:r>
        <w:t>Offline anti-passback is local to a device/connected controller group. Cross-device global anti-passback is not claimed while disconnected; reconciliation flags duplicates after reconnect.</w:t>
      </w:r>
    </w:p>
    <w:p>
      <w:pPr>
        <w:pStyle w:val="Bullet1"/>
        <w:spacing w:after="80" w:line="252" w:lineRule="auto"/>
      </w:pPr>
      <w:r>
        <w:rPr>
          <w:rFonts w:ascii="Noto Sans" w:hAnsi="Noto Sans"/>
        </w:rPr>
        <w:t>Rust service with per-device mTLS certificate and device registration. Secure update channel and staged rollout.</w:t>
      </w:r>
    </w:p>
    <w:p>
      <w:pPr>
        <w:pStyle w:val="Bullet1"/>
        <w:spacing w:after="80" w:line="252" w:lineRule="auto"/>
      </w:pPr>
      <w:r>
        <w:rPr>
          <w:rFonts w:ascii="Noto Sans" w:hAnsi="Noto Sans"/>
        </w:rPr>
        <w:t>Local SQLite WAL stores signed access snapshot, device configuration, command/event queue and last sync markers; no unrestricted member database replica.</w:t>
      </w:r>
    </w:p>
    <w:p>
      <w:pPr>
        <w:pStyle w:val="Bullet1"/>
        <w:spacing w:after="80" w:line="252" w:lineRule="auto"/>
      </w:pPr>
      <w:r>
        <w:rPr>
          <w:rFonts w:ascii="Noto Sans" w:hAnsi="Noto Sans"/>
        </w:rPr>
        <w:t>Signed snapshot contains minimal credential-to-subject/entitlement/policy material with short TTL and revocation epoch.</w:t>
      </w:r>
    </w:p>
    <w:p>
      <w:pPr>
        <w:pStyle w:val="Bullet1"/>
        <w:spacing w:after="80" w:line="252" w:lineRule="auto"/>
      </w:pPr>
      <w:r>
        <w:rPr>
          <w:rFonts w:ascii="Noto Sans" w:hAnsi="Noto Sans"/>
        </w:rPr>
        <w:t>Clock integrity is monitored because offline validity windows depend on time. Large skew moves device into degraded/manual mode.</w:t>
      </w:r>
    </w:p>
    <w:p>
      <w:pPr>
        <w:pStyle w:val="Bullet1"/>
        <w:spacing w:after="80" w:line="252" w:lineRule="auto"/>
      </w:pPr>
      <w:r>
        <w:rPr>
          <w:rFonts w:ascii="Noto Sans" w:hAnsi="Noto Sans"/>
        </w:rPr>
        <w:t>Offline events carry local monotonic sequence and idempotency key; reconnect reconciliation deduplicates and flags policy conflicts rather than rewriting history.</w:t>
      </w:r>
    </w:p>
    <w:p>
      <w:pPr>
        <w:pStyle w:val="Heading2"/>
        <w:keepNext/>
      </w:pPr>
      <w:r>
        <w:t>16.3 Biometrics</w:t>
      </w:r>
    </w:p>
    <w:p>
      <w:pPr>
        <w:pStyle w:val="Bullet1"/>
        <w:spacing w:after="80" w:line="252" w:lineRule="auto"/>
      </w:pPr>
      <w:r>
        <w:rPr>
          <w:rFonts w:ascii="Noto Sans" w:hAnsi="Noto Sans"/>
        </w:rPr>
        <w:t>Device Face ID/Touch ID remains OS-local and is used only for app authentication/step-up.</w:t>
      </w:r>
    </w:p>
    <w:p>
      <w:pPr>
        <w:pStyle w:val="Bullet1"/>
        <w:spacing w:after="80" w:line="252" w:lineRule="auto"/>
      </w:pPr>
      <w:r>
        <w:rPr>
          <w:rFonts w:ascii="Noto Sans" w:hAnsi="Noto Sans"/>
        </w:rPr>
        <w:t>Facility facial recognition is a separate optional system with explicit consent, alternative methods, liveness, retention/deletion policy and vendor-neutral adapter.</w:t>
      </w:r>
    </w:p>
    <w:p>
      <w:pPr>
        <w:pStyle w:val="Bullet1"/>
        <w:spacing w:after="80" w:line="252" w:lineRule="auto"/>
      </w:pPr>
      <w:r>
        <w:rPr>
          <w:rFonts w:ascii="Noto Sans" w:hAnsi="Noto Sans"/>
        </w:rPr>
        <w:t>Prefer storing encrypted biometric template/token with specialist vendor/secure boundary rather than raw images; any retained enrollment media requires explicit purpose/retention.</w:t>
      </w:r>
    </w:p>
    <w:p>
      <w:pPr>
        <w:pStyle w:val="Bullet1"/>
        <w:spacing w:after="80" w:line="252" w:lineRule="auto"/>
      </w:pPr>
      <w:r>
        <w:rPr>
          <w:rFonts w:ascii="Noto Sans" w:hAnsi="Noto Sans"/>
        </w:rPr>
        <w:t>Biometric match result is an identification signal; final access authorization still uses Veyro policy/entitlement.</w:t>
      </w:r>
    </w:p>
    <w:p>
      <w:pPr>
        <w:pStyle w:val="Bullet1"/>
        <w:spacing w:after="80" w:line="252" w:lineRule="auto"/>
      </w:pPr>
      <w:r>
        <w:rPr>
          <w:rFonts w:ascii="Noto Sans" w:hAnsi="Noto Sans"/>
        </w:rPr>
        <w:t>Staff attendance biometric policy is distinct from member access policy and must be regionally/labor reviewed.</w:t>
      </w:r>
    </w:p>
    <w:p>
      <w:pPr>
        <w:pStyle w:val="Heading2"/>
      </w:pPr>
      <w:r>
        <w:t>16.4 Life-Safety and Emergency Door Behavior</w:t>
      </w:r>
    </w:p>
    <w:p>
      <w:pPr>
        <w:pStyle w:val="Bullet1"/>
      </w:pPr>
      <w:r>
        <w:t>Every access point is commissioned with a hardware safety profile: fail-safe, fail-secure or mechanical-free-egress according to door type, fire code, landlord/civil-defence requirements and vendor certification. Software cannot override required egress behavior.</w:t>
      </w:r>
    </w:p>
    <w:p>
      <w:pPr>
        <w:pStyle w:val="Bullet1"/>
      </w:pPr>
      <w:r>
        <w:t>Egress is never conditioned on Veyro membership, cloud reachability or software authorization. Maglocks/turnstiles used on an egress path must have the required fire-alarm/emergency-release wiring outside the Veyro application path.</w:t>
      </w:r>
    </w:p>
    <w:p>
      <w:pPr>
        <w:pStyle w:val="Bullet1"/>
      </w:pPr>
      <w:r>
        <w:t>Emergency unlock is a distinct privileged command with step-up/dual approval where time permits, device target, reason, actor and outcome audit. A local physical emergency input remains available when the network/edge agent is unavailable.</w:t>
      </w:r>
    </w:p>
    <w:p>
      <w:pPr>
        <w:pStyle w:val="Bullet1"/>
      </w:pPr>
      <w:r>
        <w:t>Commissioning tests power loss, edge-agent crash, controller disconnect, fire-alarm input, emergency unlock, recovery and manual override. A failed safety test blocks opening the access point in production.</w:t>
      </w:r>
    </w:p>
    <w:p>
      <w:pPr>
        <w:pStyle w:val="Bullet1"/>
      </w:pPr>
      <w:r>
        <w:t>Occupancy derived from access events is operational/advisory unless both entry and exit are reliably measured. It is never the sole life-safety muster source.</w:t>
      </w:r>
    </w:p>
    <w:p>
      <w:pPr>
        <w:pStyle w:val="Heading2"/>
      </w:pPr>
      <w:r>
        <w:t>16.5 Rotating QR / Mobile Credential Anti-Replay</w:t>
      </w:r>
    </w:p>
    <w:p>
      <w:pPr>
        <w:pStyle w:val="Bullet1"/>
      </w:pPr>
      <w:r>
        <w:t>The Member app derives a rotating signed credential token from a device-bound enrollment secret kept in Keychain/Keystore. Token fields include credential_id, tenant/location scope, issued_at, expires_at, rotation counter/nonce and signature; no raw PII is encoded.</w:t>
      </w:r>
    </w:p>
    <w:p>
      <w:pPr>
        <w:pStyle w:val="Bullet1"/>
      </w:pPr>
      <w:r>
        <w:t>Default QR lifetime is 30 seconds with configurable ±30-second reader clock tolerance. Edge readers validate signature, scope, revocation epoch and recent-token replay cache before policy evaluation. Online facilities may share replay evidence through the edge group; offline protection is bounded to the local controller group.</w:t>
      </w:r>
    </w:p>
    <w:p>
      <w:pPr>
        <w:pStyle w:val="Bullet1"/>
      </w:pPr>
      <w:r>
        <w:t>Screenshot sharing is mitigated by short lifetime and device-bound rotation, not assumed impossible. Suspected sharing can revoke the credential/device without changing the member identity.</w:t>
      </w:r>
    </w:p>
    <w:p>
      <w:pPr>
        <w:pStyle w:val="Heading1"/>
        <w:keepNext/>
      </w:pPr>
      <w:r>
        <w:t>17. Coaching, Training, Nutrition, Health &amp; Safety</w:t>
      </w:r>
    </w:p>
    <w:p>
      <w:pPr>
        <w:pStyle w:val="Heading2"/>
        <w:keepNext/>
      </w:pPr>
      <w:r>
        <w:t>17.1 Coach Workspace</w:t>
      </w:r>
    </w:p>
    <w:p>
      <w:pPr>
        <w:pStyle w:val="Bullet1"/>
        <w:spacing w:after="80" w:line="252" w:lineRule="auto"/>
      </w:pPr>
      <w:r>
        <w:rPr>
          <w:rFonts w:ascii="Noto Sans" w:hAnsi="Noto Sans"/>
        </w:rPr>
        <w:t>Coach Today is a permissioned projection over schedule, assigned clients, overdue attention, sessions and relevant plan state.</w:t>
      </w:r>
    </w:p>
    <w:p>
      <w:pPr>
        <w:pStyle w:val="Bullet1"/>
        <w:spacing w:after="80" w:line="252" w:lineRule="auto"/>
      </w:pPr>
      <w:r>
        <w:rPr>
          <w:rFonts w:ascii="Noto Sans" w:hAnsi="Noto Sans"/>
        </w:rPr>
        <w:t>Coach-client relationship is explicit and time-bounded; access to health/nutrition notes follows relationship and field policy.</w:t>
      </w:r>
    </w:p>
    <w:p>
      <w:pPr>
        <w:pStyle w:val="Bullet1"/>
        <w:spacing w:after="80" w:line="252" w:lineRule="auto"/>
      </w:pPr>
      <w:r>
        <w:rPr>
          <w:rFonts w:ascii="Noto Sans" w:hAnsi="Noto Sans"/>
        </w:rPr>
        <w:t>Session completion and PT credit consumption are separate but coordinated events; disputed/late verification remains auditable.</w:t>
      </w:r>
    </w:p>
    <w:p>
      <w:pPr>
        <w:pStyle w:val="Heading2"/>
        <w:keepNext/>
      </w:pPr>
      <w:r>
        <w:t>17.2 Training Versioning and Offline Logging</w:t>
      </w:r>
    </w:p>
    <w:p>
      <w:pPr>
        <w:pStyle w:val="Bullet1"/>
        <w:spacing w:after="80" w:line="252" w:lineRule="auto"/>
      </w:pPr>
      <w:r>
        <w:rPr>
          <w:rFonts w:ascii="Noto Sans" w:hAnsi="Noto Sans"/>
        </w:rPr>
        <w:t>Program, workout template and exercise prescription are versioned. Assignment points to an exact version.</w:t>
      </w:r>
    </w:p>
    <w:p>
      <w:pPr>
        <w:pStyle w:val="Bullet1"/>
        <w:spacing w:after="80" w:line="252" w:lineRule="auto"/>
      </w:pPr>
      <w:r>
        <w:rPr>
          <w:rFonts w:ascii="Noto Sans" w:hAnsi="Noto Sans"/>
        </w:rPr>
        <w:t>WorkoutLog/SetLog is append/update during an active session but final completion freezes the executed prescription reference.</w:t>
      </w:r>
    </w:p>
    <w:p>
      <w:pPr>
        <w:pStyle w:val="Bullet1"/>
        <w:spacing w:after="80" w:line="252" w:lineRule="auto"/>
      </w:pPr>
      <w:r>
        <w:rPr>
          <w:rFonts w:ascii="Noto Sans" w:hAnsi="Noto Sans"/>
        </w:rPr>
        <w:t>The shared KMP mobile sync layer may cache assigned workouts and queue set logs offline on both Android and iOS with client-generated UUIDv7/idempotency keys; conflict rule favors preserving both observations and surfacing an edit conflict rather than data loss.</w:t>
      </w:r>
    </w:p>
    <w:p>
      <w:pPr>
        <w:pStyle w:val="Bullet1"/>
        <w:spacing w:after="80" w:line="252" w:lineRule="auto"/>
      </w:pPr>
      <w:r>
        <w:rPr>
          <w:rFonts w:ascii="Noto Sans" w:hAnsi="Noto Sans"/>
        </w:rPr>
        <w:t>Weights/measurements store numeric value + unit + provenance; presentation/localization does not alter stored canonical unit semantics.</w:t>
      </w:r>
    </w:p>
    <w:p>
      <w:pPr>
        <w:pStyle w:val="Heading2"/>
        <w:keepNext/>
      </w:pPr>
      <w:r>
        <w:t>17.3 Nutrition</w:t>
      </w:r>
    </w:p>
    <w:p>
      <w:pPr>
        <w:pStyle w:val="Heading3"/>
      </w:pPr>
      <w:r>
        <w:t>Blocking nutrition constraint validation</w:t>
      </w:r>
    </w:p>
    <w:p>
      <w:pPr>
        <w:pStyle w:val="Bullet1"/>
      </w:pPr>
      <w:r>
        <w:t>MemberNutritionConstraintSet is versioned and distinguishes allergy/intolerance/religious/preference/clinical-review flags with source, confidence, effective dates and qualified-review status.</w:t>
      </w:r>
    </w:p>
    <w:p>
      <w:pPr>
        <w:pStyle w:val="Bullet1"/>
      </w:pPr>
      <w:r>
        <w:t>Plan publish, member meal swap and AI-generated suggestion execute the same blocking validator against the assignment-time constraint version. Unknown/conflicting allergen data fails closed for the affected food/recipe and requires a safe alternative or qualified review.</w:t>
      </w:r>
    </w:p>
    <w:p>
      <w:pPr>
        <w:pStyle w:val="Bullet1"/>
      </w:pPr>
      <w:r>
        <w:t>Overrides require an authorized nutrition/clinical role, explicit reason, member/tenant policy eligibility and immutable audit linking the exact constraint and plan versions. AI cannot override a blocking constraint.</w:t>
      </w:r>
    </w:p>
    <w:p>
      <w:pPr>
        <w:pStyle w:val="Bullet1"/>
      </w:pPr>
      <w:r>
        <w:t>Clinical trigger criteria remain supplied by accountable regional/clinical governance and are versioned policy data; product code owns routing/enforcement, not medical policy authorship.</w:t>
      </w:r>
    </w:p>
    <w:p>
      <w:pPr>
        <w:pStyle w:val="Bullet1"/>
        <w:spacing w:after="80" w:line="252" w:lineRule="auto"/>
      </w:pPr>
      <w:r>
        <w:rPr>
          <w:rFonts w:ascii="Noto Sans" w:hAnsi="Noto Sans"/>
        </w:rPr>
        <w:t>NutritionPlan versions targets, meal slots, recipes/foods, alternatives, constraints and assignment window.</w:t>
      </w:r>
    </w:p>
    <w:p>
      <w:pPr>
        <w:pStyle w:val="Bullet1"/>
        <w:spacing w:after="80" w:line="252" w:lineRule="auto"/>
      </w:pPr>
      <w:r>
        <w:rPr>
          <w:rFonts w:ascii="Noto Sans" w:hAnsi="Noto Sans"/>
        </w:rPr>
        <w:t>AI/template/manual plan creation converges on the same validated plan schema.</w:t>
      </w:r>
    </w:p>
    <w:p>
      <w:pPr>
        <w:pStyle w:val="Bullet1"/>
        <w:spacing w:after="80" w:line="252" w:lineRule="auto"/>
      </w:pPr>
      <w:r>
        <w:rPr>
          <w:rFonts w:ascii="Noto Sans" w:hAnsi="Noto Sans"/>
        </w:rPr>
        <w:t>Meal logging records planned-item linkage or ad-hoc food, quantity, source (manual/search/barcode/photo estimate), confidence where estimated and observed time.</w:t>
      </w:r>
    </w:p>
    <w:p>
      <w:pPr>
        <w:pStyle w:val="Bullet1"/>
        <w:spacing w:after="80" w:line="252" w:lineRule="auto"/>
      </w:pPr>
      <w:r>
        <w:rPr>
          <w:rFonts w:ascii="Noto Sans" w:hAnsi="Noto Sans"/>
        </w:rPr>
        <w:t>Swap suggestions must satisfy the member constraints known to the system; clinical/qualified-review triggers are policy supplied by accountable regional/clinical governance, not invented in code or AI prompts.</w:t>
      </w:r>
    </w:p>
    <w:p>
      <w:pPr>
        <w:pStyle w:val="Bullet1"/>
        <w:spacing w:after="80" w:line="252" w:lineRule="auto"/>
      </w:pPr>
      <w:r>
        <w:rPr>
          <w:rFonts w:ascii="Noto Sans" w:hAnsi="Noto Sans"/>
        </w:rPr>
        <w:t>Restricted/disabled/review-required nutrition modes are first-class policy states.</w:t>
      </w:r>
    </w:p>
    <w:p>
      <w:pPr>
        <w:pStyle w:val="Heading2"/>
        <w:keepNext/>
      </w:pPr>
      <w:r>
        <w:t>17.4 Health and Safety</w:t>
      </w:r>
    </w:p>
    <w:p>
      <w:pPr>
        <w:pStyle w:val="Bullet1"/>
        <w:spacing w:after="80" w:line="252" w:lineRule="auto"/>
      </w:pPr>
      <w:r>
        <w:rPr>
          <w:rFonts w:ascii="Noto Sans" w:hAnsi="Noto Sans"/>
        </w:rPr>
        <w:t>PAR-Q/screening, limitations, waivers and consent are versioned evidence records. Current restriction is a projection from authoritative signed/reviewed records.</w:t>
      </w:r>
    </w:p>
    <w:p>
      <w:pPr>
        <w:pStyle w:val="Bullet1"/>
        <w:spacing w:after="80" w:line="252" w:lineRule="auto"/>
      </w:pPr>
      <w:r>
        <w:rPr>
          <w:rFonts w:ascii="Noto Sans" w:hAnsi="Noto Sans"/>
        </w:rPr>
        <w:t>Incidents have severity, people, location, time, narrative/evidence, escalation, corrective action and closure; restricted visibility and immutable history apply.</w:t>
      </w:r>
    </w:p>
    <w:p>
      <w:pPr>
        <w:pStyle w:val="Bullet1"/>
        <w:spacing w:after="80" w:line="252" w:lineRule="auto"/>
      </w:pPr>
      <w:r>
        <w:rPr>
          <w:rFonts w:ascii="Noto Sans" w:hAnsi="Noto Sans"/>
        </w:rPr>
        <w:t>Emergency access/break-glass to health context requires purpose, elevated assurance and audit.</w:t>
      </w:r>
    </w:p>
    <w:p>
      <w:pPr>
        <w:pStyle w:val="Bullet1"/>
        <w:spacing w:after="80" w:line="252" w:lineRule="auto"/>
      </w:pPr>
      <w:r>
        <w:rPr>
          <w:rFonts w:ascii="Noto Sans" w:hAnsi="Noto Sans"/>
        </w:rPr>
        <w:t>Veyro stores coaching/wellness information but does not claim diagnosis/treatment. Medical escalation is a policy/workflow boundary.</w:t>
      </w:r>
    </w:p>
    <w:p>
      <w:pPr>
        <w:pStyle w:val="Heading1"/>
        <w:keepNext/>
      </w:pPr>
      <w:r>
        <w:t>18. Communication, Notifications, Search &amp; Member Timeline</w:t>
      </w:r>
    </w:p>
    <w:p>
      <w:pPr>
        <w:pStyle w:val="Heading2"/>
        <w:keepNext/>
      </w:pPr>
      <w:r>
        <w:t>18.1 Conversation and Messaging</w:t>
      </w:r>
    </w:p>
    <w:p>
      <w:pPr>
        <w:pStyle w:val="Bullet1"/>
        <w:spacing w:after="80" w:line="252" w:lineRule="auto"/>
      </w:pPr>
      <w:r>
        <w:rPr>
          <w:rFonts w:ascii="Noto Sans" w:hAnsi="Noto Sans"/>
        </w:rPr>
        <w:t>Conversation is channel-agnostic; Message stores channel/provider delivery evidence and contextual links to member/booking/payment/meal/task where permitted.</w:t>
      </w:r>
    </w:p>
    <w:p>
      <w:pPr>
        <w:pStyle w:val="Bullet1"/>
        <w:spacing w:after="80" w:line="252" w:lineRule="auto"/>
      </w:pPr>
      <w:r>
        <w:rPr>
          <w:rFonts w:ascii="Noto Sans" w:hAnsi="Noto Sans"/>
        </w:rPr>
        <w:t>WhatsApp, SMS, email, push and in-app providers sit behind adapter interfaces. Provider message IDs and delivery callbacks are deduplicated.</w:t>
      </w:r>
    </w:p>
    <w:p>
      <w:pPr>
        <w:pStyle w:val="Bullet1"/>
        <w:spacing w:after="80" w:line="252" w:lineRule="auto"/>
      </w:pPr>
      <w:r>
        <w:rPr>
          <w:rFonts w:ascii="Noto Sans" w:hAnsi="Noto Sans"/>
        </w:rPr>
        <w:t>Consent, quiet hours, channel preference, transactional-vs-marketing purpose and regional rules are enforced before dispatch.</w:t>
      </w:r>
    </w:p>
    <w:p>
      <w:pPr>
        <w:pStyle w:val="Bullet1"/>
        <w:spacing w:after="80" w:line="252" w:lineRule="auto"/>
      </w:pPr>
      <w:r>
        <w:rPr>
          <w:rFonts w:ascii="Noto Sans" w:hAnsi="Noto Sans"/>
        </w:rPr>
        <w:t>Inbound messages create/update a conversation and route to assigned team/coach/inbox through workflow rules.</w:t>
      </w:r>
    </w:p>
    <w:p>
      <w:pPr>
        <w:pStyle w:val="Heading2"/>
        <w:keepNext/>
      </w:pPr>
      <w:r>
        <w:t>18.2 Notification Orchestrator</w:t>
      </w:r>
    </w:p>
    <w:p>
      <w:pPr>
        <w:pStyle w:val="Bullet1"/>
        <w:spacing w:after="80" w:line="252" w:lineRule="auto"/>
      </w:pPr>
      <w:r>
        <w:rPr>
          <w:rFonts w:ascii="Noto Sans" w:hAnsi="Noto Sans"/>
        </w:rPr>
        <w:t>Domain event or explicit command creates NotificationRequest with template version, recipient, purpose, locale, channels and context.</w:t>
      </w:r>
    </w:p>
    <w:p>
      <w:pPr>
        <w:pStyle w:val="Bullet1"/>
        <w:spacing w:after="80" w:line="252" w:lineRule="auto"/>
      </w:pPr>
      <w:r>
        <w:rPr>
          <w:rFonts w:ascii="Noto Sans" w:hAnsi="Noto Sans"/>
        </w:rPr>
        <w:t>Renderer uses immutable template version and localized variables; no sensitive data is inserted into channels not approved for that classification.</w:t>
      </w:r>
    </w:p>
    <w:p>
      <w:pPr>
        <w:pStyle w:val="Bullet1"/>
        <w:spacing w:after="80" w:line="252" w:lineRule="auto"/>
      </w:pPr>
      <w:r>
        <w:rPr>
          <w:rFonts w:ascii="Noto Sans" w:hAnsi="Noto Sans"/>
        </w:rPr>
        <w:t>Provider retries are bounded; permanent failure updates delivery state and may trigger fallback channel according to policy.</w:t>
      </w:r>
    </w:p>
    <w:p>
      <w:pPr>
        <w:pStyle w:val="Heading2"/>
        <w:keepNext/>
      </w:pPr>
      <w:r>
        <w:t>18.3 Global Search</w:t>
      </w:r>
    </w:p>
    <w:p>
      <w:pPr>
        <w:pStyle w:val="Bullet1"/>
        <w:spacing w:after="80" w:line="252" w:lineRule="auto"/>
      </w:pPr>
      <w:r>
        <w:rPr>
          <w:rFonts w:ascii="Noto Sans" w:hAnsi="Noto Sans"/>
        </w:rPr>
        <w:t>Search index contains permission-aware projections for people, leads, invoices, payments, bookings, classes, products, staff, help and commands.</w:t>
      </w:r>
    </w:p>
    <w:p>
      <w:pPr>
        <w:pStyle w:val="Bullet1"/>
        <w:spacing w:after="80" w:line="252" w:lineRule="auto"/>
      </w:pPr>
      <w:r>
        <w:rPr>
          <w:rFonts w:ascii="Noto Sans" w:hAnsi="Noto Sans"/>
        </w:rPr>
        <w:t>Documents carry tenant_id, scope IDs, classification and visibility attributes. Query pre-filter is mandatory.</w:t>
      </w:r>
    </w:p>
    <w:p>
      <w:pPr>
        <w:pStyle w:val="Bullet1"/>
        <w:spacing w:after="80" w:line="252" w:lineRule="auto"/>
      </w:pPr>
      <w:r>
        <w:rPr>
          <w:rFonts w:ascii="Noto Sans" w:hAnsi="Noto Sans"/>
        </w:rPr>
        <w:t>Sensitive search hits are revalidated against domain authorization before detail is returned.</w:t>
      </w:r>
    </w:p>
    <w:p>
      <w:pPr>
        <w:pStyle w:val="Bullet1"/>
        <w:spacing w:after="80" w:line="252" w:lineRule="auto"/>
      </w:pPr>
      <w:r>
        <w:rPr>
          <w:rFonts w:ascii="Noto Sans" w:hAnsi="Noto Sans"/>
        </w:rPr>
        <w:t>Index updates are asynchronous from domain events and expose freshness. Missing/stale index must never allow a mutation without authoritative re-read.</w:t>
      </w:r>
    </w:p>
    <w:p>
      <w:pPr>
        <w:pStyle w:val="Heading2"/>
        <w:keepNext/>
      </w:pPr>
      <w:r>
        <w:t>18.4 Member Timeline</w:t>
      </w:r>
    </w:p>
    <w:p>
      <w:pPr>
        <w:pStyle w:val="Bullet1"/>
        <w:spacing w:after="80" w:line="252" w:lineRule="auto"/>
      </w:pPr>
      <w:r>
        <w:rPr>
          <w:rFonts w:ascii="Noto Sans" w:hAnsi="Noto Sans"/>
        </w:rPr>
        <w:t>Timeline is a projection of selected domain events into human-readable entries. It is not the source of truth for domain state.</w:t>
      </w:r>
    </w:p>
    <w:p>
      <w:pPr>
        <w:pStyle w:val="Bullet1"/>
        <w:spacing w:after="80" w:line="252" w:lineRule="auto"/>
      </w:pPr>
      <w:r>
        <w:rPr>
          <w:rFonts w:ascii="Noto Sans" w:hAnsi="Noto Sans"/>
        </w:rPr>
        <w:t>Each timeline item references the authoritative aggregate/event and applies permission/field masking at read time.</w:t>
      </w:r>
    </w:p>
    <w:p>
      <w:pPr>
        <w:pStyle w:val="Bullet1"/>
        <w:spacing w:after="80" w:line="252" w:lineRule="auto"/>
      </w:pPr>
      <w:r>
        <w:rPr>
          <w:rFonts w:ascii="Noto Sans" w:hAnsi="Noto Sans"/>
        </w:rPr>
        <w:t>Projection can be rebuilt from retained events/domain history; user notes/messages remain owned by their source domains.</w:t>
      </w:r>
    </w:p>
    <w:p>
      <w:pPr>
        <w:pStyle w:val="Heading1"/>
        <w:keepNext/>
      </w:pPr>
      <w:r>
        <w:t>19. Analytics, Data Platform &amp; AI Architecture</w:t>
      </w:r>
    </w:p>
    <w:p>
      <w:pPr>
        <w:pStyle w:val="Heading2"/>
        <w:keepNext/>
      </w:pPr>
      <w:r>
        <w:t>19.1 Operational Analytics</w:t>
      </w:r>
    </w:p>
    <w:p>
      <w:pPr>
        <w:pStyle w:val="Bullet1"/>
        <w:spacing w:after="80" w:line="252" w:lineRule="auto"/>
      </w:pPr>
      <w:r>
        <w:rPr>
          <w:rFonts w:ascii="Noto Sans" w:hAnsi="Noto Sans"/>
        </w:rPr>
        <w:t>V1 Command Center and operational metrics use domain read models/materialized aggregates where freshness requirements are seconds/minutes.</w:t>
      </w:r>
    </w:p>
    <w:p>
      <w:pPr>
        <w:pStyle w:val="Bullet1"/>
        <w:spacing w:after="80" w:line="252" w:lineRule="auto"/>
      </w:pPr>
      <w:r>
        <w:rPr>
          <w:rFonts w:ascii="Noto Sans" w:hAnsi="Noto Sans"/>
        </w:rPr>
        <w:t>Metric definitions have owner, SQL/semantic definition, dimensions, freshness SLA and quality checks; dashboards do not invent metric logic client-side.</w:t>
      </w:r>
    </w:p>
    <w:p>
      <w:pPr>
        <w:pStyle w:val="Bullet1"/>
        <w:spacing w:after="80" w:line="252" w:lineRule="auto"/>
      </w:pPr>
      <w:r>
        <w:rPr>
          <w:rFonts w:ascii="Noto Sans" w:hAnsi="Noto Sans"/>
        </w:rPr>
        <w:t>Large historical/cohort/benchmark workloads move to the analytics platform in V1.5, fed from events/CDC/provider settlements.</w:t>
      </w:r>
    </w:p>
    <w:p>
      <w:pPr>
        <w:pStyle w:val="Heading2"/>
        <w:keepNext/>
      </w:pPr>
      <w:r>
        <w:t>19.2 Data Platform</w:t>
      </w:r>
    </w:p>
    <w:p>
      <w:pPr>
        <w:pStyle w:val="Bullet1"/>
        <w:spacing w:after="80" w:line="252" w:lineRule="auto"/>
      </w:pPr>
      <w:r>
        <w:rPr>
          <w:rFonts w:ascii="Noto Sans" w:hAnsi="Noto Sans"/>
        </w:rPr>
        <w:t>Raw landing/archive -&gt; cleaned/conformed -&gt; business-ready facts/dimensions/data products.</w:t>
      </w:r>
    </w:p>
    <w:p>
      <w:pPr>
        <w:pStyle w:val="Bullet1"/>
        <w:spacing w:after="80" w:line="252" w:lineRule="auto"/>
      </w:pPr>
      <w:r>
        <w:rPr>
          <w:rFonts w:ascii="Noto Sans" w:hAnsi="Noto Sans"/>
        </w:rPr>
        <w:t>Tenant/row/column security and pseudonymization are applied before analyst/AI access.</w:t>
      </w:r>
    </w:p>
    <w:p>
      <w:pPr>
        <w:pStyle w:val="Bullet1"/>
        <w:spacing w:after="80" w:line="252" w:lineRule="auto"/>
      </w:pPr>
      <w:r>
        <w:rPr>
          <w:rFonts w:ascii="Noto Sans" w:hAnsi="Noto Sans"/>
        </w:rPr>
        <w:t>Data catalog tracks ownership, classification, lineage, freshness, completeness and quality state.</w:t>
      </w:r>
    </w:p>
    <w:p>
      <w:pPr>
        <w:pStyle w:val="Bullet1"/>
        <w:spacing w:after="80" w:line="252" w:lineRule="auto"/>
      </w:pPr>
      <w:r>
        <w:rPr>
          <w:rFonts w:ascii="Noto Sans" w:hAnsi="Noto Sans"/>
        </w:rPr>
        <w:t>Reverse activation into operations uses typed domain commands/events, never direct warehouse writes to OLTP.</w:t>
      </w:r>
    </w:p>
    <w:p>
      <w:pPr>
        <w:spacing w:after="40"/>
        <w:jc w:val="center"/>
      </w:pPr>
      <w:r>
        <w:drawing>
          <wp:inline xmlns:a="http://schemas.openxmlformats.org/drawingml/2006/main" xmlns:pic="http://schemas.openxmlformats.org/drawingml/2006/picture">
            <wp:extent cx="6172200" cy="709707"/>
            <wp:docPr id="5" name="Picture 5" descr="Figure 5. Permissioned, evaluated AI architecture with guarded tool execution." title="Figure 5. Permissioned, evaluated AI architecture with guarded tool execution."/>
            <wp:cNvGraphicFramePr>
              <a:graphicFrameLocks noChangeAspect="1"/>
            </wp:cNvGraphicFramePr>
            <a:graphic>
              <a:graphicData uri="http://schemas.openxmlformats.org/drawingml/2006/picture">
                <pic:pic>
                  <pic:nvPicPr>
                    <pic:cNvPr id="0" name="ai.png"/>
                    <pic:cNvPicPr/>
                  </pic:nvPicPr>
                  <pic:blipFill>
                    <a:blip r:embed="rId14"/>
                    <a:stretch>
                      <a:fillRect/>
                    </a:stretch>
                  </pic:blipFill>
                  <pic:spPr>
                    <a:xfrm>
                      <a:off x="0" y="0"/>
                      <a:ext cx="6172200" cy="709707"/>
                    </a:xfrm>
                    <a:prstGeom prst="rect"/>
                  </pic:spPr>
                </pic:pic>
              </a:graphicData>
            </a:graphic>
          </wp:inline>
        </w:drawing>
      </w:r>
    </w:p>
    <w:p>
      <w:pPr>
        <w:spacing w:after="160"/>
        <w:jc w:val="center"/>
      </w:pPr>
      <w:r>
        <w:rPr>
          <w:rFonts w:ascii="Noto Sans" w:hAnsi="Noto Sans"/>
          <w:i/>
          <w:color w:val="5B6773"/>
          <w:sz w:val="17"/>
        </w:rPr>
        <w:t>Figure 5. Permissioned, evaluated AI architecture with guarded tool execution.</w:t>
      </w:r>
    </w:p>
    <w:p>
      <w:pPr>
        <w:pStyle w:val="Heading2"/>
        <w:keepNext/>
      </w:pPr>
      <w:r>
        <w:t>19.3 AI Platform</w:t>
      </w:r>
    </w:p>
    <w:p>
      <w:pPr>
        <w:pStyle w:val="Heading3"/>
      </w:pPr>
      <w:r>
        <w:t>AI operations and provider data boundary</w:t>
      </w:r>
    </w:p>
    <w:p>
      <w:pPr>
        <w:pStyle w:val="Bullet1"/>
      </w:pPr>
      <w:r>
        <w:t>Every AI execution records use_case_id, prompt_template_version, system-policy version, model/provider/version, retrieval snapshot/evidence IDs, tool schema version, safety policy version, latency, cost and outcome.</w:t>
      </w:r>
    </w:p>
    <w:p>
      <w:pPr>
        <w:pStyle w:val="Bullet1"/>
      </w:pPr>
      <w:r>
        <w:t>Model or prompt changes pass offline evaluation and canary/online evaluation before promotion. Drift monitors task success, groundedness, safety-block rate, tool error and cost; thresholds trigger rollback to the last approved model/prompt bundle.</w:t>
      </w:r>
    </w:p>
    <w:p>
      <w:pPr>
        <w:pStyle w:val="Bullet1"/>
      </w:pPr>
      <w:r>
        <w:t>Red-team findings are versioned governance artifacts with severity, remediation owner and regression tests. High-risk tool classes require human approval regardless of model confidence.</w:t>
      </w:r>
    </w:p>
    <w:p>
      <w:pPr>
        <w:pStyle w:val="Bullet1"/>
      </w:pPr>
      <w:r>
        <w:t>Provider contracts must prohibit training on tenant content and require the minimum feasible retention/no-retention mode. Restricted data may only be sent to approved providers/regions with DPA/subprocessor approval; tenant policy can disable specific providers/use cases.</w:t>
      </w:r>
    </w:p>
    <w:p>
      <w:pPr>
        <w:pStyle w:val="Bullet1"/>
      </w:pPr>
      <w:r>
        <w:t>Tenant data is never mixed in retrieval context, caches, fine-tunes or evaluation datasets across tenants. Synthetic/de-identified evaluation sets are preferred; production samples require explicit governance approval and retention limits.</w:t>
      </w:r>
    </w:p>
    <w:p>
      <w:pPr>
        <w:pStyle w:val="Bullet1"/>
        <w:spacing w:after="80" w:line="252" w:lineRule="auto"/>
      </w:pPr>
      <w:r>
        <w:rPr>
          <w:rFonts w:ascii="Noto Sans" w:hAnsi="Noto Sans"/>
        </w:rPr>
        <w:t>Use-case registry: owner, user role, purpose, allowed data classes, risk tier, allowed tools, approval policy, budget, evaluation set and kill switch.</w:t>
      </w:r>
    </w:p>
    <w:p>
      <w:pPr>
        <w:pStyle w:val="Bullet1"/>
        <w:spacing w:after="80" w:line="252" w:lineRule="auto"/>
      </w:pPr>
      <w:r>
        <w:rPr>
          <w:rFonts w:ascii="Noto Sans" w:hAnsi="Noto Sans"/>
        </w:rPr>
        <w:t>Retrieval: authorize tenant/role/relationship/fields before search/read; revalidate any cited record before response or tool use.</w:t>
      </w:r>
    </w:p>
    <w:p>
      <w:pPr>
        <w:pStyle w:val="Bullet1"/>
        <w:spacing w:after="80" w:line="252" w:lineRule="auto"/>
      </w:pPr>
      <w:r>
        <w:rPr>
          <w:rFonts w:ascii="Noto Sans" w:hAnsi="Noto Sans"/>
        </w:rPr>
        <w:t>Model gateway: provider abstraction, model routing by quality/latency/region/privacy/cost, fallback and circuit breaker.</w:t>
      </w:r>
    </w:p>
    <w:p>
      <w:pPr>
        <w:pStyle w:val="Bullet1"/>
        <w:spacing w:after="80" w:line="252" w:lineRule="auto"/>
      </w:pPr>
      <w:r>
        <w:rPr>
          <w:rFonts w:ascii="Noto Sans" w:hAnsi="Noto Sans"/>
        </w:rPr>
        <w:t>Grounding: responses cite internal governed records/metrics and expose freshness/uncertainty when relevant.</w:t>
      </w:r>
    </w:p>
    <w:p>
      <w:pPr>
        <w:pStyle w:val="Bullet1"/>
        <w:spacing w:after="80" w:line="252" w:lineRule="auto"/>
      </w:pPr>
      <w:r>
        <w:rPr>
          <w:rFonts w:ascii="Noto Sans" w:hAnsi="Noto Sans"/>
        </w:rPr>
        <w:t>Tool execution: typed schema, dry-run/preview when feasible, domain authorization, idempotency, approval for high-risk actions and immutable audit.</w:t>
      </w:r>
    </w:p>
    <w:p>
      <w:pPr>
        <w:pStyle w:val="Bullet1"/>
        <w:spacing w:after="80" w:line="252" w:lineRule="auto"/>
      </w:pPr>
      <w:r>
        <w:rPr>
          <w:rFonts w:ascii="Noto Sans" w:hAnsi="Noto Sans"/>
        </w:rPr>
        <w:t>Evaluation: offline golden sets plus online task success, acceptance, groundedness, safety, latency, cost and business impact.</w:t>
      </w:r>
    </w:p>
    <w:p>
      <w:pPr>
        <w:pStyle w:val="Bullet1"/>
        <w:spacing w:after="80" w:line="252" w:lineRule="auto"/>
      </w:pPr>
      <w:r>
        <w:rPr>
          <w:rFonts w:ascii="Noto Sans" w:hAnsi="Noto Sans"/>
        </w:rPr>
        <w:t>No model receives standing database credentials; no prompt can bypass tenant authorization or tool policy.</w:t>
      </w:r>
    </w:p>
    <w:p>
      <w:pPr>
        <w:pStyle w:val="Heading2"/>
        <w:keepNext/>
      </w:pPr>
      <w:r>
        <w:t>19.4 AI Risk Tiers</w:t>
      </w:r>
    </w:p>
    <w:tbl>
      <w:tblPr>
        <w:tblStyle w:val="TableGrid"/>
        <w:tblW w:type="dxa" w:w="9684"/>
        <w:jc w:val="center"/>
        <w:tblLayout w:type="autofit"/>
        <w:tblLook w:firstColumn="1" w:firstRow="1" w:lastColumn="0" w:lastRow="0" w:noHBand="0" w:noVBand="1" w:val="04A0"/>
      </w:tblPr>
      <w:tblGrid>
        <w:gridCol w:w="3228"/>
        <w:gridCol w:w="3228"/>
        <w:gridCol w:w="3228"/>
      </w:tblGrid>
      <w:tr>
        <w:trPr>
          <w:tblHeader w:val="true"/>
          <w:tblHeader w:val="true"/>
        </w:trPr>
        <w:tc>
          <w:tcPr>
            <w:tcW w:type="dxa" w:w="1489"/>
            <w:shd w:fill="2F5B86"/>
            <w:tcMar>
              <w:top w:w="70" w:type="dxa"/>
              <w:start w:w="90" w:type="dxa"/>
              <w:bottom w:w="70" w:type="dxa"/>
              <w:end w:w="90" w:type="dxa"/>
              <w:left w:w="80" w:type="dxa"/>
              <w:right w:w="80" w:type="dxa"/>
            </w:tcMar>
            <w:vAlign w:val="center"/>
          </w:tcPr>
          <w:p>
            <w:pPr>
              <w:jc w:val="center"/>
            </w:pPr>
            <w:r>
              <w:rPr>
                <w:rFonts w:ascii="Noto Sans" w:hAnsi="Noto Sans"/>
                <w:b/>
                <w:color w:val="FFFFFF"/>
                <w:sz w:val="16"/>
              </w:rPr>
              <w:t>Tier</w:t>
            </w:r>
          </w:p>
        </w:tc>
        <w:tc>
          <w:tcPr>
            <w:tcW w:type="dxa" w:w="3688"/>
            <w:shd w:fill="2F5B86"/>
            <w:tcMar>
              <w:top w:w="70" w:type="dxa"/>
              <w:start w:w="90" w:type="dxa"/>
              <w:bottom w:w="70" w:type="dxa"/>
              <w:end w:w="90" w:type="dxa"/>
              <w:left w:w="80" w:type="dxa"/>
              <w:right w:w="80" w:type="dxa"/>
            </w:tcMar>
            <w:vAlign w:val="center"/>
          </w:tcPr>
          <w:p>
            <w:pPr>
              <w:jc w:val="center"/>
            </w:pPr>
            <w:r>
              <w:rPr>
                <w:rFonts w:ascii="Noto Sans" w:hAnsi="Noto Sans"/>
                <w:b/>
                <w:color w:val="FFFFFF"/>
                <w:sz w:val="16"/>
              </w:rPr>
              <w:t>Examples</w:t>
            </w:r>
          </w:p>
        </w:tc>
        <w:tc>
          <w:tcPr>
            <w:tcW w:type="dxa" w:w="5674"/>
            <w:shd w:fill="2F5B86"/>
            <w:tcMar>
              <w:top w:w="70" w:type="dxa"/>
              <w:start w:w="90" w:type="dxa"/>
              <w:bottom w:w="70" w:type="dxa"/>
              <w:end w:w="90" w:type="dxa"/>
              <w:left w:w="80" w:type="dxa"/>
              <w:right w:w="80" w:type="dxa"/>
            </w:tcMar>
            <w:vAlign w:val="center"/>
          </w:tcPr>
          <w:p>
            <w:pPr>
              <w:jc w:val="center"/>
            </w:pPr>
            <w:r>
              <w:rPr>
                <w:rFonts w:ascii="Noto Sans" w:hAnsi="Noto Sans"/>
                <w:b/>
                <w:color w:val="FFFFFF"/>
                <w:sz w:val="16"/>
              </w:rPr>
              <w:t>Execution Policy</w:t>
            </w:r>
          </w:p>
        </w:tc>
      </w:tr>
      <w:tr>
        <w:tc>
          <w:tcPr>
            <w:tcW w:type="dxa" w:w="148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AI-0 Assistive</w:t>
            </w:r>
          </w:p>
        </w:tc>
        <w:tc>
          <w:tcPr>
            <w:tcW w:type="dxa" w:w="36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Summarize, explain, draft copy</w:t>
            </w:r>
          </w:p>
        </w:tc>
        <w:tc>
          <w:tcPr>
            <w:tcW w:type="dxa" w:w="5674"/>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Read-only authorized context; no tool mutation.</w:t>
            </w:r>
          </w:p>
        </w:tc>
      </w:tr>
      <w:tr>
        <w:tc>
          <w:tcPr>
            <w:tcW w:type="dxa" w:w="148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AI-1 Low-risk action</w:t>
            </w:r>
          </w:p>
        </w:tc>
        <w:tc>
          <w:tcPr>
            <w:tcW w:type="dxa" w:w="36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Create task, draft message, prepare plan draft</w:t>
            </w:r>
          </w:p>
        </w:tc>
        <w:tc>
          <w:tcPr>
            <w:tcW w:type="dxa" w:w="5674"/>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May auto-execute only if action is reversible and tenant policy permits.</w:t>
            </w:r>
          </w:p>
        </w:tc>
      </w:tr>
      <w:tr>
        <w:tc>
          <w:tcPr>
            <w:tcW w:type="dxa" w:w="148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AI-2 Consequence-bearing</w:t>
            </w:r>
          </w:p>
        </w:tc>
        <w:tc>
          <w:tcPr>
            <w:tcW w:type="dxa" w:w="36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Membership request, campaign launch, nutrition assignment, pricing suggestion</w:t>
            </w:r>
          </w:p>
        </w:tc>
        <w:tc>
          <w:tcPr>
            <w:tcW w:type="dxa" w:w="5674"/>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Preview plus explicit human approval or policy-based approval.</w:t>
            </w:r>
          </w:p>
        </w:tc>
      </w:tr>
      <w:tr>
        <w:tc>
          <w:tcPr>
            <w:tcW w:type="dxa" w:w="148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AI-3 High-risk</w:t>
            </w:r>
          </w:p>
        </w:tc>
        <w:tc>
          <w:tcPr>
            <w:tcW w:type="dxa" w:w="368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Refund/financial correction, privileged access, deletion, biometric/security, clinical-sensitive action</w:t>
            </w:r>
          </w:p>
        </w:tc>
        <w:tc>
          <w:tcPr>
            <w:tcW w:type="dxa" w:w="5674"/>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Human approval + elevated assurance; some actions may be prohibited from AI initiation entirely.</w:t>
            </w:r>
          </w:p>
        </w:tc>
      </w:tr>
    </w:tbl>
    <w:p>
      <w:pPr>
        <w:spacing w:after="40"/>
      </w:pPr>
    </w:p>
    <w:p>
      <w:pPr>
        <w:pStyle w:val="Heading1"/>
        <w:keepNext/>
      </w:pPr>
      <w:r>
        <w:t>20. Integrations, Developer Platform, Hardware &amp; White-label</w:t>
      </w:r>
    </w:p>
    <w:p>
      <w:pPr>
        <w:pStyle w:val="Heading2"/>
        <w:keepNext/>
      </w:pPr>
      <w:r>
        <w:t>20.1 Integration Capability Interfaces</w:t>
      </w:r>
    </w:p>
    <w:tbl>
      <w:tblPr>
        <w:tblStyle w:val="TableGrid"/>
        <w:tblW w:type="dxa" w:w="9684"/>
        <w:jc w:val="center"/>
        <w:tblLayout w:type="autofit"/>
        <w:tblLook w:firstColumn="1" w:firstRow="1" w:lastColumn="0" w:lastRow="0" w:noHBand="0" w:noVBand="1" w:val="04A0"/>
      </w:tblPr>
      <w:tblGrid>
        <w:gridCol w:w="4842"/>
        <w:gridCol w:w="4842"/>
      </w:tblGrid>
      <w:tr>
        <w:trPr>
          <w:tblHeader w:val="true"/>
          <w:tblHeader w:val="true"/>
        </w:trPr>
        <w:tc>
          <w:tcPr>
            <w:tcW w:type="dxa" w:w="2837"/>
            <w:shd w:fill="2F5B86"/>
            <w:tcMar>
              <w:top w:w="70" w:type="dxa"/>
              <w:start w:w="90" w:type="dxa"/>
              <w:bottom w:w="70" w:type="dxa"/>
              <w:end w:w="90" w:type="dxa"/>
              <w:left w:w="80" w:type="dxa"/>
              <w:right w:w="80" w:type="dxa"/>
            </w:tcMar>
            <w:vAlign w:val="center"/>
          </w:tcPr>
          <w:p>
            <w:pPr>
              <w:jc w:val="center"/>
            </w:pPr>
            <w:r>
              <w:rPr>
                <w:rFonts w:ascii="Noto Sans" w:hAnsi="Noto Sans"/>
                <w:b/>
                <w:color w:val="FFFFFF"/>
                <w:sz w:val="16"/>
              </w:rPr>
              <w:t>Interface</w:t>
            </w:r>
          </w:p>
        </w:tc>
        <w:tc>
          <w:tcPr>
            <w:tcW w:type="dxa" w:w="7092"/>
            <w:shd w:fill="2F5B86"/>
            <w:tcMar>
              <w:top w:w="70" w:type="dxa"/>
              <w:start w:w="90" w:type="dxa"/>
              <w:bottom w:w="70" w:type="dxa"/>
              <w:end w:w="90" w:type="dxa"/>
              <w:left w:w="80" w:type="dxa"/>
              <w:right w:w="80" w:type="dxa"/>
            </w:tcMar>
            <w:vAlign w:val="center"/>
          </w:tcPr>
          <w:p>
            <w:pPr>
              <w:jc w:val="center"/>
            </w:pPr>
            <w:r>
              <w:rPr>
                <w:rFonts w:ascii="Noto Sans" w:hAnsi="Noto Sans"/>
                <w:b/>
                <w:color w:val="FFFFFF"/>
                <w:sz w:val="16"/>
              </w:rPr>
              <w:t>Canonical Capabilities</w:t>
            </w:r>
          </w:p>
        </w:tc>
      </w:tr>
      <w:tr>
        <w:tc>
          <w:tcPr>
            <w:tcW w:type="dxa" w:w="283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PaymentProvider</w:t>
            </w:r>
          </w:p>
        </w:tc>
        <w:tc>
          <w:tcPr>
            <w:tcW w:type="dxa" w:w="709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create_intent, capture, refund, query, verify_webhook, settlement_import</w:t>
            </w:r>
          </w:p>
        </w:tc>
      </w:tr>
      <w:tr>
        <w:tc>
          <w:tcPr>
            <w:tcW w:type="dxa" w:w="283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TaxInvoiceProvider</w:t>
            </w:r>
          </w:p>
        </w:tc>
        <w:tc>
          <w:tcPr>
            <w:tcW w:type="dxa" w:w="709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submit_invoice, cancel/credit, query_status, get_qr/reference</w:t>
            </w:r>
          </w:p>
        </w:tc>
      </w:tr>
      <w:tr>
        <w:tc>
          <w:tcPr>
            <w:tcW w:type="dxa" w:w="283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MessagingProvider</w:t>
            </w:r>
          </w:p>
        </w:tc>
        <w:tc>
          <w:tcPr>
            <w:tcW w:type="dxa" w:w="709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send, status_callback, inbound_webhook, template_sync</w:t>
            </w:r>
          </w:p>
        </w:tc>
      </w:tr>
      <w:tr>
        <w:tc>
          <w:tcPr>
            <w:tcW w:type="dxa" w:w="283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AccessHardwareAdapter</w:t>
            </w:r>
          </w:p>
        </w:tc>
        <w:tc>
          <w:tcPr>
            <w:tcW w:type="dxa" w:w="709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identify credential, open/deny, device health, configuration</w:t>
            </w:r>
          </w:p>
        </w:tc>
      </w:tr>
      <w:tr>
        <w:tc>
          <w:tcPr>
            <w:tcW w:type="dxa" w:w="283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AccountingAdapter</w:t>
            </w:r>
          </w:p>
        </w:tc>
        <w:tc>
          <w:tcPr>
            <w:tcW w:type="dxa" w:w="709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export journal/invoice/payment, import settlement/reference</w:t>
            </w:r>
          </w:p>
        </w:tc>
      </w:tr>
      <w:tr>
        <w:tc>
          <w:tcPr>
            <w:tcW w:type="dxa" w:w="283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IdentityProviderAdapter</w:t>
            </w:r>
          </w:p>
        </w:tc>
        <w:tc>
          <w:tcPr>
            <w:tcW w:type="dxa" w:w="709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OIDC/SAML/SCIM/federation lifecycle</w:t>
            </w:r>
          </w:p>
        </w:tc>
      </w:tr>
      <w:tr>
        <w:tc>
          <w:tcPr>
            <w:tcW w:type="dxa" w:w="283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Storage/MediaAdapter</w:t>
            </w:r>
          </w:p>
        </w:tc>
        <w:tc>
          <w:tcPr>
            <w:tcW w:type="dxa" w:w="709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put/get signed URL, retention, delete, scan</w:t>
            </w:r>
          </w:p>
        </w:tc>
      </w:tr>
      <w:tr>
        <w:tc>
          <w:tcPr>
            <w:tcW w:type="dxa" w:w="283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MobilePassAdapter</w:t>
            </w:r>
          </w:p>
        </w:tc>
        <w:tc>
          <w:tcPr>
            <w:tcW w:type="dxa" w:w="709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issue/update/revoke wallet passes</w:t>
            </w:r>
          </w:p>
        </w:tc>
      </w:tr>
    </w:tbl>
    <w:p>
      <w:pPr>
        <w:spacing w:after="40"/>
      </w:pPr>
    </w:p>
    <w:p>
      <w:pPr>
        <w:pStyle w:val="Bullet1"/>
        <w:spacing w:after="80" w:line="252" w:lineRule="auto"/>
      </w:pPr>
      <w:r>
        <w:rPr>
          <w:rFonts w:ascii="Noto Sans" w:hAnsi="Noto Sans"/>
        </w:rPr>
        <w:t>Tenant-specific credentials live in a managed secret vault referenced by IntegrationInstall; secret values never enter normal application tables/logs.</w:t>
      </w:r>
    </w:p>
    <w:p>
      <w:pPr>
        <w:pStyle w:val="Bullet1"/>
        <w:spacing w:after="80" w:line="252" w:lineRule="auto"/>
      </w:pPr>
      <w:r>
        <w:rPr>
          <w:rFonts w:ascii="Noto Sans" w:hAnsi="Noto Sans"/>
        </w:rPr>
        <w:t>Connector workers store sync cursor, provider version, last success, retry state, reconciliation state and health metrics.</w:t>
      </w:r>
    </w:p>
    <w:p>
      <w:pPr>
        <w:pStyle w:val="Bullet1"/>
        <w:spacing w:after="80" w:line="252" w:lineRule="auto"/>
      </w:pPr>
      <w:r>
        <w:rPr>
          <w:rFonts w:ascii="Noto Sans" w:hAnsi="Noto Sans"/>
        </w:rPr>
        <w:t>Uninstall/revoke must prove provider access/data flow stopped and schedule cleanup according to retention policy.</w:t>
      </w:r>
    </w:p>
    <w:p>
      <w:pPr>
        <w:pStyle w:val="Bullet1"/>
        <w:spacing w:after="80" w:line="252" w:lineRule="auto"/>
      </w:pPr>
      <w:r>
        <w:rPr>
          <w:rFonts w:ascii="Noto Sans" w:hAnsi="Noto Sans"/>
        </w:rPr>
        <w:t>Partner/provider-specific payloads are translated at the adapter boundary; core domains never depend on provider field names.</w:t>
      </w:r>
    </w:p>
    <w:p>
      <w:pPr>
        <w:pStyle w:val="Heading2"/>
        <w:keepNext/>
      </w:pPr>
      <w:r>
        <w:t>20.2 Developer Platform</w:t>
      </w:r>
    </w:p>
    <w:p>
      <w:pPr>
        <w:pStyle w:val="Bullet1"/>
        <w:spacing w:after="80" w:line="252" w:lineRule="auto"/>
      </w:pPr>
      <w:r>
        <w:rPr>
          <w:rFonts w:ascii="Noto Sans" w:hAnsi="Noto Sans"/>
        </w:rPr>
        <w:t>Public API is a product contract, not a direct mirror of internal tables.</w:t>
      </w:r>
    </w:p>
    <w:p>
      <w:pPr>
        <w:pStyle w:val="Bullet1"/>
        <w:spacing w:after="80" w:line="252" w:lineRule="auto"/>
      </w:pPr>
      <w:r>
        <w:rPr>
          <w:rFonts w:ascii="Noto Sans" w:hAnsi="Noto Sans"/>
        </w:rPr>
        <w:t>Sandbox tenants have simulated providers, deterministic test data and safe webhook testing.</w:t>
      </w:r>
    </w:p>
    <w:p>
      <w:pPr>
        <w:pStyle w:val="Bullet1"/>
        <w:spacing w:after="80" w:line="252" w:lineRule="auto"/>
      </w:pPr>
      <w:r>
        <w:rPr>
          <w:rFonts w:ascii="Noto Sans" w:hAnsi="Noto Sans"/>
        </w:rPr>
        <w:t>Developer apps use explicit scopes and tenant admin authorization; rate limits and quotas are plan/partner aware.</w:t>
      </w:r>
    </w:p>
    <w:p>
      <w:pPr>
        <w:pStyle w:val="Bullet1"/>
        <w:spacing w:after="80" w:line="252" w:lineRule="auto"/>
      </w:pPr>
      <w:r>
        <w:rPr>
          <w:rFonts w:ascii="Noto Sans" w:hAnsi="Noto Sans"/>
        </w:rPr>
        <w:t>SDKs are generated from versioned OpenAPI where practical; compatibility tests run against supported SDK versions.</w:t>
      </w:r>
    </w:p>
    <w:p>
      <w:pPr>
        <w:pStyle w:val="Heading2"/>
        <w:keepNext/>
      </w:pPr>
      <w:r>
        <w:t>20.3 White-label and Mobile Fleet</w:t>
      </w:r>
    </w:p>
    <w:p>
      <w:pPr>
        <w:pStyle w:val="Bullet1"/>
        <w:spacing w:after="80" w:line="252" w:lineRule="auto"/>
      </w:pPr>
      <w:r>
        <w:rPr>
          <w:rFonts w:ascii="Noto Sans" w:hAnsi="Noto Sans"/>
        </w:rPr>
        <w:t>White-label configuration is token/config/content driven. Semantic safety colors, accessibility limits and Veyro AI semantic identity cannot be overridden into ambiguity.</w:t>
      </w:r>
    </w:p>
    <w:p>
      <w:pPr>
        <w:pStyle w:val="Bullet1"/>
        <w:spacing w:after="80" w:line="252" w:lineRule="auto"/>
      </w:pPr>
      <w:r>
        <w:rPr>
          <w:rFonts w:ascii="Noto Sans" w:hAnsi="Noto Sans"/>
        </w:rPr>
        <w:t>Published content/app configurations are immutable versions with preview, approval, scheduling and rollback.</w:t>
      </w:r>
    </w:p>
    <w:p>
      <w:pPr>
        <w:pStyle w:val="Bullet1"/>
        <w:spacing w:after="80" w:line="252" w:lineRule="auto"/>
      </w:pPr>
      <w:r>
        <w:rPr>
          <w:rFonts w:ascii="Noto Sans" w:hAnsi="Noto Sans"/>
        </w:rPr>
        <w:t>Branded app fleet tracks app/store owner, bundle/package ID, certificates, privacy labels, release version, min supported version, crash/adoption and store status.</w:t>
      </w:r>
    </w:p>
    <w:p>
      <w:pPr>
        <w:pStyle w:val="Bullet1"/>
        <w:spacing w:after="80" w:line="252" w:lineRule="auto"/>
      </w:pPr>
      <w:r>
        <w:rPr>
          <w:rFonts w:ascii="Noto Sans" w:hAnsi="Noto Sans"/>
        </w:rPr>
        <w:t>Remote config/feature flags are signed/versioned and cannot grant a capability not allowed by SaaS/tenant entitlement.</w:t>
      </w:r>
    </w:p>
    <w:p>
      <w:pPr>
        <w:pStyle w:val="Bullet1"/>
      </w:pPr>
      <w:r>
        <w:t>The KMP mobile fleet uses one shared feature and Compose Design System codebase across Android/iOS; branded applications differ through versioned configuration/assets/signing/capabilities, not copied feature code.</w:t>
      </w:r>
    </w:p>
    <w:p>
      <w:pPr>
        <w:pStyle w:val="Bullet1"/>
      </w:pPr>
      <w:r>
        <w:t>androidApp and iosApp remain distinct store artifacts with independent rollout, min-version and capability entitlement metadata; common code version is traceable in every build artifact.</w:t>
      </w:r>
    </w:p>
    <w:p>
      <w:pPr>
        <w:pStyle w:val="Bullet1"/>
      </w:pPr>
      <w:r>
        <w:t>Platform-only SDKs are integrated behind ADR-017 adapters so adding/replacing an Apple/Android provider does not contaminate common feature modules.</w:t>
      </w:r>
    </w:p>
    <w:p>
      <w:pPr>
        <w:pStyle w:val="Heading1"/>
        <w:keepNext/>
      </w:pPr>
      <w:r>
        <w:t>21. Security, Privacy, Compliance &amp; Threat Model</w:t>
      </w:r>
    </w:p>
    <w:p>
      <w:pPr>
        <w:pStyle w:val="Heading2"/>
        <w:keepNext/>
      </w:pPr>
      <w:r>
        <w:t>21.1 Security Architecture</w:t>
      </w:r>
    </w:p>
    <w:p>
      <w:pPr>
        <w:pStyle w:val="Heading3"/>
      </w:pPr>
      <w:r>
        <w:t>Mobile/local restricted-data controls</w:t>
      </w:r>
    </w:p>
    <w:p>
      <w:pPr>
        <w:pStyle w:val="Bullet1"/>
      </w:pPr>
      <w:r>
        <w:t>Shared SQLDelight stores holding Restricted/Confidential cache data use SQLCipher or an equivalent encrypted SQLite driver. Database keys are random per installation and wrapped by Android Keystore/iOS Keychain; keys never enter common Compose state or backups.</w:t>
      </w:r>
    </w:p>
    <w:p>
      <w:pPr>
        <w:pStyle w:val="Bullet1"/>
      </w:pPr>
      <w:r>
        <w:t>iOS restricted caches use NSFileProtectionCompleteUntilFirstUserAuthentication or stronger. Android Auto Backup excludes restricted DBs/credentials. Logout, remote session revocation and tenant removal purge keys and cached restricted rows; stale encrypted files become unreadable.</w:t>
      </w:r>
    </w:p>
    <w:p>
      <w:pPr>
        <w:pStyle w:val="Bullet1"/>
      </w:pPr>
      <w:r>
        <w:t>Restricted mobile cache TTL defaults to 24 hours for coach/member health/nutrition context unless an offline workflow justifies less. Screenshot/recording protection is enabled for screens presenting Restricted health/financial/biometric content where platform capability permits.</w:t>
      </w:r>
    </w:p>
    <w:p>
      <w:pPr>
        <w:pStyle w:val="Bullet1"/>
      </w:pPr>
      <w:r>
        <w:t>Mobile API connections use a reviewed TLS public-key pinning policy with at least one backup pin and a signed emergency-rollover mechanism. App Attest/Play Integrity is required for rotating access-credential issuance and other abuse-sensitive device endpoints, with graceful manual fallback for unsupported legitimate devices.</w:t>
      </w:r>
    </w:p>
    <w:p>
      <w:pPr>
        <w:pStyle w:val="Heading3"/>
      </w:pPr>
      <w:r>
        <w:t>Key lifecycle</w:t>
      </w:r>
    </w:p>
    <w:p>
      <w:pPr>
        <w:pStyle w:val="Bullet1"/>
      </w:pPr>
      <w:r>
        <w:t>Root: environment-specific KMS CMKs with least-privilege key policies. Tenant/data-class KEKs are envelope-encrypted under the root; Restricted subject/media DEKs are generated per object/subject envelope as appropriate.</w:t>
      </w:r>
    </w:p>
    <w:p>
      <w:pPr>
        <w:pStyle w:val="Bullet1"/>
      </w:pPr>
      <w:r>
        <w:t>Scheduled KEK rotation at least annually and immediate rotation on compromise; DEKs are rewrapped without decrypting business plaintext at application boundaries. Key version is stored with ciphertext and decrypt policy is auditable.</w:t>
      </w:r>
    </w:p>
    <w:p>
      <w:pPr>
        <w:pStyle w:val="Bullet1"/>
      </w:pPr>
      <w:r>
        <w:t>Crypto-shredding destroys the wrapped DEK for data that cannot be physically removed before backup/event expiry, after legal-hold checks. A deletion certificate references key-destruction evidence and residual-retention expiry.</w:t>
      </w:r>
    </w:p>
    <w:p>
      <w:pPr>
        <w:pStyle w:val="Bullet1"/>
        <w:spacing w:after="80" w:line="252" w:lineRule="auto"/>
      </w:pPr>
      <w:r>
        <w:rPr>
          <w:rFonts w:ascii="Noto Sans" w:hAnsi="Noto Sans"/>
        </w:rPr>
        <w:t>Zero-trust service identity: workloads use short-lived IAM/service credentials; no shared static database passwords in code or CI.</w:t>
      </w:r>
    </w:p>
    <w:p>
      <w:pPr>
        <w:pStyle w:val="Bullet1"/>
        <w:spacing w:after="80" w:line="252" w:lineRule="auto"/>
      </w:pPr>
      <w:r>
        <w:rPr>
          <w:rFonts w:ascii="Noto Sans" w:hAnsi="Noto Sans"/>
        </w:rPr>
        <w:t>TLS in transit; managed encryption at rest; KMS key policies separated by environment and high-risk data class where appropriate.</w:t>
      </w:r>
    </w:p>
    <w:p>
      <w:pPr>
        <w:pStyle w:val="Bullet1"/>
        <w:spacing w:after="80" w:line="252" w:lineRule="auto"/>
      </w:pPr>
      <w:r>
        <w:rPr>
          <w:rFonts w:ascii="Noto Sans" w:hAnsi="Noto Sans"/>
        </w:rPr>
        <w:t>Secrets in managed vault with rotation and access audit. Customer integration secrets are tenant-bound references.</w:t>
      </w:r>
    </w:p>
    <w:p>
      <w:pPr>
        <w:pStyle w:val="Bullet1"/>
        <w:spacing w:after="80" w:line="252" w:lineRule="auto"/>
      </w:pPr>
      <w:r>
        <w:rPr>
          <w:rFonts w:ascii="Noto Sans" w:hAnsi="Noto Sans"/>
        </w:rPr>
        <w:t>WAF/rate limiting/bot controls at edge; application rate limits by tenant/user/API key and operation risk.</w:t>
      </w:r>
    </w:p>
    <w:p>
      <w:pPr>
        <w:pStyle w:val="Bullet1"/>
        <w:spacing w:after="80" w:line="252" w:lineRule="auto"/>
      </w:pPr>
      <w:r>
        <w:rPr>
          <w:rFonts w:ascii="Noto Sans" w:hAnsi="Noto Sans"/>
        </w:rPr>
        <w:t>Secure SDLC: peer review, SAST, dependency/container/IaC/secret scanning, DAST for exposed surfaces, penetration testing and vulnerability SLAs.</w:t>
      </w:r>
    </w:p>
    <w:p>
      <w:pPr>
        <w:pStyle w:val="Bullet1"/>
        <w:spacing w:after="80" w:line="252" w:lineRule="auto"/>
      </w:pPr>
      <w:r>
        <w:rPr>
          <w:rFonts w:ascii="Noto Sans" w:hAnsi="Noto Sans"/>
        </w:rPr>
        <w:t>Production data access is just-in-time, purpose-bound and audited; support has no standing unrestricted customer content access.</w:t>
      </w:r>
    </w:p>
    <w:p>
      <w:pPr>
        <w:pStyle w:val="Bullet1"/>
      </w:pPr>
      <w:r>
        <w:t>Mobile secure storage uses platform-protected Keystore/Keychain adapters; tokens, device secrets and signing material are never stored in shared SQLite, logs or Compose state restoration.</w:t>
      </w:r>
    </w:p>
    <w:p>
      <w:pPr>
        <w:pStyle w:val="Bullet1"/>
      </w:pPr>
      <w:r>
        <w:t>Common KMP code treats rooted/jailbroken/device-integrity signals as risk inputs only; any blocking policy is server/configuration governed and must preserve recovery/support paths.</w:t>
      </w:r>
    </w:p>
    <w:p>
      <w:pPr>
        <w:pStyle w:val="Bullet1"/>
      </w:pPr>
      <w:r>
        <w:t>Native payment, wallet, health, camera and biometric SDK callbacks cross into shared code only through typed minimal-data adapters; raw provider objects and secrets do not escape the platform boundary.</w:t>
      </w:r>
    </w:p>
    <w:p>
      <w:pPr>
        <w:pStyle w:val="Heading2"/>
        <w:keepNext/>
      </w:pPr>
      <w:r>
        <w:t>21.2 Data Classification</w:t>
      </w:r>
    </w:p>
    <w:tbl>
      <w:tblPr>
        <w:tblStyle w:val="TableGrid"/>
        <w:tblW w:type="dxa" w:w="9684"/>
        <w:jc w:val="center"/>
        <w:tblLayout w:type="autofit"/>
        <w:tblLook w:firstColumn="1" w:firstRow="1" w:lastColumn="0" w:lastRow="0" w:noHBand="0" w:noVBand="1" w:val="04A0"/>
      </w:tblPr>
      <w:tblGrid>
        <w:gridCol w:w="3228"/>
        <w:gridCol w:w="3228"/>
        <w:gridCol w:w="3228"/>
      </w:tblGrid>
      <w:tr>
        <w:trPr>
          <w:tblHeader w:val="true"/>
          <w:tblHeader w:val="true"/>
        </w:trPr>
        <w:tc>
          <w:tcPr>
            <w:tcW w:type="dxa" w:w="1418"/>
            <w:shd w:fill="2F5B86"/>
            <w:tcMar>
              <w:top w:w="70" w:type="dxa"/>
              <w:start w:w="90" w:type="dxa"/>
              <w:bottom w:w="70" w:type="dxa"/>
              <w:end w:w="90" w:type="dxa"/>
              <w:left w:w="80" w:type="dxa"/>
              <w:right w:w="80" w:type="dxa"/>
            </w:tcMar>
            <w:vAlign w:val="center"/>
          </w:tcPr>
          <w:p>
            <w:pPr>
              <w:jc w:val="center"/>
            </w:pPr>
            <w:r>
              <w:rPr>
                <w:rFonts w:ascii="Noto Sans" w:hAnsi="Noto Sans"/>
                <w:b/>
                <w:color w:val="FFFFFF"/>
                <w:sz w:val="16"/>
              </w:rPr>
              <w:t>Class</w:t>
            </w:r>
          </w:p>
        </w:tc>
        <w:tc>
          <w:tcPr>
            <w:tcW w:type="dxa" w:w="3617"/>
            <w:shd w:fill="2F5B86"/>
            <w:tcMar>
              <w:top w:w="70" w:type="dxa"/>
              <w:start w:w="90" w:type="dxa"/>
              <w:bottom w:w="70" w:type="dxa"/>
              <w:end w:w="90" w:type="dxa"/>
              <w:left w:w="80" w:type="dxa"/>
              <w:right w:w="80" w:type="dxa"/>
            </w:tcMar>
            <w:vAlign w:val="center"/>
          </w:tcPr>
          <w:p>
            <w:pPr>
              <w:jc w:val="center"/>
            </w:pPr>
            <w:r>
              <w:rPr>
                <w:rFonts w:ascii="Noto Sans" w:hAnsi="Noto Sans"/>
                <w:b/>
                <w:color w:val="FFFFFF"/>
                <w:sz w:val="16"/>
              </w:rPr>
              <w:t>Examples</w:t>
            </w:r>
          </w:p>
        </w:tc>
        <w:tc>
          <w:tcPr>
            <w:tcW w:type="dxa" w:w="5674"/>
            <w:shd w:fill="2F5B86"/>
            <w:tcMar>
              <w:top w:w="70" w:type="dxa"/>
              <w:start w:w="90" w:type="dxa"/>
              <w:bottom w:w="70" w:type="dxa"/>
              <w:end w:w="90" w:type="dxa"/>
              <w:left w:w="80" w:type="dxa"/>
              <w:right w:w="80" w:type="dxa"/>
            </w:tcMar>
            <w:vAlign w:val="center"/>
          </w:tcPr>
          <w:p>
            <w:pPr>
              <w:jc w:val="center"/>
            </w:pPr>
            <w:r>
              <w:rPr>
                <w:rFonts w:ascii="Noto Sans" w:hAnsi="Noto Sans"/>
                <w:b/>
                <w:color w:val="FFFFFF"/>
                <w:sz w:val="16"/>
              </w:rPr>
              <w:t>Baseline</w:t>
            </w:r>
          </w:p>
        </w:tc>
      </w:tr>
      <w:tr>
        <w:tc>
          <w:tcPr>
            <w:tcW w:type="dxa" w:w="141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Public</w:t>
            </w:r>
          </w:p>
        </w:tc>
        <w:tc>
          <w:tcPr>
            <w:tcW w:type="dxa" w:w="361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Marketing/help</w:t>
            </w:r>
          </w:p>
        </w:tc>
        <w:tc>
          <w:tcPr>
            <w:tcW w:type="dxa" w:w="5674"/>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Integrity and brand controls.</w:t>
            </w:r>
          </w:p>
        </w:tc>
      </w:tr>
      <w:tr>
        <w:tc>
          <w:tcPr>
            <w:tcW w:type="dxa" w:w="141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Internal</w:t>
            </w:r>
          </w:p>
        </w:tc>
        <w:tc>
          <w:tcPr>
            <w:tcW w:type="dxa" w:w="361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Non-sensitive operational config/staff content</w:t>
            </w:r>
          </w:p>
        </w:tc>
        <w:tc>
          <w:tcPr>
            <w:tcW w:type="dxa" w:w="5674"/>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Tenant access control and normal retention.</w:t>
            </w:r>
          </w:p>
        </w:tc>
      </w:tr>
      <w:tr>
        <w:tc>
          <w:tcPr>
            <w:tcW w:type="dxa" w:w="141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Confidential</w:t>
            </w:r>
          </w:p>
        </w:tc>
        <w:tc>
          <w:tcPr>
            <w:tcW w:type="dxa" w:w="361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Member contact, contracts, business metrics, support</w:t>
            </w:r>
          </w:p>
        </w:tc>
        <w:tc>
          <w:tcPr>
            <w:tcW w:type="dxa" w:w="5674"/>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Encryption, least privilege, audit, controlled export.</w:t>
            </w:r>
          </w:p>
        </w:tc>
      </w:tr>
      <w:tr>
        <w:tc>
          <w:tcPr>
            <w:tcW w:type="dxa" w:w="141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Restricted</w:t>
            </w:r>
          </w:p>
        </w:tc>
        <w:tc>
          <w:tcPr>
            <w:tcW w:type="dxa" w:w="361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Financial, health, biometric, employment, progress media, credentials</w:t>
            </w:r>
          </w:p>
        </w:tc>
        <w:tc>
          <w:tcPr>
            <w:tcW w:type="dxa" w:w="5674"/>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Field controls, elevated assurance, purpose limitation, shorter retention where possible, enhanced monitoring.</w:t>
            </w:r>
          </w:p>
        </w:tc>
      </w:tr>
    </w:tbl>
    <w:p>
      <w:pPr>
        <w:spacing w:after="40"/>
      </w:pPr>
    </w:p>
    <w:p>
      <w:pPr>
        <w:pStyle w:val="Heading2"/>
        <w:keepNext/>
      </w:pPr>
      <w:r>
        <w:t>21.3 Threat Model Summary</w:t>
      </w:r>
    </w:p>
    <w:tbl>
      <w:tblPr>
        <w:tblStyle w:val="TableGrid"/>
        <w:tblW w:type="dxa" w:w="9684"/>
        <w:jc w:val="center"/>
        <w:tblLayout w:type="autofit"/>
        <w:tblLook w:firstColumn="1" w:firstRow="1" w:lastColumn="0" w:lastRow="0" w:noHBand="0" w:noVBand="1" w:val="04A0"/>
      </w:tblPr>
      <w:tblGrid>
        <w:gridCol w:w="3228"/>
        <w:gridCol w:w="3228"/>
        <w:gridCol w:w="3228"/>
      </w:tblGrid>
      <w:tr>
        <w:trPr>
          <w:tblHeader w:val="true"/>
          <w:tblHeader w:val="true"/>
        </w:trPr>
        <w:tc>
          <w:tcPr>
            <w:tcW w:type="dxa" w:w="2199"/>
            <w:shd w:fill="2F5B86"/>
            <w:tcMar>
              <w:top w:w="70" w:type="dxa"/>
              <w:start w:w="90" w:type="dxa"/>
              <w:bottom w:w="70" w:type="dxa"/>
              <w:end w:w="90" w:type="dxa"/>
              <w:left w:w="80" w:type="dxa"/>
              <w:right w:w="80" w:type="dxa"/>
            </w:tcMar>
            <w:vAlign w:val="center"/>
          </w:tcPr>
          <w:p>
            <w:pPr>
              <w:jc w:val="center"/>
            </w:pPr>
            <w:r>
              <w:rPr>
                <w:rFonts w:ascii="Noto Sans" w:hAnsi="Noto Sans"/>
                <w:b/>
                <w:color w:val="FFFFFF"/>
                <w:sz w:val="15"/>
              </w:rPr>
              <w:t>Threat</w:t>
            </w:r>
          </w:p>
        </w:tc>
        <w:tc>
          <w:tcPr>
            <w:tcW w:type="dxa" w:w="2979"/>
            <w:shd w:fill="2F5B86"/>
            <w:tcMar>
              <w:top w:w="70" w:type="dxa"/>
              <w:start w:w="90" w:type="dxa"/>
              <w:bottom w:w="70" w:type="dxa"/>
              <w:end w:w="90" w:type="dxa"/>
              <w:left w:w="80" w:type="dxa"/>
              <w:right w:w="80" w:type="dxa"/>
            </w:tcMar>
            <w:vAlign w:val="center"/>
          </w:tcPr>
          <w:p>
            <w:pPr>
              <w:jc w:val="center"/>
            </w:pPr>
            <w:r>
              <w:rPr>
                <w:rFonts w:ascii="Noto Sans" w:hAnsi="Noto Sans"/>
                <w:b/>
                <w:color w:val="FFFFFF"/>
                <w:sz w:val="15"/>
              </w:rPr>
              <w:t>Example Failure</w:t>
            </w:r>
          </w:p>
        </w:tc>
        <w:tc>
          <w:tcPr>
            <w:tcW w:type="dxa" w:w="5248"/>
            <w:shd w:fill="2F5B86"/>
            <w:tcMar>
              <w:top w:w="70" w:type="dxa"/>
              <w:start w:w="90" w:type="dxa"/>
              <w:bottom w:w="70" w:type="dxa"/>
              <w:end w:w="90" w:type="dxa"/>
              <w:left w:w="80" w:type="dxa"/>
              <w:right w:w="80" w:type="dxa"/>
            </w:tcMar>
            <w:vAlign w:val="center"/>
          </w:tcPr>
          <w:p>
            <w:pPr>
              <w:jc w:val="center"/>
            </w:pPr>
            <w:r>
              <w:rPr>
                <w:rFonts w:ascii="Noto Sans" w:hAnsi="Noto Sans"/>
                <w:b/>
                <w:color w:val="FFFFFF"/>
                <w:sz w:val="15"/>
              </w:rPr>
              <w:t>Primary Controls</w:t>
            </w:r>
          </w:p>
        </w:tc>
      </w:tr>
      <w:tr>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Tenant isolation failure</w:t>
            </w:r>
          </w:p>
        </w:tc>
        <w:tc>
          <w:tcPr>
            <w:tcW w:type="dxa" w:w="297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IDOR, missing tenant filter, cache/search mix-up</w:t>
            </w:r>
          </w:p>
        </w:tc>
        <w:tc>
          <w:tcPr>
            <w:tcW w:type="dxa" w:w="524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Server tenant resolution, RLS, scoped keys/index docs, fuzz tests, deny-by-default repositories</w:t>
            </w:r>
          </w:p>
        </w:tc>
      </w:tr>
      <w:tr>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Credential/session takeover</w:t>
            </w:r>
          </w:p>
        </w:tc>
        <w:tc>
          <w:tcPr>
            <w:tcW w:type="dxa" w:w="297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phishing, token theft, device compromise</w:t>
            </w:r>
          </w:p>
        </w:tc>
        <w:tc>
          <w:tcPr>
            <w:tcW w:type="dxa" w:w="524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passkeys/MFA, rotation, session inventory, risk challenges, step-up</w:t>
            </w:r>
          </w:p>
        </w:tc>
      </w:tr>
      <w:tr>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Financial double charge / false paid state</w:t>
            </w:r>
          </w:p>
        </w:tc>
        <w:tc>
          <w:tcPr>
            <w:tcW w:type="dxa" w:w="297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retries, webhook replay, redirect spoofing</w:t>
            </w:r>
          </w:p>
        </w:tc>
        <w:tc>
          <w:tcPr>
            <w:tcW w:type="dxa" w:w="524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idempotency, verified webhooks/provider query, ledger reconciliation</w:t>
            </w:r>
          </w:p>
        </w:tc>
      </w:tr>
      <w:tr>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Access bypass</w:t>
            </w:r>
          </w:p>
        </w:tc>
        <w:tc>
          <w:tcPr>
            <w:tcW w:type="dxa" w:w="297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cloned QR, stale offline grant, device compromise</w:t>
            </w:r>
          </w:p>
        </w:tc>
        <w:tc>
          <w:tcPr>
            <w:tcW w:type="dxa" w:w="524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short-lived credentials/snapshots, anti-passback, signed cache, device mTLS, revocation epoch</w:t>
            </w:r>
          </w:p>
        </w:tc>
      </w:tr>
      <w:tr>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Biometric privacy/spoofing</w:t>
            </w:r>
          </w:p>
        </w:tc>
        <w:tc>
          <w:tcPr>
            <w:tcW w:type="dxa" w:w="297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template theft, photo/video spoof</w:t>
            </w:r>
          </w:p>
        </w:tc>
        <w:tc>
          <w:tcPr>
            <w:tcW w:type="dxa" w:w="524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consent, alternatives, encrypted templates, liveness, minimal retention, vendor security review</w:t>
            </w:r>
          </w:p>
        </w:tc>
      </w:tr>
      <w:tr>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Support abuse</w:t>
            </w:r>
          </w:p>
        </w:tc>
        <w:tc>
          <w:tcPr>
            <w:tcW w:type="dxa" w:w="297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standing admin access, impersonation misuse</w:t>
            </w:r>
          </w:p>
        </w:tc>
        <w:tc>
          <w:tcPr>
            <w:tcW w:type="dxa" w:w="524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temporary delegated support session, approval, banner, purpose/audit</w:t>
            </w:r>
          </w:p>
        </w:tc>
      </w:tr>
      <w:tr>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AI prompt injection / data exfiltration</w:t>
            </w:r>
          </w:p>
        </w:tc>
        <w:tc>
          <w:tcPr>
            <w:tcW w:type="dxa" w:w="297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malicious member/content/provider text</w:t>
            </w:r>
          </w:p>
        </w:tc>
        <w:tc>
          <w:tcPr>
            <w:tcW w:type="dxa" w:w="524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content trust boundaries, permissioned retrieval, tool allowlist, output validation, no direct DB/secrets</w:t>
            </w:r>
          </w:p>
        </w:tc>
      </w:tr>
      <w:tr>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Webhook/API abuse</w:t>
            </w:r>
          </w:p>
        </w:tc>
        <w:tc>
          <w:tcPr>
            <w:tcW w:type="dxa" w:w="297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forged callbacks, replay, credential leak</w:t>
            </w:r>
          </w:p>
        </w:tc>
        <w:tc>
          <w:tcPr>
            <w:tcW w:type="dxa" w:w="524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signature/timestamp, nonce/dedupe, scopes, rotation, rate limits</w:t>
            </w:r>
          </w:p>
        </w:tc>
      </w:tr>
      <w:tr>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Supply chain compromise</w:t>
            </w:r>
          </w:p>
        </w:tc>
        <w:tc>
          <w:tcPr>
            <w:tcW w:type="dxa" w:w="297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dependency/container/IaC artifact attack</w:t>
            </w:r>
          </w:p>
        </w:tc>
        <w:tc>
          <w:tcPr>
            <w:tcW w:type="dxa" w:w="524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pinning/SBOM/signing/scanning/provenance and controlled update policy</w:t>
            </w:r>
          </w:p>
        </w:tc>
      </w:tr>
      <w:tr>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Deletion/privacy failure</w:t>
            </w:r>
          </w:p>
        </w:tc>
        <w:tc>
          <w:tcPr>
            <w:tcW w:type="dxa" w:w="297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backup residue, legal hold conflict</w:t>
            </w:r>
          </w:p>
        </w:tc>
        <w:tc>
          <w:tcPr>
            <w:tcW w:type="dxa" w:w="524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retention orchestrator, deletion ledger, backup expiry, subprocessor workflow, verification report</w:t>
            </w:r>
          </w:p>
        </w:tc>
      </w:tr>
    </w:tbl>
    <w:p>
      <w:pPr>
        <w:spacing w:after="40"/>
      </w:pPr>
    </w:p>
    <w:p>
      <w:pPr>
        <w:pStyle w:val="Heading2"/>
        <w:keepNext/>
      </w:pPr>
      <w:r>
        <w:t>21.4 Privacy and Consent</w:t>
      </w:r>
    </w:p>
    <w:p>
      <w:pPr>
        <w:pStyle w:val="Bullet1"/>
        <w:spacing w:after="80" w:line="252" w:lineRule="auto"/>
      </w:pPr>
      <w:r>
        <w:rPr>
          <w:rFonts w:ascii="Noto Sans" w:hAnsi="Noto Sans"/>
        </w:rPr>
        <w:t>ConsentRecord stores purpose, document/policy version, language, subject/guardian, signed_at, evidence hash/reference, withdrawal and source.</w:t>
      </w:r>
    </w:p>
    <w:p>
      <w:pPr>
        <w:pStyle w:val="Bullet1"/>
        <w:spacing w:after="80" w:line="252" w:lineRule="auto"/>
      </w:pPr>
      <w:r>
        <w:rPr>
          <w:rFonts w:ascii="Noto Sans" w:hAnsi="Noto Sans"/>
        </w:rPr>
        <w:t>Purpose limitation is enforced in authorization/tool/search policies; “has access” is insufficient without permitted purpose for restricted data.</w:t>
      </w:r>
    </w:p>
    <w:p>
      <w:pPr>
        <w:pStyle w:val="Bullet1"/>
        <w:spacing w:after="80" w:line="252" w:lineRule="auto"/>
      </w:pPr>
      <w:r>
        <w:rPr>
          <w:rFonts w:ascii="Noto Sans" w:hAnsi="Noto Sans"/>
        </w:rPr>
        <w:t>DSAR workflow handles access, correction, portability, restriction and deletion with identity verification, legal hold and subprocessor propagation.</w:t>
      </w:r>
    </w:p>
    <w:p>
      <w:pPr>
        <w:pStyle w:val="Bullet1"/>
        <w:spacing w:after="80" w:line="252" w:lineRule="auto"/>
      </w:pPr>
      <w:r>
        <w:rPr>
          <w:rFonts w:ascii="Noto Sans" w:hAnsi="Noto Sans"/>
        </w:rPr>
        <w:t>Retention policies are data-class and region/version specific; jobs produce deletion/retention evidence and do not silently ignore failures.</w:t>
      </w:r>
    </w:p>
    <w:p>
      <w:pPr>
        <w:pStyle w:val="Heading2"/>
      </w:pPr>
      <w:r>
        <w:t>21.5 Jordan Privacy Baseline and Controller/Processor Model</w:t>
      </w:r>
    </w:p>
    <w:p>
      <w:pPr>
        <w:pStyle w:val="Bullet1"/>
      </w:pPr>
      <w:r>
        <w:t>Jordan launch baseline is Personal Data Protection Law No. (24) of 2023 and the regulations/instructions issued under it. The law has been in force since 17 March 2024; compliance operations therefore ship in Foundation rather than being deferred to Enterprise.</w:t>
      </w:r>
    </w:p>
    <w:p>
      <w:pPr>
        <w:pStyle w:val="Bullet1"/>
      </w:pPr>
      <w:r>
        <w:t>For gym member/staff data processed on tenant instructions, the gym is normally controller and Veyro processor. Veyro is controller for its own SaaS account, security, fraud, billing and service-improvement data only to the extent documented in the privacy notice/DPA. Mixed roles are recorded by processing purpose.</w:t>
      </w:r>
    </w:p>
    <w:p>
      <w:pPr>
        <w:pStyle w:val="Bullet1"/>
      </w:pPr>
      <w:r>
        <w:t>Each tenant receives a DPA/subprocessor disclosure, processing-purpose inventory, retention schedule and DSAR workflow. DPIA/privacy review is mandatory before health, biometric, AI profiling or new cross-border sharing is enabled.</w:t>
      </w:r>
    </w:p>
    <w:p>
      <w:pPr>
        <w:pStyle w:val="Bullet1"/>
      </w:pPr>
      <w:r>
        <w:t>Primary Jordan hosting is AWS Bahrain (me-south-1), with UAE (me-central-1) as DR. This is cross-border processing from Jordan and cannot be enabled solely by architecture assumption; legal basis/permit/contract requirements are a launch gate owned by privacy counsel/DPO.</w:t>
      </w:r>
    </w:p>
    <w:p>
      <w:pPr>
        <w:pStyle w:val="Heading2"/>
      </w:pPr>
      <w:r>
        <w:t>21.6 Deletion Reachability and Verification</w:t>
      </w:r>
    </w:p>
    <w:tbl>
      <w:tblPr>
        <w:tblStyle w:val="TableGrid"/>
        <w:tblW w:type="dxa" w:w="9684"/>
        <w:jc w:val="center"/>
        <w:tblLayout w:type="autofit"/>
        <w:tblLook w:firstColumn="1" w:firstRow="1" w:lastColumn="0" w:lastRow="0" w:noHBand="0" w:noVBand="1" w:val="04A0"/>
      </w:tblPr>
      <w:tblGrid>
        <w:gridCol w:w="2421"/>
        <w:gridCol w:w="2421"/>
        <w:gridCol w:w="2421"/>
        <w:gridCol w:w="2421"/>
      </w:tblGrid>
      <w:tr>
        <w:trPr>
          <w:tblHeader w:val="true"/>
        </w:trPr>
        <w:tc>
          <w:tcPr>
            <w:tcW w:type="dxa" w:w="2421"/>
            <w:vAlign w:val="center"/>
            <w:tcMar>
              <w:top w:w="70" w:type="dxa"/>
              <w:left w:w="80" w:type="dxa"/>
              <w:bottom w:w="70" w:type="dxa"/>
              <w:right w:w="80" w:type="dxa"/>
            </w:tcMar>
          </w:tcPr>
          <w:p>
            <w:r>
              <w:rPr>
                <w:b/>
              </w:rPr>
              <w:t>Store</w:t>
            </w:r>
          </w:p>
        </w:tc>
        <w:tc>
          <w:tcPr>
            <w:tcW w:type="dxa" w:w="2421"/>
            <w:vAlign w:val="center"/>
            <w:tcMar>
              <w:top w:w="70" w:type="dxa"/>
              <w:left w:w="80" w:type="dxa"/>
              <w:bottom w:w="70" w:type="dxa"/>
              <w:right w:w="80" w:type="dxa"/>
            </w:tcMar>
          </w:tcPr>
          <w:p>
            <w:r>
              <w:rPr>
                <w:b/>
              </w:rPr>
              <w:t>Deletion/retention mechanism</w:t>
            </w:r>
          </w:p>
        </w:tc>
        <w:tc>
          <w:tcPr>
            <w:tcW w:type="dxa" w:w="2421"/>
            <w:vAlign w:val="center"/>
            <w:tcMar>
              <w:top w:w="70" w:type="dxa"/>
              <w:left w:w="80" w:type="dxa"/>
              <w:bottom w:w="70" w:type="dxa"/>
              <w:right w:w="80" w:type="dxa"/>
            </w:tcMar>
          </w:tcPr>
          <w:p>
            <w:r>
              <w:rPr>
                <w:b/>
              </w:rPr>
              <w:t>Bound</w:t>
            </w:r>
          </w:p>
        </w:tc>
        <w:tc>
          <w:tcPr>
            <w:tcW w:type="dxa" w:w="2421"/>
            <w:vAlign w:val="center"/>
            <w:tcMar>
              <w:top w:w="70" w:type="dxa"/>
              <w:left w:w="80" w:type="dxa"/>
              <w:bottom w:w="70" w:type="dxa"/>
              <w:right w:w="80" w:type="dxa"/>
            </w:tcMar>
          </w:tcPr>
          <w:p>
            <w:r>
              <w:rPr>
                <w:b/>
              </w:rPr>
              <w:t>Verification evidence</w:t>
            </w:r>
          </w:p>
        </w:tc>
      </w:tr>
      <w:tr>
        <w:tc>
          <w:tcPr>
            <w:tcW w:type="dxa" w:w="2421"/>
            <w:tcMar>
              <w:top w:w="70" w:type="dxa"/>
              <w:left w:w="80" w:type="dxa"/>
              <w:bottom w:w="70" w:type="dxa"/>
              <w:right w:w="80" w:type="dxa"/>
            </w:tcMar>
          </w:tcPr>
          <w:p>
            <w:r>
              <w:t>PostgreSQL domain rows</w:t>
            </w:r>
          </w:p>
        </w:tc>
        <w:tc>
          <w:tcPr>
            <w:tcW w:type="dxa" w:w="2421"/>
            <w:tcMar>
              <w:top w:w="70" w:type="dxa"/>
              <w:left w:w="80" w:type="dxa"/>
              <w:bottom w:w="70" w:type="dxa"/>
              <w:right w:w="80" w:type="dxa"/>
            </w:tcMar>
          </w:tcPr>
          <w:p>
            <w:r>
              <w:t>Direct delete/anonymize after legal-hold check; immutable financial/audit rows pseudonymized where deletion is legally barred</w:t>
            </w:r>
          </w:p>
        </w:tc>
        <w:tc>
          <w:tcPr>
            <w:tcW w:type="dxa" w:w="2421"/>
            <w:tcMar>
              <w:top w:w="70" w:type="dxa"/>
              <w:left w:w="80" w:type="dxa"/>
              <w:bottom w:w="70" w:type="dxa"/>
              <w:right w:w="80" w:type="dxa"/>
            </w:tcMar>
          </w:tcPr>
          <w:p>
            <w:r>
              <w:t>Immediate job + verification query</w:t>
            </w:r>
          </w:p>
        </w:tc>
        <w:tc>
          <w:tcPr>
            <w:tcW w:type="dxa" w:w="2421"/>
            <w:tcMar>
              <w:top w:w="70" w:type="dxa"/>
              <w:left w:w="80" w:type="dxa"/>
              <w:bottom w:w="70" w:type="dxa"/>
              <w:right w:w="80" w:type="dxa"/>
            </w:tcMar>
          </w:tcPr>
          <w:p>
            <w:r>
              <w:t>Record count/hash evidence</w:t>
            </w:r>
          </w:p>
        </w:tc>
      </w:tr>
      <w:tr>
        <w:tc>
          <w:tcPr>
            <w:tcW w:type="dxa" w:w="2421"/>
            <w:tcMar>
              <w:top w:w="70" w:type="dxa"/>
              <w:left w:w="80" w:type="dxa"/>
              <w:bottom w:w="70" w:type="dxa"/>
              <w:right w:w="80" w:type="dxa"/>
            </w:tcMar>
          </w:tcPr>
          <w:p>
            <w:r>
              <w:t>Redis/cache</w:t>
            </w:r>
          </w:p>
        </w:tc>
        <w:tc>
          <w:tcPr>
            <w:tcW w:type="dxa" w:w="2421"/>
            <w:tcMar>
              <w:top w:w="70" w:type="dxa"/>
              <w:left w:w="80" w:type="dxa"/>
              <w:bottom w:w="70" w:type="dxa"/>
              <w:right w:w="80" w:type="dxa"/>
            </w:tcMar>
          </w:tcPr>
          <w:p>
            <w:r>
              <w:t>Tenant/subject key purge + TTL</w:t>
            </w:r>
          </w:p>
        </w:tc>
        <w:tc>
          <w:tcPr>
            <w:tcW w:type="dxa" w:w="2421"/>
            <w:tcMar>
              <w:top w:w="70" w:type="dxa"/>
              <w:left w:w="80" w:type="dxa"/>
              <w:bottom w:w="70" w:type="dxa"/>
              <w:right w:w="80" w:type="dxa"/>
            </w:tcMar>
          </w:tcPr>
          <w:p>
            <w:r>
              <w:t>Minutes / TTL ≤24h</w:t>
            </w:r>
          </w:p>
        </w:tc>
        <w:tc>
          <w:tcPr>
            <w:tcW w:type="dxa" w:w="2421"/>
            <w:tcMar>
              <w:top w:w="70" w:type="dxa"/>
              <w:left w:w="80" w:type="dxa"/>
              <w:bottom w:w="70" w:type="dxa"/>
              <w:right w:w="80" w:type="dxa"/>
            </w:tcMar>
          </w:tcPr>
          <w:p>
            <w:r>
              <w:t>Cache namespace scan sample</w:t>
            </w:r>
          </w:p>
        </w:tc>
      </w:tr>
      <w:tr>
        <w:tc>
          <w:tcPr>
            <w:tcW w:type="dxa" w:w="2421"/>
            <w:tcMar>
              <w:top w:w="70" w:type="dxa"/>
              <w:left w:w="80" w:type="dxa"/>
              <w:bottom w:w="70" w:type="dxa"/>
              <w:right w:w="80" w:type="dxa"/>
            </w:tcMar>
          </w:tcPr>
          <w:p>
            <w:r>
              <w:t>SQS/EventBridge</w:t>
            </w:r>
          </w:p>
        </w:tc>
        <w:tc>
          <w:tcPr>
            <w:tcW w:type="dxa" w:w="2421"/>
            <w:tcMar>
              <w:top w:w="70" w:type="dxa"/>
              <w:left w:w="80" w:type="dxa"/>
              <w:bottom w:w="70" w:type="dxa"/>
              <w:right w:w="80" w:type="dxa"/>
            </w:tcMar>
          </w:tcPr>
          <w:p>
            <w:r>
              <w:t>PII-minimized IDs only; bounded queue retention; no deletion certificate relies on queue mutation</w:t>
            </w:r>
          </w:p>
        </w:tc>
        <w:tc>
          <w:tcPr>
            <w:tcW w:type="dxa" w:w="2421"/>
            <w:tcMar>
              <w:top w:w="70" w:type="dxa"/>
              <w:left w:w="80" w:type="dxa"/>
              <w:bottom w:w="70" w:type="dxa"/>
              <w:right w:w="80" w:type="dxa"/>
            </w:tcMar>
          </w:tcPr>
          <w:p>
            <w:r>
              <w:t>≤14d configured maximum</w:t>
            </w:r>
          </w:p>
        </w:tc>
        <w:tc>
          <w:tcPr>
            <w:tcW w:type="dxa" w:w="2421"/>
            <w:tcMar>
              <w:top w:w="70" w:type="dxa"/>
              <w:left w:w="80" w:type="dxa"/>
              <w:bottom w:w="70" w:type="dxa"/>
              <w:right w:w="80" w:type="dxa"/>
            </w:tcMar>
          </w:tcPr>
          <w:p>
            <w:r>
              <w:t>Schema classification + queue policy</w:t>
            </w:r>
          </w:p>
        </w:tc>
      </w:tr>
      <w:tr>
        <w:tc>
          <w:tcPr>
            <w:tcW w:type="dxa" w:w="2421"/>
            <w:tcMar>
              <w:top w:w="70" w:type="dxa"/>
              <w:left w:w="80" w:type="dxa"/>
              <w:bottom w:w="70" w:type="dxa"/>
              <w:right w:w="80" w:type="dxa"/>
            </w:tcMar>
          </w:tcPr>
          <w:p>
            <w:r>
              <w:t>Event archive / immutable evidence</w:t>
            </w:r>
          </w:p>
        </w:tc>
        <w:tc>
          <w:tcPr>
            <w:tcW w:type="dxa" w:w="2421"/>
            <w:tcMar>
              <w:top w:w="70" w:type="dxa"/>
              <w:left w:w="80" w:type="dxa"/>
              <w:bottom w:w="70" w:type="dxa"/>
              <w:right w:w="80" w:type="dxa"/>
            </w:tcMar>
          </w:tcPr>
          <w:p>
            <w:r>
              <w:t>IDs/minimized payload; subject-envelope crypto-shred where restricted payload unavoidable</w:t>
            </w:r>
          </w:p>
        </w:tc>
        <w:tc>
          <w:tcPr>
            <w:tcW w:type="dxa" w:w="2421"/>
            <w:tcMar>
              <w:top w:w="70" w:type="dxa"/>
              <w:left w:w="80" w:type="dxa"/>
              <w:bottom w:w="70" w:type="dxa"/>
              <w:right w:w="80" w:type="dxa"/>
            </w:tcMar>
          </w:tcPr>
          <w:p>
            <w:r>
              <w:t>Retention schedule</w:t>
            </w:r>
          </w:p>
        </w:tc>
        <w:tc>
          <w:tcPr>
            <w:tcW w:type="dxa" w:w="2421"/>
            <w:tcMar>
              <w:top w:w="70" w:type="dxa"/>
              <w:left w:w="80" w:type="dxa"/>
              <w:bottom w:w="70" w:type="dxa"/>
              <w:right w:w="80" w:type="dxa"/>
            </w:tcMar>
          </w:tcPr>
          <w:p>
            <w:r>
              <w:t>Destroyed DEK + archive expiry</w:t>
            </w:r>
          </w:p>
        </w:tc>
      </w:tr>
      <w:tr>
        <w:tc>
          <w:tcPr>
            <w:tcW w:type="dxa" w:w="2421"/>
            <w:tcMar>
              <w:top w:w="70" w:type="dxa"/>
              <w:left w:w="80" w:type="dxa"/>
              <w:bottom w:w="70" w:type="dxa"/>
              <w:right w:w="80" w:type="dxa"/>
            </w:tcMar>
          </w:tcPr>
          <w:p>
            <w:r>
              <w:t>Temporal/workflow history</w:t>
            </w:r>
          </w:p>
        </w:tc>
        <w:tc>
          <w:tcPr>
            <w:tcW w:type="dxa" w:w="2421"/>
            <w:tcMar>
              <w:top w:w="70" w:type="dxa"/>
              <w:left w:w="80" w:type="dxa"/>
              <w:bottom w:w="70" w:type="dxa"/>
              <w:right w:w="80" w:type="dxa"/>
            </w:tcMar>
          </w:tcPr>
          <w:p>
            <w:r>
              <w:t>Reference IDs only; bounded history retention</w:t>
            </w:r>
          </w:p>
        </w:tc>
        <w:tc>
          <w:tcPr>
            <w:tcW w:type="dxa" w:w="2421"/>
            <w:tcMar>
              <w:top w:w="70" w:type="dxa"/>
              <w:left w:w="80" w:type="dxa"/>
              <w:bottom w:w="70" w:type="dxa"/>
              <w:right w:w="80" w:type="dxa"/>
            </w:tcMar>
          </w:tcPr>
          <w:p>
            <w:r>
              <w:t>Within DSAR SLA</w:t>
            </w:r>
          </w:p>
        </w:tc>
        <w:tc>
          <w:tcPr>
            <w:tcW w:type="dxa" w:w="2421"/>
            <w:tcMar>
              <w:top w:w="70" w:type="dxa"/>
              <w:left w:w="80" w:type="dxa"/>
              <w:bottom w:w="70" w:type="dxa"/>
              <w:right w:w="80" w:type="dxa"/>
            </w:tcMar>
          </w:tcPr>
          <w:p>
            <w:r>
              <w:t>History search + retention policy</w:t>
            </w:r>
          </w:p>
        </w:tc>
      </w:tr>
      <w:tr>
        <w:tc>
          <w:tcPr>
            <w:tcW w:type="dxa" w:w="2421"/>
            <w:tcMar>
              <w:top w:w="70" w:type="dxa"/>
              <w:left w:w="80" w:type="dxa"/>
              <w:bottom w:w="70" w:type="dxa"/>
              <w:right w:w="80" w:type="dxa"/>
            </w:tcMar>
          </w:tcPr>
          <w:p>
            <w:r>
              <w:t>S3/media</w:t>
            </w:r>
          </w:p>
        </w:tc>
        <w:tc>
          <w:tcPr>
            <w:tcW w:type="dxa" w:w="2421"/>
            <w:tcMar>
              <w:top w:w="70" w:type="dxa"/>
              <w:left w:w="80" w:type="dxa"/>
              <w:bottom w:w="70" w:type="dxa"/>
              <w:right w:w="80" w:type="dxa"/>
            </w:tcMar>
          </w:tcPr>
          <w:p>
            <w:r>
              <w:t>Object delete + version delete/expiry; subject DEK crypto-shred for protected versions</w:t>
            </w:r>
          </w:p>
        </w:tc>
        <w:tc>
          <w:tcPr>
            <w:tcW w:type="dxa" w:w="2421"/>
            <w:tcMar>
              <w:top w:w="70" w:type="dxa"/>
              <w:left w:w="80" w:type="dxa"/>
              <w:bottom w:w="70" w:type="dxa"/>
              <w:right w:w="80" w:type="dxa"/>
            </w:tcMar>
          </w:tcPr>
          <w:p>
            <w:r>
              <w:t>Immediate current object; version lifecycle</w:t>
            </w:r>
          </w:p>
        </w:tc>
        <w:tc>
          <w:tcPr>
            <w:tcW w:type="dxa" w:w="2421"/>
            <w:tcMar>
              <w:top w:w="70" w:type="dxa"/>
              <w:left w:w="80" w:type="dxa"/>
              <w:bottom w:w="70" w:type="dxa"/>
              <w:right w:w="80" w:type="dxa"/>
            </w:tcMar>
          </w:tcPr>
          <w:p>
            <w:r>
              <w:t>Object/version inventory</w:t>
            </w:r>
          </w:p>
        </w:tc>
      </w:tr>
      <w:tr>
        <w:tc>
          <w:tcPr>
            <w:tcW w:type="dxa" w:w="2421"/>
            <w:tcMar>
              <w:top w:w="70" w:type="dxa"/>
              <w:left w:w="80" w:type="dxa"/>
              <w:bottom w:w="70" w:type="dxa"/>
              <w:right w:w="80" w:type="dxa"/>
            </w:tcMar>
          </w:tcPr>
          <w:p>
            <w:r>
              <w:t>Backups/PITR</w:t>
            </w:r>
          </w:p>
        </w:tc>
        <w:tc>
          <w:tcPr>
            <w:tcW w:type="dxa" w:w="2421"/>
            <w:tcMar>
              <w:top w:w="70" w:type="dxa"/>
              <w:left w:w="80" w:type="dxa"/>
              <w:bottom w:w="70" w:type="dxa"/>
              <w:right w:w="80" w:type="dxa"/>
            </w:tcMar>
          </w:tcPr>
          <w:p>
            <w:r>
              <w:t>No in-place subject deletion; encrypted under keys subject to crypto-shred + backup expiry</w:t>
            </w:r>
          </w:p>
        </w:tc>
        <w:tc>
          <w:tcPr>
            <w:tcW w:type="dxa" w:w="2421"/>
            <w:tcMar>
              <w:top w:w="70" w:type="dxa"/>
              <w:left w:w="80" w:type="dxa"/>
              <w:bottom w:w="70" w:type="dxa"/>
              <w:right w:w="80" w:type="dxa"/>
            </w:tcMar>
          </w:tcPr>
          <w:p>
            <w:r>
              <w:t>≤35d unless legal policy says otherwise</w:t>
            </w:r>
          </w:p>
        </w:tc>
        <w:tc>
          <w:tcPr>
            <w:tcW w:type="dxa" w:w="2421"/>
            <w:tcMar>
              <w:top w:w="70" w:type="dxa"/>
              <w:left w:w="80" w:type="dxa"/>
              <w:bottom w:w="70" w:type="dxa"/>
              <w:right w:w="80" w:type="dxa"/>
            </w:tcMar>
          </w:tcPr>
          <w:p>
            <w:r>
              <w:t>Backup catalog + key evidence</w:t>
            </w:r>
          </w:p>
        </w:tc>
      </w:tr>
      <w:tr>
        <w:tc>
          <w:tcPr>
            <w:tcW w:type="dxa" w:w="2421"/>
            <w:tcMar>
              <w:top w:w="70" w:type="dxa"/>
              <w:left w:w="80" w:type="dxa"/>
              <w:bottom w:w="70" w:type="dxa"/>
              <w:right w:w="80" w:type="dxa"/>
            </w:tcMar>
          </w:tcPr>
          <w:p>
            <w:r>
              <w:t>Analytics/export</w:t>
            </w:r>
          </w:p>
        </w:tc>
        <w:tc>
          <w:tcPr>
            <w:tcW w:type="dxa" w:w="2421"/>
            <w:tcMar>
              <w:top w:w="70" w:type="dxa"/>
              <w:left w:w="80" w:type="dxa"/>
              <w:bottom w:w="70" w:type="dxa"/>
              <w:right w:w="80" w:type="dxa"/>
            </w:tcMar>
          </w:tcPr>
          <w:p>
            <w:r>
              <w:t>Subject-key delete or tombstone propagated; exports expire automatically</w:t>
            </w:r>
          </w:p>
        </w:tc>
        <w:tc>
          <w:tcPr>
            <w:tcW w:type="dxa" w:w="2421"/>
            <w:tcMar>
              <w:top w:w="70" w:type="dxa"/>
              <w:left w:w="80" w:type="dxa"/>
              <w:bottom w:w="70" w:type="dxa"/>
              <w:right w:w="80" w:type="dxa"/>
            </w:tcMar>
          </w:tcPr>
          <w:p>
            <w:r>
              <w:t>≤7d propagation</w:t>
            </w:r>
          </w:p>
        </w:tc>
        <w:tc>
          <w:tcPr>
            <w:tcW w:type="dxa" w:w="2421"/>
            <w:tcMar>
              <w:top w:w="70" w:type="dxa"/>
              <w:left w:w="80" w:type="dxa"/>
              <w:bottom w:w="70" w:type="dxa"/>
              <w:right w:w="80" w:type="dxa"/>
            </w:tcMar>
          </w:tcPr>
          <w:p>
            <w:r>
              <w:t>Data-product deletion receipt</w:t>
            </w:r>
          </w:p>
        </w:tc>
      </w:tr>
      <w:tr>
        <w:tc>
          <w:tcPr>
            <w:tcW w:type="dxa" w:w="2421"/>
            <w:tcMar>
              <w:top w:w="70" w:type="dxa"/>
              <w:left w:w="80" w:type="dxa"/>
              <w:bottom w:w="70" w:type="dxa"/>
              <w:right w:w="80" w:type="dxa"/>
            </w:tcMar>
          </w:tcPr>
          <w:p>
            <w:r>
              <w:t>Mobile/edge</w:t>
            </w:r>
          </w:p>
        </w:tc>
        <w:tc>
          <w:tcPr>
            <w:tcW w:type="dxa" w:w="2421"/>
            <w:tcMar>
              <w:top w:w="70" w:type="dxa"/>
              <w:left w:w="80" w:type="dxa"/>
              <w:bottom w:w="70" w:type="dxa"/>
              <w:right w:w="80" w:type="dxa"/>
            </w:tcMar>
          </w:tcPr>
          <w:p>
            <w:r>
              <w:t>Remote/session purge on next sync; local TTL; key destruction</w:t>
            </w:r>
          </w:p>
        </w:tc>
        <w:tc>
          <w:tcPr>
            <w:tcW w:type="dxa" w:w="2421"/>
            <w:tcMar>
              <w:top w:w="70" w:type="dxa"/>
              <w:left w:w="80" w:type="dxa"/>
              <w:bottom w:w="70" w:type="dxa"/>
              <w:right w:w="80" w:type="dxa"/>
            </w:tcMar>
          </w:tcPr>
          <w:p>
            <w:r>
              <w:t>Immediate when online, bounded by snapshot/cache TTL offline</w:t>
            </w:r>
          </w:p>
        </w:tc>
        <w:tc>
          <w:tcPr>
            <w:tcW w:type="dxa" w:w="2421"/>
            <w:tcMar>
              <w:top w:w="70" w:type="dxa"/>
              <w:left w:w="80" w:type="dxa"/>
              <w:bottom w:w="70" w:type="dxa"/>
              <w:right w:w="80" w:type="dxa"/>
            </w:tcMar>
          </w:tcPr>
          <w:p>
            <w:r>
              <w:t>Device acknowledgement when available</w:t>
            </w:r>
          </w:p>
        </w:tc>
      </w:tr>
      <w:tr>
        <w:tc>
          <w:tcPr>
            <w:tcW w:type="dxa" w:w="2421"/>
            <w:tcMar>
              <w:top w:w="70" w:type="dxa"/>
              <w:left w:w="80" w:type="dxa"/>
              <w:bottom w:w="70" w:type="dxa"/>
              <w:right w:w="80" w:type="dxa"/>
            </w:tcMar>
          </w:tcPr>
          <w:p>
            <w:r>
              <w:t>Third-party providers</w:t>
            </w:r>
          </w:p>
        </w:tc>
        <w:tc>
          <w:tcPr>
            <w:tcW w:type="dxa" w:w="2421"/>
            <w:tcMar>
              <w:top w:w="70" w:type="dxa"/>
              <w:left w:w="80" w:type="dxa"/>
              <w:bottom w:w="70" w:type="dxa"/>
              <w:right w:w="80" w:type="dxa"/>
            </w:tcMar>
          </w:tcPr>
          <w:p>
            <w:r>
              <w:t>Provider deletion/revocation API or case; evidence stored</w:t>
            </w:r>
          </w:p>
        </w:tc>
        <w:tc>
          <w:tcPr>
            <w:tcW w:type="dxa" w:w="2421"/>
            <w:tcMar>
              <w:top w:w="70" w:type="dxa"/>
              <w:left w:w="80" w:type="dxa"/>
              <w:bottom w:w="70" w:type="dxa"/>
              <w:right w:w="80" w:type="dxa"/>
            </w:tcMar>
          </w:tcPr>
          <w:p>
            <w:r>
              <w:t>Provider-specific SLA</w:t>
            </w:r>
          </w:p>
        </w:tc>
        <w:tc>
          <w:tcPr>
            <w:tcW w:type="dxa" w:w="2421"/>
            <w:tcMar>
              <w:top w:w="70" w:type="dxa"/>
              <w:left w:w="80" w:type="dxa"/>
              <w:bottom w:w="70" w:type="dxa"/>
              <w:right w:w="80" w:type="dxa"/>
            </w:tcMar>
          </w:tcPr>
          <w:p>
            <w:r>
              <w:t>Provider receipt/case ID</w:t>
            </w:r>
          </w:p>
        </w:tc>
      </w:tr>
    </w:tbl>
    <w:p>
      <w:pPr>
        <w:pStyle w:val="Heading1"/>
        <w:keepNext/>
      </w:pPr>
      <w:r>
        <w:t>22. Reliability, Observability, SLOs, Capacity &amp; FinOps</w:t>
      </w:r>
    </w:p>
    <w:p>
      <w:pPr>
        <w:spacing w:after="40"/>
      </w:pPr>
    </w:p>
    <w:p>
      <w:pPr>
        <w:pStyle w:val="Heading2"/>
        <w:keepNext/>
      </w:pPr>
      <w:r>
        <w:t>22.1 Observability Standard</w:t>
      </w:r>
    </w:p>
    <w:p>
      <w:pPr>
        <w:pStyle w:val="Bullet1"/>
        <w:spacing w:after="80" w:line="252" w:lineRule="auto"/>
      </w:pPr>
      <w:r>
        <w:rPr>
          <w:rFonts w:ascii="Noto Sans" w:hAnsi="Noto Sans"/>
        </w:rPr>
        <w:t>OpenTelemetry traces across gateway, domain command, workflow, event consumer and provider adapter with correlation_id/causation_id.</w:t>
      </w:r>
    </w:p>
    <w:p>
      <w:pPr>
        <w:pStyle w:val="Bullet1"/>
        <w:spacing w:after="80" w:line="252" w:lineRule="auto"/>
      </w:pPr>
      <w:r>
        <w:rPr>
          <w:rFonts w:ascii="Noto Sans" w:hAnsi="Noto Sans"/>
        </w:rPr>
        <w:t>Metrics include technical RED/USE plus business signals such as payment success, access denial reason, booking conflict, message delivery and tenant impact.</w:t>
      </w:r>
    </w:p>
    <w:p>
      <w:pPr>
        <w:pStyle w:val="Bullet1"/>
        <w:spacing w:after="80" w:line="252" w:lineRule="auto"/>
      </w:pPr>
      <w:r>
        <w:rPr>
          <w:rFonts w:ascii="Noto Sans" w:hAnsi="Noto Sans"/>
        </w:rPr>
        <w:t>Logs are structured and redacted; restricted data is prohibited. Tenant ID may be a controlled attribute but user-provided labels are sanitized.</w:t>
      </w:r>
    </w:p>
    <w:p>
      <w:pPr>
        <w:pStyle w:val="Bullet1"/>
        <w:spacing w:after="80" w:line="252" w:lineRule="auto"/>
      </w:pPr>
      <w:r>
        <w:rPr>
          <w:rFonts w:ascii="Noto Sans" w:hAnsi="Noto Sans"/>
        </w:rPr>
        <w:t>Every alert links to owner/runbook and includes affected tenants/regions where safe.</w:t>
      </w:r>
    </w:p>
    <w:p>
      <w:pPr>
        <w:pStyle w:val="Bullet1"/>
        <w:spacing w:after="80" w:line="252" w:lineRule="auto"/>
      </w:pPr>
      <w:r>
        <w:rPr>
          <w:rFonts w:ascii="Noto Sans" w:hAnsi="Noto Sans"/>
        </w:rPr>
        <w:t>Synthetic journeys continuously test sign-in, member lookup, booking, payment sandbox, check-in decision and key provider paths.</w:t>
      </w:r>
    </w:p>
    <w:p>
      <w:pPr>
        <w:pStyle w:val="Heading2"/>
        <w:keepNext/>
      </w:pPr>
      <w:r>
        <w:t>22.2 Backpressure and Failure Isolation</w:t>
      </w:r>
    </w:p>
    <w:p>
      <w:pPr>
        <w:pStyle w:val="Bullet1"/>
        <w:spacing w:after="80" w:line="252" w:lineRule="auto"/>
      </w:pPr>
      <w:r>
        <w:rPr>
          <w:rFonts w:ascii="Noto Sans" w:hAnsi="Noto Sans"/>
        </w:rPr>
        <w:t>Separate worker pools/queues for payments, notifications, search/indexing, integrations, migrations, AI and low-priority analytics.</w:t>
      </w:r>
    </w:p>
    <w:p>
      <w:pPr>
        <w:pStyle w:val="Bullet1"/>
        <w:spacing w:after="80" w:line="252" w:lineRule="auto"/>
      </w:pPr>
      <w:r>
        <w:rPr>
          <w:rFonts w:ascii="Noto Sans" w:hAnsi="Noto Sans"/>
        </w:rPr>
        <w:t>Per-tenant concurrency/rate limits prevent one tenant from exhausting shared resources.</w:t>
      </w:r>
    </w:p>
    <w:p>
      <w:pPr>
        <w:pStyle w:val="Bullet1"/>
        <w:spacing w:after="80" w:line="252" w:lineRule="auto"/>
      </w:pPr>
      <w:r>
        <w:rPr>
          <w:rFonts w:ascii="Noto Sans" w:hAnsi="Noto Sans"/>
        </w:rPr>
        <w:t>Circuit breakers around provider adapters; degraded status shown in product/control plane.</w:t>
      </w:r>
    </w:p>
    <w:p>
      <w:pPr>
        <w:pStyle w:val="Bullet1"/>
        <w:spacing w:after="80" w:line="252" w:lineRule="auto"/>
      </w:pPr>
      <w:r>
        <w:rPr>
          <w:rFonts w:ascii="Noto Sans" w:hAnsi="Noto Sans"/>
        </w:rPr>
        <w:t>Bulk operations are chunked, resumable and report partial success rather than holding giant transactions.</w:t>
      </w:r>
    </w:p>
    <w:p>
      <w:pPr>
        <w:pStyle w:val="Heading2"/>
        <w:keepNext/>
      </w:pPr>
      <w:r>
        <w:t>22.3 FinOps</w:t>
      </w:r>
    </w:p>
    <w:p>
      <w:pPr>
        <w:pStyle w:val="Bullet1"/>
      </w:pPr>
      <w:r>
        <w:t>Planning estimate (not a vendor quote): shared Foundation/V1 platform at the envelope above targets approximately USD 1.5k-3.5k/month of core cloud infrastructure before variable messaging/payment/AI charges, assuming managed Postgres with cross-region replica, ECS/Fargate, Redis, SQS/EventBridge, S3 and observability. Re-price quarterly with the cloud calculator and real utilization.</w:t>
      </w:r>
    </w:p>
    <w:p>
      <w:pPr>
        <w:pStyle w:val="Bullet1"/>
      </w:pPr>
      <w:r>
        <w:t>Cost attribution tags every job/API/event/storage object/provider dispatch with tenant/cost_category. Target infrastructure COGS is tracked per active tenant/location/member and compared with plan revenue; an architecture change that materially increases fixed baseline cost requires a FinOps ADR review.</w:t>
      </w:r>
    </w:p>
    <w:p>
      <w:pPr>
        <w:pStyle w:val="Heading2"/>
      </w:pPr>
      <w:r>
        <w:t>22.4 V1 Capacity and Partitioning Envelope</w:t>
      </w:r>
    </w:p>
    <w:p>
      <w:pPr>
        <w:pStyle w:val="Bullet1"/>
      </w:pPr>
      <w:r>
        <w:t>High-volume PostgreSQL tables use monthly range partitions where write/query profiles justify it: access_event, audit_record, ledger_posting, outbox_event and message/event-delivery history. Hot operational retention is typically 90 days; older immutable evidence is archived to S3 according to classification/legal policy and remains queryable through controlled retrieval.</w:t>
      </w:r>
    </w:p>
    <w:p>
      <w:pPr>
        <w:pStyle w:val="Bullet1"/>
      </w:pPr>
      <w:r>
        <w:t>Indexes are tenant-leading for tenant-scoped access patterns. Partition pruning, autovacuum, bloat, index size and archival lag are capacity SLOs; a partition is created ahead of time and missing-future-partition is a release/operations alert.</w:t>
      </w:r>
    </w:p>
    <w:p>
      <w:pPr>
        <w:pStyle w:val="Heading2"/>
      </w:pPr>
      <w:r>
        <w:t>22.5 Continuity Dependency Resolution</w:t>
      </w:r>
    </w:p>
    <w:tbl>
      <w:tblPr>
        <w:tblStyle w:val="TableGrid"/>
        <w:tblW w:type="dxa" w:w="9684"/>
        <w:jc w:val="center"/>
        <w:tblLayout w:type="autofit"/>
        <w:tblLook w:firstColumn="1" w:firstRow="1" w:lastColumn="0" w:lastRow="0" w:noHBand="0" w:noVBand="1" w:val="04A0"/>
      </w:tblPr>
      <w:tblGrid>
        <w:gridCol w:w="3228"/>
        <w:gridCol w:w="3228"/>
        <w:gridCol w:w="3228"/>
      </w:tblGrid>
      <w:tr>
        <w:trPr>
          <w:tblHeader w:val="true"/>
        </w:trPr>
        <w:tc>
          <w:tcPr>
            <w:tcW w:type="dxa" w:w="3228"/>
            <w:vAlign w:val="center"/>
            <w:tcMar>
              <w:top w:w="70" w:type="dxa"/>
              <w:left w:w="80" w:type="dxa"/>
              <w:bottom w:w="70" w:type="dxa"/>
              <w:right w:w="80" w:type="dxa"/>
            </w:tcMar>
          </w:tcPr>
          <w:p>
            <w:r>
              <w:rPr>
                <w:b/>
              </w:rPr>
              <w:t>Dependency</w:t>
            </w:r>
          </w:p>
        </w:tc>
        <w:tc>
          <w:tcPr>
            <w:tcW w:type="dxa" w:w="3228"/>
            <w:vAlign w:val="center"/>
            <w:tcMar>
              <w:top w:w="70" w:type="dxa"/>
              <w:left w:w="80" w:type="dxa"/>
              <w:bottom w:w="70" w:type="dxa"/>
              <w:right w:w="80" w:type="dxa"/>
            </w:tcMar>
          </w:tcPr>
          <w:p>
            <w:r>
              <w:rPr>
                <w:b/>
              </w:rPr>
              <w:t>Resolution</w:t>
            </w:r>
          </w:p>
        </w:tc>
        <w:tc>
          <w:tcPr>
            <w:tcW w:type="dxa" w:w="3228"/>
            <w:vAlign w:val="center"/>
            <w:tcMar>
              <w:top w:w="70" w:type="dxa"/>
              <w:left w:w="80" w:type="dxa"/>
              <w:bottom w:w="70" w:type="dxa"/>
              <w:right w:w="80" w:type="dxa"/>
            </w:tcMar>
          </w:tcPr>
          <w:p>
            <w:r>
              <w:rPr>
                <w:b/>
              </w:rPr>
              <w:t>Degraded behavior / split</w:t>
            </w:r>
          </w:p>
        </w:tc>
      </w:tr>
      <w:tr>
        <w:tc>
          <w:tcPr>
            <w:tcW w:type="dxa" w:w="3228"/>
            <w:tcMar>
              <w:top w:w="70" w:type="dxa"/>
              <w:left w:w="80" w:type="dxa"/>
              <w:bottom w:w="70" w:type="dxa"/>
              <w:right w:w="80" w:type="dxa"/>
            </w:tcMar>
          </w:tcPr>
          <w:p>
            <w:r>
              <w:t>PLT-01, IAM-01, IAM-03, SEC-01</w:t>
            </w:r>
          </w:p>
        </w:tc>
        <w:tc>
          <w:tcPr>
            <w:tcW w:type="dxa" w:w="3228"/>
            <w:tcMar>
              <w:top w:w="70" w:type="dxa"/>
              <w:left w:w="80" w:type="dxa"/>
              <w:bottom w:w="70" w:type="dxa"/>
              <w:right w:w="80" w:type="dxa"/>
            </w:tcMar>
          </w:tcPr>
          <w:p>
            <w:r>
              <w:t>Tier 1 Foundation</w:t>
            </w:r>
          </w:p>
        </w:tc>
        <w:tc>
          <w:tcPr>
            <w:tcW w:type="dxa" w:w="3228"/>
            <w:tcMar>
              <w:top w:w="70" w:type="dxa"/>
              <w:left w:w="80" w:type="dxa"/>
              <w:bottom w:w="70" w:type="dxa"/>
              <w:right w:w="80" w:type="dxa"/>
            </w:tcMar>
          </w:tcPr>
          <w:p>
            <w:r>
              <w:t>All Tier-1 operations require tenant, identity/policy and security context; these are raised to Tier 1.</w:t>
            </w:r>
          </w:p>
        </w:tc>
      </w:tr>
      <w:tr>
        <w:tc>
          <w:tcPr>
            <w:tcW w:type="dxa" w:w="3228"/>
            <w:tcMar>
              <w:top w:w="70" w:type="dxa"/>
              <w:left w:w="80" w:type="dxa"/>
              <w:bottom w:w="70" w:type="dxa"/>
              <w:right w:w="80" w:type="dxa"/>
            </w:tcMar>
          </w:tcPr>
          <w:p>
            <w:r>
              <w:t>COM-03/04/05</w:t>
            </w:r>
          </w:p>
        </w:tc>
        <w:tc>
          <w:tcPr>
            <w:tcW w:type="dxa" w:w="3228"/>
            <w:tcMar>
              <w:top w:w="70" w:type="dxa"/>
              <w:left w:w="80" w:type="dxa"/>
              <w:bottom w:w="70" w:type="dxa"/>
              <w:right w:w="80" w:type="dxa"/>
            </w:tcMar>
          </w:tcPr>
          <w:p>
            <w:r>
              <w:t>Tier 1 financial</w:t>
            </w:r>
          </w:p>
        </w:tc>
        <w:tc>
          <w:tcPr>
            <w:tcW w:type="dxa" w:w="3228"/>
            <w:tcMar>
              <w:top w:w="70" w:type="dxa"/>
              <w:left w:w="80" w:type="dxa"/>
              <w:bottom w:w="70" w:type="dxa"/>
              <w:right w:w="80" w:type="dxa"/>
            </w:tcMar>
          </w:tcPr>
          <w:p>
            <w:r>
              <w:t>Catalog/member display may degrade, but captured payment/ledger/fiscal state does not depend on search/analytics/inventory advanced features.</w:t>
            </w:r>
          </w:p>
        </w:tc>
      </w:tr>
      <w:tr>
        <w:tc>
          <w:tcPr>
            <w:tcW w:type="dxa" w:w="3228"/>
            <w:tcMar>
              <w:top w:w="70" w:type="dxa"/>
              <w:left w:w="80" w:type="dxa"/>
              <w:bottom w:w="70" w:type="dxa"/>
              <w:right w:w="80" w:type="dxa"/>
            </w:tcMar>
          </w:tcPr>
          <w:p>
            <w:r>
              <w:t>OPS-03</w:t>
            </w:r>
          </w:p>
        </w:tc>
        <w:tc>
          <w:tcPr>
            <w:tcW w:type="dxa" w:w="3228"/>
            <w:tcMar>
              <w:top w:w="70" w:type="dxa"/>
              <w:left w:w="80" w:type="dxa"/>
              <w:bottom w:w="70" w:type="dxa"/>
              <w:right w:w="80" w:type="dxa"/>
            </w:tcMar>
          </w:tcPr>
          <w:p>
            <w:r>
              <w:t>Tier 1 edge-local</w:t>
            </w:r>
          </w:p>
        </w:tc>
        <w:tc>
          <w:tcPr>
            <w:tcW w:type="dxa" w:w="3228"/>
            <w:tcMar>
              <w:top w:w="70" w:type="dxa"/>
              <w:left w:w="80" w:type="dxa"/>
              <w:bottom w:w="70" w:type="dxa"/>
              <w:right w:w="80" w:type="dxa"/>
            </w:tcMar>
          </w:tcPr>
          <w:p>
            <w:r>
              <w:t>Uses last-known signed entitlement/policy snapshot when cloud/PPL advanced projections are unavailable.</w:t>
            </w:r>
          </w:p>
        </w:tc>
      </w:tr>
      <w:tr>
        <w:tc>
          <w:tcPr>
            <w:tcW w:type="dxa" w:w="3228"/>
            <w:tcMar>
              <w:top w:w="70" w:type="dxa"/>
              <w:left w:w="80" w:type="dxa"/>
              <w:bottom w:w="70" w:type="dxa"/>
              <w:right w:w="80" w:type="dxa"/>
            </w:tcMar>
          </w:tcPr>
          <w:p>
            <w:r>
              <w:t>OPS-04 Front Desk</w:t>
            </w:r>
          </w:p>
        </w:tc>
        <w:tc>
          <w:tcPr>
            <w:tcW w:type="dxa" w:w="3228"/>
            <w:tcMar>
              <w:top w:w="70" w:type="dxa"/>
              <w:left w:w="80" w:type="dxa"/>
              <w:bottom w:w="70" w:type="dxa"/>
              <w:right w:w="80" w:type="dxa"/>
            </w:tcMar>
          </w:tcPr>
          <w:p>
            <w:r>
              <w:t>Tier 1 degraded</w:t>
            </w:r>
          </w:p>
        </w:tc>
        <w:tc>
          <w:tcPr>
            <w:tcW w:type="dxa" w:w="3228"/>
            <w:tcMar>
              <w:top w:w="70" w:type="dxa"/>
              <w:left w:w="80" w:type="dxa"/>
              <w:bottom w:w="70" w:type="dxa"/>
              <w:right w:w="80" w:type="dxa"/>
            </w:tcMar>
          </w:tcPr>
          <w:p>
            <w:r>
              <w:t>Member lookup/check-in uses bounded local cache; advanced CRM/coaching context may be unavailable.</w:t>
            </w:r>
          </w:p>
        </w:tc>
      </w:tr>
      <w:tr>
        <w:tc>
          <w:tcPr>
            <w:tcW w:type="dxa" w:w="3228"/>
            <w:tcMar>
              <w:top w:w="70" w:type="dxa"/>
              <w:left w:w="80" w:type="dxa"/>
              <w:bottom w:w="70" w:type="dxa"/>
              <w:right w:w="80" w:type="dxa"/>
            </w:tcMar>
          </w:tcPr>
          <w:p>
            <w:r>
              <w:t>DAT-01</w:t>
            </w:r>
          </w:p>
        </w:tc>
        <w:tc>
          <w:tcPr>
            <w:tcW w:type="dxa" w:w="3228"/>
            <w:tcMar>
              <w:top w:w="70" w:type="dxa"/>
              <w:left w:w="80" w:type="dxa"/>
              <w:bottom w:w="70" w:type="dxa"/>
              <w:right w:w="80" w:type="dxa"/>
            </w:tcMar>
          </w:tcPr>
          <w:p>
            <w:r>
              <w:t>Tier 1 publication integrity</w:t>
            </w:r>
          </w:p>
        </w:tc>
        <w:tc>
          <w:tcPr>
            <w:tcW w:type="dxa" w:w="3228"/>
            <w:tcMar>
              <w:top w:w="70" w:type="dxa"/>
              <w:left w:w="80" w:type="dxa"/>
              <w:bottom w:w="70" w:type="dxa"/>
              <w:right w:w="80" w:type="dxa"/>
            </w:tcMar>
          </w:tcPr>
          <w:p>
            <w:r>
              <w:t>Outbox is authoritative; queue transport outage queues locally/DB until recovery.</w:t>
            </w:r>
          </w:p>
        </w:tc>
      </w:tr>
      <w:tr>
        <w:tc>
          <w:tcPr>
            <w:tcW w:type="dxa" w:w="3228"/>
            <w:tcMar>
              <w:top w:w="70" w:type="dxa"/>
              <w:left w:w="80" w:type="dxa"/>
              <w:bottom w:w="70" w:type="dxa"/>
              <w:right w:w="80" w:type="dxa"/>
            </w:tcMar>
          </w:tcPr>
          <w:p>
            <w:r>
              <w:t>ECO-02/ECO-03 core</w:t>
            </w:r>
          </w:p>
        </w:tc>
        <w:tc>
          <w:tcPr>
            <w:tcW w:type="dxa" w:w="3228"/>
            <w:tcMar>
              <w:top w:w="70" w:type="dxa"/>
              <w:left w:w="80" w:type="dxa"/>
              <w:bottom w:w="70" w:type="dxa"/>
              <w:right w:w="80" w:type="dxa"/>
            </w:tcMar>
          </w:tcPr>
          <w:p>
            <w:r>
              <w:t>Foundation core / later marketplace+fleet</w:t>
            </w:r>
          </w:p>
        </w:tc>
        <w:tc>
          <w:tcPr>
            <w:tcW w:type="dxa" w:w="3228"/>
            <w:tcMar>
              <w:top w:w="70" w:type="dxa"/>
              <w:left w:w="80" w:type="dxa"/>
              <w:bottom w:w="70" w:type="dxa"/>
              <w:right w:w="80" w:type="dxa"/>
            </w:tcMar>
          </w:tcPr>
          <w:p>
            <w:r>
              <w:t>Provider adapter/edge bridge contracts ship early; marketplace/device fleet management remain later.</w:t>
            </w:r>
          </w:p>
        </w:tc>
      </w:tr>
      <w:tr>
        <w:tc>
          <w:tcPr>
            <w:tcW w:type="dxa" w:w="3228"/>
            <w:tcMar>
              <w:top w:w="70" w:type="dxa"/>
              <w:left w:w="80" w:type="dxa"/>
              <w:bottom w:w="70" w:type="dxa"/>
              <w:right w:w="80" w:type="dxa"/>
            </w:tcMar>
          </w:tcPr>
          <w:p>
            <w:r>
              <w:t>COM-06</w:t>
            </w:r>
          </w:p>
        </w:tc>
        <w:tc>
          <w:tcPr>
            <w:tcW w:type="dxa" w:w="3228"/>
            <w:tcMar>
              <w:top w:w="70" w:type="dxa"/>
              <w:left w:w="80" w:type="dxa"/>
              <w:bottom w:w="70" w:type="dxa"/>
              <w:right w:w="80" w:type="dxa"/>
            </w:tcMar>
          </w:tcPr>
          <w:p>
            <w:r>
              <w:t>V1 minimal inventory / V1.5 procurement</w:t>
            </w:r>
          </w:p>
        </w:tc>
        <w:tc>
          <w:tcPr>
            <w:tcW w:type="dxa" w:w="3228"/>
            <w:tcMar>
              <w:top w:w="70" w:type="dxa"/>
              <w:left w:w="80" w:type="dxa"/>
              <w:bottom w:w="70" w:type="dxa"/>
              <w:right w:w="80" w:type="dxa"/>
            </w:tcMar>
          </w:tcPr>
          <w:p>
            <w:r>
              <w:t>POS stock decrement/basic SKU quantity ships V1; supplier/PO/advanced replenishment may follow.</w:t>
            </w:r>
          </w:p>
        </w:tc>
      </w:tr>
    </w:tbl>
    <w:p>
      <w:pPr>
        <w:pStyle w:val="Heading2"/>
      </w:pPr>
      <w:r>
        <w:t>22.6 Availability and Recovery SLO Decomposition</w:t>
      </w:r>
    </w:p>
    <w:tbl>
      <w:tblPr>
        <w:tblStyle w:val="TableGrid"/>
        <w:tblW w:type="dxa" w:w="9684"/>
        <w:jc w:val="center"/>
        <w:tblLayout w:type="autofit"/>
        <w:tblLook w:firstColumn="1" w:firstRow="1" w:lastColumn="0" w:lastRow="0" w:noHBand="0" w:noVBand="1" w:val="04A0"/>
      </w:tblPr>
      <w:tblGrid>
        <w:gridCol w:w="3228"/>
        <w:gridCol w:w="3228"/>
        <w:gridCol w:w="3228"/>
      </w:tblGrid>
      <w:tr>
        <w:trPr>
          <w:tblHeader w:val="true"/>
        </w:trPr>
        <w:tc>
          <w:tcPr>
            <w:tcW w:type="dxa" w:w="3228"/>
            <w:vAlign w:val="center"/>
            <w:tcMar>
              <w:top w:w="70" w:type="dxa"/>
              <w:left w:w="80" w:type="dxa"/>
              <w:bottom w:w="70" w:type="dxa"/>
              <w:right w:w="80" w:type="dxa"/>
            </w:tcMar>
          </w:tcPr>
          <w:p>
            <w:r>
              <w:rPr>
                <w:b/>
              </w:rPr>
              <w:t>Path</w:t>
            </w:r>
          </w:p>
        </w:tc>
        <w:tc>
          <w:tcPr>
            <w:tcW w:type="dxa" w:w="3228"/>
            <w:vAlign w:val="center"/>
            <w:tcMar>
              <w:top w:w="70" w:type="dxa"/>
              <w:left w:w="80" w:type="dxa"/>
              <w:bottom w:w="70" w:type="dxa"/>
              <w:right w:w="80" w:type="dxa"/>
            </w:tcMar>
          </w:tcPr>
          <w:p>
            <w:r>
              <w:rPr>
                <w:b/>
              </w:rPr>
              <w:t>Target</w:t>
            </w:r>
          </w:p>
        </w:tc>
        <w:tc>
          <w:tcPr>
            <w:tcW w:type="dxa" w:w="3228"/>
            <w:vAlign w:val="center"/>
            <w:tcMar>
              <w:top w:w="70" w:type="dxa"/>
              <w:left w:w="80" w:type="dxa"/>
              <w:bottom w:w="70" w:type="dxa"/>
              <w:right w:w="80" w:type="dxa"/>
            </w:tcMar>
          </w:tcPr>
          <w:p>
            <w:r>
              <w:rPr>
                <w:b/>
              </w:rPr>
              <w:t>Mechanism / qualification</w:t>
            </w:r>
          </w:p>
        </w:tc>
      </w:tr>
      <w:tr>
        <w:tc>
          <w:tcPr>
            <w:tcW w:type="dxa" w:w="3228"/>
            <w:tcMar>
              <w:top w:w="70" w:type="dxa"/>
              <w:left w:w="80" w:type="dxa"/>
              <w:bottom w:w="70" w:type="dxa"/>
              <w:right w:w="80" w:type="dxa"/>
            </w:tcMar>
          </w:tcPr>
          <w:p>
            <w:r>
              <w:t>Edge-local access decision</w:t>
            </w:r>
          </w:p>
        </w:tc>
        <w:tc>
          <w:tcPr>
            <w:tcW w:type="dxa" w:w="3228"/>
            <w:tcMar>
              <w:top w:w="70" w:type="dxa"/>
              <w:left w:w="80" w:type="dxa"/>
              <w:bottom w:w="70" w:type="dxa"/>
              <w:right w:w="80" w:type="dxa"/>
            </w:tcMar>
          </w:tcPr>
          <w:p>
            <w:r>
              <w:t>99.99% monthly; p95 &lt;250 ms</w:t>
            </w:r>
          </w:p>
        </w:tc>
        <w:tc>
          <w:tcPr>
            <w:tcW w:type="dxa" w:w="3228"/>
            <w:tcMar>
              <w:top w:w="70" w:type="dxa"/>
              <w:left w:w="80" w:type="dxa"/>
              <w:bottom w:w="70" w:type="dxa"/>
              <w:right w:w="80" w:type="dxa"/>
            </w:tcMar>
          </w:tcPr>
          <w:p>
            <w:r>
              <w:t>Signed snapshot + local controller; excludes hardware power/fire-system failure outside Veyro</w:t>
            </w:r>
          </w:p>
        </w:tc>
      </w:tr>
      <w:tr>
        <w:tc>
          <w:tcPr>
            <w:tcW w:type="dxa" w:w="3228"/>
            <w:tcMar>
              <w:top w:w="70" w:type="dxa"/>
              <w:left w:w="80" w:type="dxa"/>
              <w:bottom w:w="70" w:type="dxa"/>
              <w:right w:w="80" w:type="dxa"/>
            </w:tcMar>
          </w:tcPr>
          <w:p>
            <w:r>
              <w:t>Cloud access policy API</w:t>
            </w:r>
          </w:p>
        </w:tc>
        <w:tc>
          <w:tcPr>
            <w:tcW w:type="dxa" w:w="3228"/>
            <w:tcMar>
              <w:top w:w="70" w:type="dxa"/>
              <w:left w:w="80" w:type="dxa"/>
              <w:bottom w:w="70" w:type="dxa"/>
              <w:right w:w="80" w:type="dxa"/>
            </w:tcMar>
          </w:tcPr>
          <w:p>
            <w:r>
              <w:t>99.95%; p95 &lt;700 ms</w:t>
            </w:r>
          </w:p>
        </w:tc>
        <w:tc>
          <w:tcPr>
            <w:tcW w:type="dxa" w:w="3228"/>
            <w:tcMar>
              <w:top w:w="70" w:type="dxa"/>
              <w:left w:w="80" w:type="dxa"/>
              <w:bottom w:w="70" w:type="dxa"/>
              <w:right w:w="80" w:type="dxa"/>
            </w:tcMar>
          </w:tcPr>
          <w:p>
            <w:r>
              <w:t>Not required for every entry while edge snapshot valid</w:t>
            </w:r>
          </w:p>
        </w:tc>
      </w:tr>
      <w:tr>
        <w:tc>
          <w:tcPr>
            <w:tcW w:type="dxa" w:w="3228"/>
            <w:tcMar>
              <w:top w:w="70" w:type="dxa"/>
              <w:left w:w="80" w:type="dxa"/>
              <w:bottom w:w="70" w:type="dxa"/>
              <w:right w:w="80" w:type="dxa"/>
            </w:tcMar>
          </w:tcPr>
          <w:p>
            <w:r>
              <w:t>Billing/booking core</w:t>
            </w:r>
          </w:p>
        </w:tc>
        <w:tc>
          <w:tcPr>
            <w:tcW w:type="dxa" w:w="3228"/>
            <w:tcMar>
              <w:top w:w="70" w:type="dxa"/>
              <w:left w:w="80" w:type="dxa"/>
              <w:bottom w:w="70" w:type="dxa"/>
              <w:right w:w="80" w:type="dxa"/>
            </w:tcMar>
          </w:tcPr>
          <w:p>
            <w:r>
              <w:t>99.95%</w:t>
            </w:r>
          </w:p>
        </w:tc>
        <w:tc>
          <w:tcPr>
            <w:tcW w:type="dxa" w:w="3228"/>
            <w:tcMar>
              <w:top w:w="70" w:type="dxa"/>
              <w:left w:w="80" w:type="dxa"/>
              <w:bottom w:w="70" w:type="dxa"/>
              <w:right w:w="80" w:type="dxa"/>
            </w:tcMar>
          </w:tcPr>
          <w:p>
            <w:r>
              <w:t>Financial/booking writes fail safely; provider failures measured separately</w:t>
            </w:r>
          </w:p>
        </w:tc>
      </w:tr>
      <w:tr>
        <w:tc>
          <w:tcPr>
            <w:tcW w:type="dxa" w:w="3228"/>
            <w:tcMar>
              <w:top w:w="70" w:type="dxa"/>
              <w:left w:w="80" w:type="dxa"/>
              <w:bottom w:w="70" w:type="dxa"/>
              <w:right w:w="80" w:type="dxa"/>
            </w:tcMar>
          </w:tcPr>
          <w:p>
            <w:r>
              <w:t>Admin/Coach/Member APIs</w:t>
            </w:r>
          </w:p>
        </w:tc>
        <w:tc>
          <w:tcPr>
            <w:tcW w:type="dxa" w:w="3228"/>
            <w:tcMar>
              <w:top w:w="70" w:type="dxa"/>
              <w:left w:w="80" w:type="dxa"/>
              <w:bottom w:w="70" w:type="dxa"/>
              <w:right w:w="80" w:type="dxa"/>
            </w:tcMar>
          </w:tcPr>
          <w:p>
            <w:r>
              <w:t>99.9%</w:t>
            </w:r>
          </w:p>
        </w:tc>
        <w:tc>
          <w:tcPr>
            <w:tcW w:type="dxa" w:w="3228"/>
            <w:tcMar>
              <w:top w:w="70" w:type="dxa"/>
              <w:left w:w="80" w:type="dxa"/>
              <w:bottom w:w="70" w:type="dxa"/>
              <w:right w:w="80" w:type="dxa"/>
            </w:tcMar>
          </w:tcPr>
          <w:p>
            <w:r>
              <w:t>Surface availability measured independently</w:t>
            </w:r>
          </w:p>
        </w:tc>
      </w:tr>
      <w:tr>
        <w:tc>
          <w:tcPr>
            <w:tcW w:type="dxa" w:w="3228"/>
            <w:tcMar>
              <w:top w:w="70" w:type="dxa"/>
              <w:left w:w="80" w:type="dxa"/>
              <w:bottom w:w="70" w:type="dxa"/>
              <w:right w:w="80" w:type="dxa"/>
            </w:tcMar>
          </w:tcPr>
          <w:p>
            <w:r>
              <w:t>AZ failure</w:t>
            </w:r>
          </w:p>
        </w:tc>
        <w:tc>
          <w:tcPr>
            <w:tcW w:type="dxa" w:w="3228"/>
            <w:tcMar>
              <w:top w:w="70" w:type="dxa"/>
              <w:left w:w="80" w:type="dxa"/>
              <w:bottom w:w="70" w:type="dxa"/>
              <w:right w:w="80" w:type="dxa"/>
            </w:tcMar>
          </w:tcPr>
          <w:p>
            <w:r>
              <w:t>RPO ~0, RTO ≤15 min target</w:t>
            </w:r>
          </w:p>
        </w:tc>
        <w:tc>
          <w:tcPr>
            <w:tcW w:type="dxa" w:w="3228"/>
            <w:tcMar>
              <w:top w:w="70" w:type="dxa"/>
              <w:left w:w="80" w:type="dxa"/>
              <w:bottom w:w="70" w:type="dxa"/>
              <w:right w:w="80" w:type="dxa"/>
            </w:tcMar>
          </w:tcPr>
          <w:p>
            <w:r>
              <w:t>Multi-AZ database/app failover</w:t>
            </w:r>
          </w:p>
        </w:tc>
      </w:tr>
      <w:tr>
        <w:tc>
          <w:tcPr>
            <w:tcW w:type="dxa" w:w="3228"/>
            <w:tcMar>
              <w:top w:w="70" w:type="dxa"/>
              <w:left w:w="80" w:type="dxa"/>
              <w:bottom w:w="70" w:type="dxa"/>
              <w:right w:w="80" w:type="dxa"/>
            </w:tcMar>
          </w:tcPr>
          <w:p>
            <w:r>
              <w:t>Region failure - Tier 1</w:t>
            </w:r>
          </w:p>
        </w:tc>
        <w:tc>
          <w:tcPr>
            <w:tcW w:type="dxa" w:w="3228"/>
            <w:tcMar>
              <w:top w:w="70" w:type="dxa"/>
              <w:left w:w="80" w:type="dxa"/>
              <w:bottom w:w="70" w:type="dxa"/>
              <w:right w:w="80" w:type="dxa"/>
            </w:tcMar>
          </w:tcPr>
          <w:p>
            <w:r>
              <w:t>RPO ≤5 min and RTO ≤60 min only while replica health/warm-standby drill proves it</w:t>
            </w:r>
          </w:p>
        </w:tc>
        <w:tc>
          <w:tcPr>
            <w:tcW w:type="dxa" w:w="3228"/>
            <w:tcMar>
              <w:top w:w="70" w:type="dxa"/>
              <w:left w:w="80" w:type="dxa"/>
              <w:bottom w:w="70" w:type="dxa"/>
              <w:right w:w="80" w:type="dxa"/>
            </w:tcMar>
          </w:tcPr>
          <w:p>
            <w:r>
              <w:t>Cross-region replica + warm infra; measured SLO overrides aspirational number</w:t>
            </w:r>
          </w:p>
        </w:tc>
      </w:tr>
    </w:tbl>
    <w:p>
      <w:pPr>
        <w:pStyle w:val="Heading2"/>
      </w:pPr>
      <w:r>
        <w:t>22.7 FinOps Planning Envelope</w:t>
      </w:r>
    </w:p>
    <w:tbl>
      <w:tblPr>
        <w:tblStyle w:val="TableGrid"/>
        <w:tblW w:type="dxa" w:w="9684"/>
        <w:jc w:val="center"/>
        <w:tblLayout w:type="autofit"/>
        <w:tblLook w:firstColumn="1" w:firstRow="1" w:lastColumn="0" w:lastRow="0" w:noHBand="0" w:noVBand="1" w:val="04A0"/>
      </w:tblPr>
      <w:tblGrid>
        <w:gridCol w:w="3228"/>
        <w:gridCol w:w="3228"/>
        <w:gridCol w:w="3228"/>
      </w:tblGrid>
      <w:tr>
        <w:trPr>
          <w:tblHeader w:val="true"/>
        </w:trPr>
        <w:tc>
          <w:tcPr>
            <w:tcW w:type="dxa" w:w="3228"/>
            <w:vAlign w:val="center"/>
            <w:tcMar>
              <w:top w:w="70" w:type="dxa"/>
              <w:left w:w="80" w:type="dxa"/>
              <w:bottom w:w="70" w:type="dxa"/>
              <w:right w:w="80" w:type="dxa"/>
            </w:tcMar>
          </w:tcPr>
          <w:p>
            <w:r>
              <w:rPr>
                <w:b/>
              </w:rPr>
              <w:t>Dimension</w:t>
            </w:r>
          </w:p>
        </w:tc>
        <w:tc>
          <w:tcPr>
            <w:tcW w:type="dxa" w:w="3228"/>
            <w:vAlign w:val="center"/>
            <w:tcMar>
              <w:top w:w="70" w:type="dxa"/>
              <w:left w:w="80" w:type="dxa"/>
              <w:bottom w:w="70" w:type="dxa"/>
              <w:right w:w="80" w:type="dxa"/>
            </w:tcMar>
          </w:tcPr>
          <w:p>
            <w:r>
              <w:rPr>
                <w:b/>
              </w:rPr>
              <w:t>V1 planning envelope</w:t>
            </w:r>
          </w:p>
        </w:tc>
        <w:tc>
          <w:tcPr>
            <w:tcW w:type="dxa" w:w="3228"/>
            <w:vAlign w:val="center"/>
            <w:tcMar>
              <w:top w:w="70" w:type="dxa"/>
              <w:left w:w="80" w:type="dxa"/>
              <w:bottom w:w="70" w:type="dxa"/>
              <w:right w:w="80" w:type="dxa"/>
            </w:tcMar>
          </w:tcPr>
          <w:p>
            <w:r>
              <w:rPr>
                <w:b/>
              </w:rPr>
              <w:t>Qualification target</w:t>
            </w:r>
          </w:p>
        </w:tc>
      </w:tr>
      <w:tr>
        <w:tc>
          <w:tcPr>
            <w:tcW w:type="dxa" w:w="3228"/>
            <w:tcMar>
              <w:top w:w="70" w:type="dxa"/>
              <w:left w:w="80" w:type="dxa"/>
              <w:bottom w:w="70" w:type="dxa"/>
              <w:right w:w="80" w:type="dxa"/>
            </w:tcMar>
          </w:tcPr>
          <w:p>
            <w:r>
              <w:t>Tenants / locations</w:t>
            </w:r>
          </w:p>
        </w:tc>
        <w:tc>
          <w:tcPr>
            <w:tcW w:type="dxa" w:w="3228"/>
            <w:tcMar>
              <w:top w:w="70" w:type="dxa"/>
              <w:left w:w="80" w:type="dxa"/>
              <w:bottom w:w="70" w:type="dxa"/>
              <w:right w:w="80" w:type="dxa"/>
            </w:tcMar>
          </w:tcPr>
          <w:p>
            <w:r>
              <w:t>50 tenants / 120 locations design-partner + early GA envelope</w:t>
            </w:r>
          </w:p>
        </w:tc>
        <w:tc>
          <w:tcPr>
            <w:tcW w:type="dxa" w:w="3228"/>
            <w:tcMar>
              <w:top w:w="70" w:type="dxa"/>
              <w:left w:w="80" w:type="dxa"/>
              <w:bottom w:w="70" w:type="dxa"/>
              <w:right w:w="80" w:type="dxa"/>
            </w:tcMar>
          </w:tcPr>
          <w:p>
            <w:r>
              <w:t>3× peak headroom in load tests</w:t>
            </w:r>
          </w:p>
        </w:tc>
      </w:tr>
      <w:tr>
        <w:tc>
          <w:tcPr>
            <w:tcW w:type="dxa" w:w="3228"/>
            <w:tcMar>
              <w:top w:w="70" w:type="dxa"/>
              <w:left w:w="80" w:type="dxa"/>
              <w:bottom w:w="70" w:type="dxa"/>
              <w:right w:w="80" w:type="dxa"/>
            </w:tcMar>
          </w:tcPr>
          <w:p>
            <w:r>
              <w:t>Active members</w:t>
            </w:r>
          </w:p>
        </w:tc>
        <w:tc>
          <w:tcPr>
            <w:tcW w:type="dxa" w:w="3228"/>
            <w:tcMar>
              <w:top w:w="70" w:type="dxa"/>
              <w:left w:w="80" w:type="dxa"/>
              <w:bottom w:w="70" w:type="dxa"/>
              <w:right w:w="80" w:type="dxa"/>
            </w:tcMar>
          </w:tcPr>
          <w:p>
            <w:r>
              <w:t>150,000</w:t>
            </w:r>
          </w:p>
        </w:tc>
        <w:tc>
          <w:tcPr>
            <w:tcW w:type="dxa" w:w="3228"/>
            <w:tcMar>
              <w:top w:w="70" w:type="dxa"/>
              <w:left w:w="80" w:type="dxa"/>
              <w:bottom w:w="70" w:type="dxa"/>
              <w:right w:w="80" w:type="dxa"/>
            </w:tcMar>
          </w:tcPr>
          <w:p>
            <w:r>
              <w:t>Scale tests to 450,000 logical member profiles</w:t>
            </w:r>
          </w:p>
        </w:tc>
      </w:tr>
      <w:tr>
        <w:tc>
          <w:tcPr>
            <w:tcW w:type="dxa" w:w="3228"/>
            <w:tcMar>
              <w:top w:w="70" w:type="dxa"/>
              <w:left w:w="80" w:type="dxa"/>
              <w:bottom w:w="70" w:type="dxa"/>
              <w:right w:w="80" w:type="dxa"/>
            </w:tcMar>
          </w:tcPr>
          <w:p>
            <w:r>
              <w:t>API volume</w:t>
            </w:r>
          </w:p>
        </w:tc>
        <w:tc>
          <w:tcPr>
            <w:tcW w:type="dxa" w:w="3228"/>
            <w:tcMar>
              <w:top w:w="70" w:type="dxa"/>
              <w:left w:w="80" w:type="dxa"/>
              <w:bottom w:w="70" w:type="dxa"/>
              <w:right w:w="80" w:type="dxa"/>
            </w:tcMar>
          </w:tcPr>
          <w:p>
            <w:r>
              <w:t>~1.5M requests/day; 300 rps burst</w:t>
            </w:r>
          </w:p>
        </w:tc>
        <w:tc>
          <w:tcPr>
            <w:tcW w:type="dxa" w:w="3228"/>
            <w:tcMar>
              <w:top w:w="70" w:type="dxa"/>
              <w:left w:w="80" w:type="dxa"/>
              <w:bottom w:w="70" w:type="dxa"/>
              <w:right w:w="80" w:type="dxa"/>
            </w:tcMar>
          </w:tcPr>
          <w:p>
            <w:r>
              <w:t>Common mobile p95 &lt;350 ms; admin &lt;500 ms</w:t>
            </w:r>
          </w:p>
        </w:tc>
      </w:tr>
      <w:tr>
        <w:tc>
          <w:tcPr>
            <w:tcW w:type="dxa" w:w="3228"/>
            <w:tcMar>
              <w:top w:w="70" w:type="dxa"/>
              <w:left w:w="80" w:type="dxa"/>
              <w:bottom w:w="70" w:type="dxa"/>
              <w:right w:w="80" w:type="dxa"/>
            </w:tcMar>
          </w:tcPr>
          <w:p>
            <w:r>
              <w:t>Access decisions</w:t>
            </w:r>
          </w:p>
        </w:tc>
        <w:tc>
          <w:tcPr>
            <w:tcW w:type="dxa" w:w="3228"/>
            <w:tcMar>
              <w:top w:w="70" w:type="dxa"/>
              <w:left w:w="80" w:type="dxa"/>
              <w:bottom w:w="70" w:type="dxa"/>
              <w:right w:w="80" w:type="dxa"/>
            </w:tcMar>
          </w:tcPr>
          <w:p>
            <w:r>
              <w:t>100 decisions/s regional burst; edge-local burst higher</w:t>
            </w:r>
          </w:p>
        </w:tc>
        <w:tc>
          <w:tcPr>
            <w:tcW w:type="dxa" w:w="3228"/>
            <w:tcMar>
              <w:top w:w="70" w:type="dxa"/>
              <w:left w:w="80" w:type="dxa"/>
              <w:bottom w:w="70" w:type="dxa"/>
              <w:right w:w="80" w:type="dxa"/>
            </w:tcMar>
          </w:tcPr>
          <w:p>
            <w:r>
              <w:t>Edge decision p95 &lt;250 ms</w:t>
            </w:r>
          </w:p>
        </w:tc>
      </w:tr>
      <w:tr>
        <w:tc>
          <w:tcPr>
            <w:tcW w:type="dxa" w:w="3228"/>
            <w:tcMar>
              <w:top w:w="70" w:type="dxa"/>
              <w:left w:w="80" w:type="dxa"/>
              <w:bottom w:w="70" w:type="dxa"/>
              <w:right w:w="80" w:type="dxa"/>
            </w:tcMar>
          </w:tcPr>
          <w:p>
            <w:r>
              <w:t>Business events</w:t>
            </w:r>
          </w:p>
        </w:tc>
        <w:tc>
          <w:tcPr>
            <w:tcW w:type="dxa" w:w="3228"/>
            <w:tcMar>
              <w:top w:w="70" w:type="dxa"/>
              <w:left w:w="80" w:type="dxa"/>
              <w:bottom w:w="70" w:type="dxa"/>
              <w:right w:w="80" w:type="dxa"/>
            </w:tcMar>
          </w:tcPr>
          <w:p>
            <w:r>
              <w:t>≤250 events/s normal burst; design dispatcher for 1,000/s</w:t>
            </w:r>
          </w:p>
        </w:tc>
        <w:tc>
          <w:tcPr>
            <w:tcW w:type="dxa" w:w="3228"/>
            <w:tcMar>
              <w:top w:w="70" w:type="dxa"/>
              <w:left w:w="80" w:type="dxa"/>
              <w:bottom w:w="70" w:type="dxa"/>
              <w:right w:w="80" w:type="dxa"/>
            </w:tcMar>
          </w:tcPr>
          <w:p>
            <w:r>
              <w:t>Kafka extraction trigger: sustained &gt;1,000/s or historical replay needs exceed archive rebuild model</w:t>
            </w:r>
          </w:p>
        </w:tc>
      </w:tr>
      <w:tr>
        <w:tc>
          <w:tcPr>
            <w:tcW w:type="dxa" w:w="3228"/>
            <w:tcMar>
              <w:top w:w="70" w:type="dxa"/>
              <w:left w:w="80" w:type="dxa"/>
              <w:bottom w:w="70" w:type="dxa"/>
              <w:right w:w="80" w:type="dxa"/>
            </w:tcMar>
          </w:tcPr>
          <w:p>
            <w:r>
              <w:t>Messages/notifications</w:t>
            </w:r>
          </w:p>
        </w:tc>
        <w:tc>
          <w:tcPr>
            <w:tcW w:type="dxa" w:w="3228"/>
            <w:tcMar>
              <w:top w:w="70" w:type="dxa"/>
              <w:left w:w="80" w:type="dxa"/>
              <w:bottom w:w="70" w:type="dxa"/>
              <w:right w:w="80" w:type="dxa"/>
            </w:tcMar>
          </w:tcPr>
          <w:p>
            <w:r>
              <w:t>250k/day mixed channels</w:t>
            </w:r>
          </w:p>
        </w:tc>
        <w:tc>
          <w:tcPr>
            <w:tcW w:type="dxa" w:w="3228"/>
            <w:tcMar>
              <w:top w:w="70" w:type="dxa"/>
              <w:left w:w="80" w:type="dxa"/>
              <w:bottom w:w="70" w:type="dxa"/>
              <w:right w:w="80" w:type="dxa"/>
            </w:tcMar>
          </w:tcPr>
          <w:p>
            <w:r>
              <w:t>Provider queues isolated per channel/tenant class</w:t>
            </w:r>
          </w:p>
        </w:tc>
      </w:tr>
    </w:tbl>
    <w:p>
      <w:pPr>
        <w:pStyle w:val="Bullet1"/>
        <w:spacing w:after="80" w:line="252" w:lineRule="auto"/>
      </w:pPr>
      <w:r>
        <w:rPr>
          <w:rFonts w:ascii="Noto Sans" w:hAnsi="Noto Sans"/>
        </w:rPr>
        <w:t>Tag/attribute cloud, AI, messaging, storage, provider and support cost to tenant or platform where technically possible.</w:t>
      </w:r>
    </w:p>
    <w:p>
      <w:pPr>
        <w:pStyle w:val="Bullet1"/>
        <w:spacing w:after="80" w:line="252" w:lineRule="auto"/>
      </w:pPr>
      <w:r>
        <w:rPr>
          <w:rFonts w:ascii="Noto Sans" w:hAnsi="Noto Sans"/>
        </w:rPr>
        <w:t>Usage meters are product data with correction/late-event semantics; cloud billing data is reconciled separately.</w:t>
      </w:r>
    </w:p>
    <w:p>
      <w:pPr>
        <w:pStyle w:val="Bullet1"/>
        <w:spacing w:after="80" w:line="252" w:lineRule="auto"/>
      </w:pPr>
      <w:r>
        <w:rPr>
          <w:rFonts w:ascii="Noto Sans" w:hAnsi="Noto Sans"/>
        </w:rPr>
        <w:t>Cost anomaly alerts include tenant/feature/provider dimension and are compared against plan revenue/gross margin.</w:t>
      </w:r>
    </w:p>
    <w:p>
      <w:pPr>
        <w:pStyle w:val="Bullet1"/>
        <w:spacing w:after="80" w:line="252" w:lineRule="auto"/>
      </w:pPr>
      <w:r>
        <w:rPr>
          <w:rFonts w:ascii="Noto Sans" w:hAnsi="Noto Sans"/>
        </w:rPr>
        <w:t>AI gateway enforces tenant/use-case budgets, rate limits and model fallback policy.</w:t>
      </w:r>
    </w:p>
    <w:p>
      <w:pPr>
        <w:pStyle w:val="Heading1"/>
        <w:keepNext/>
      </w:pPr>
      <w:r>
        <w:t>23. Deployment Topology, Environments &amp; Infrastructure</w:t>
      </w:r>
    </w:p>
    <w:p>
      <w:pPr>
        <w:spacing w:after="40"/>
        <w:jc w:val="center"/>
      </w:pPr>
      <w:r>
        <w:drawing>
          <wp:inline xmlns:a="http://schemas.openxmlformats.org/drawingml/2006/main" xmlns:pic="http://schemas.openxmlformats.org/drawingml/2006/picture">
            <wp:extent cx="6172200" cy="4892553"/>
            <wp:docPr id="6" name="Picture 6" descr="Figure 6. AWS reference production topology (logical architecture remains portable)." title="Figure 6. AWS reference production topology (logical architecture remains portable)."/>
            <wp:cNvGraphicFramePr>
              <a:graphicFrameLocks noChangeAspect="1"/>
            </wp:cNvGraphicFramePr>
            <a:graphic>
              <a:graphicData uri="http://schemas.openxmlformats.org/drawingml/2006/picture">
                <pic:pic>
                  <pic:nvPicPr>
                    <pic:cNvPr id="0" name="deploy.png"/>
                    <pic:cNvPicPr/>
                  </pic:nvPicPr>
                  <pic:blipFill>
                    <a:blip r:embed="rId15"/>
                    <a:stretch>
                      <a:fillRect/>
                    </a:stretch>
                  </pic:blipFill>
                  <pic:spPr>
                    <a:xfrm>
                      <a:off x="0" y="0"/>
                      <a:ext cx="6172200" cy="4892553"/>
                    </a:xfrm>
                    <a:prstGeom prst="rect"/>
                  </pic:spPr>
                </pic:pic>
              </a:graphicData>
            </a:graphic>
          </wp:inline>
        </w:drawing>
      </w:r>
    </w:p>
    <w:p>
      <w:pPr>
        <w:spacing w:after="160"/>
        <w:jc w:val="center"/>
      </w:pPr>
      <w:r>
        <w:rPr>
          <w:rFonts w:ascii="Noto Sans" w:hAnsi="Noto Sans"/>
          <w:i/>
          <w:color w:val="5B6773"/>
          <w:sz w:val="17"/>
        </w:rPr>
        <w:t>Figure 6. AWS reference production topology (logical architecture remains portable).</w:t>
      </w:r>
    </w:p>
    <w:p>
      <w:pPr>
        <w:pStyle w:val="Heading2"/>
        <w:keepNext/>
      </w:pPr>
      <w:r>
        <w:t>23.1 Environment and Account Model</w:t>
      </w:r>
    </w:p>
    <w:p>
      <w:pPr>
        <w:pStyle w:val="Bullet1"/>
        <w:spacing w:after="80" w:line="252" w:lineRule="auto"/>
      </w:pPr>
      <w:r>
        <w:rPr>
          <w:rFonts w:ascii="Noto Sans" w:hAnsi="Noto Sans"/>
        </w:rPr>
        <w:t>Separate cloud accounts/projects for production, staging and non-production/shared tooling; no prod data copied to lower environments without approved anonymization.</w:t>
      </w:r>
    </w:p>
    <w:p>
      <w:pPr>
        <w:pStyle w:val="Bullet1"/>
        <w:spacing w:after="80" w:line="252" w:lineRule="auto"/>
      </w:pPr>
      <w:r>
        <w:rPr>
          <w:rFonts w:ascii="Noto Sans" w:hAnsi="Noto Sans"/>
        </w:rPr>
        <w:t>Production uses at least two availability zones. Critical managed data stores use multi-AZ replication and point-in-time recovery.</w:t>
      </w:r>
    </w:p>
    <w:p>
      <w:pPr>
        <w:pStyle w:val="Bullet1"/>
        <w:spacing w:after="80" w:line="252" w:lineRule="auto"/>
      </w:pPr>
      <w:r>
        <w:rPr>
          <w:rFonts w:ascii="Noto Sans" w:hAnsi="Noto Sans"/>
        </w:rPr>
        <w:t>Secrets/KMS keys, event topics, databases, buckets and search indexes are environment isolated.</w:t>
      </w:r>
    </w:p>
    <w:p>
      <w:pPr>
        <w:pStyle w:val="Bullet1"/>
        <w:spacing w:after="80" w:line="252" w:lineRule="auto"/>
      </w:pPr>
      <w:r>
        <w:rPr>
          <w:rFonts w:ascii="Noto Sans" w:hAnsi="Noto Sans"/>
        </w:rPr>
        <w:t>Preview/test environments use synthetic tenants and provider sandboxes.</w:t>
      </w:r>
    </w:p>
    <w:p>
      <w:pPr>
        <w:pStyle w:val="Heading2"/>
        <w:keepNext/>
      </w:pPr>
      <w:r>
        <w:t>23.2 Network</w:t>
      </w:r>
    </w:p>
    <w:p>
      <w:pPr>
        <w:pStyle w:val="Bullet1"/>
        <w:spacing w:after="80" w:line="252" w:lineRule="auto"/>
      </w:pPr>
      <w:r>
        <w:rPr>
          <w:rFonts w:ascii="Noto Sans" w:hAnsi="Noto Sans"/>
        </w:rPr>
        <w:t>Public edge: CDN/WAF/DDoS -&gt; load balancer/API gateway. Application and data workloads remain in private subnets.</w:t>
      </w:r>
    </w:p>
    <w:p>
      <w:pPr>
        <w:pStyle w:val="Bullet1"/>
        <w:spacing w:after="80" w:line="252" w:lineRule="auto"/>
      </w:pPr>
      <w:r>
        <w:rPr>
          <w:rFonts w:ascii="Noto Sans" w:hAnsi="Noto Sans"/>
        </w:rPr>
        <w:t>Database/cache/search accept traffic only from approved workload security groups/identities.</w:t>
      </w:r>
    </w:p>
    <w:p>
      <w:pPr>
        <w:pStyle w:val="Bullet1"/>
        <w:spacing w:after="80" w:line="252" w:lineRule="auto"/>
      </w:pPr>
      <w:r>
        <w:rPr>
          <w:rFonts w:ascii="Noto Sans" w:hAnsi="Noto Sans"/>
        </w:rPr>
        <w:t>Outbound provider calls use controlled egress/NAT and domain allowlisting where practical; webhook callbacks enter through dedicated validated endpoints.</w:t>
      </w:r>
    </w:p>
    <w:p>
      <w:pPr>
        <w:pStyle w:val="Bullet1"/>
        <w:spacing w:after="80" w:line="252" w:lineRule="auto"/>
      </w:pPr>
      <w:r>
        <w:rPr>
          <w:rFonts w:ascii="Noto Sans" w:hAnsi="Noto Sans"/>
        </w:rPr>
        <w:t>Administrative production access uses SSO, short-lived credentials and audited session mechanisms; no permanent bastion passwords.</w:t>
      </w:r>
    </w:p>
    <w:p>
      <w:pPr>
        <w:pStyle w:val="Heading2"/>
        <w:keepNext/>
      </w:pPr>
      <w:r>
        <w:t>23.3 Database and Backup</w:t>
      </w:r>
    </w:p>
    <w:p>
      <w:pPr>
        <w:pStyle w:val="Bullet1"/>
        <w:spacing w:after="80" w:line="252" w:lineRule="auto"/>
      </w:pPr>
      <w:r>
        <w:rPr>
          <w:rFonts w:ascii="Noto Sans" w:hAnsi="Noto Sans"/>
        </w:rPr>
        <w:t>Managed PostgreSQL multi-AZ, PITR, encrypted snapshots, tested restore automation and capacity alarms.</w:t>
      </w:r>
    </w:p>
    <w:p>
      <w:pPr>
        <w:pStyle w:val="Bullet1"/>
        <w:spacing w:after="80" w:line="252" w:lineRule="auto"/>
      </w:pPr>
      <w:r>
        <w:rPr>
          <w:rFonts w:ascii="Noto Sans" w:hAnsi="Noto Sans"/>
        </w:rPr>
        <w:t>Connection pooling/proxy prevents serverless/web fanout from exhausting database connections.</w:t>
      </w:r>
    </w:p>
    <w:p>
      <w:pPr>
        <w:pStyle w:val="Bullet1"/>
        <w:spacing w:after="80" w:line="252" w:lineRule="auto"/>
      </w:pPr>
      <w:r>
        <w:rPr>
          <w:rFonts w:ascii="Noto Sans" w:hAnsi="Noto Sans"/>
        </w:rPr>
        <w:t>Read replicas may serve reporting/read-heavy projections but never relax tenant policy or serve stale consequence-bearing authorization without explicit freshness rules.</w:t>
      </w:r>
    </w:p>
    <w:p>
      <w:pPr>
        <w:pStyle w:val="Bullet1"/>
        <w:spacing w:after="80" w:line="252" w:lineRule="auto"/>
      </w:pPr>
      <w:r>
        <w:rPr>
          <w:rFonts w:ascii="Noto Sans" w:hAnsi="Noto Sans"/>
        </w:rPr>
        <w:t>Backups are cross-region/copied according to continuity tier and legal residency; restoration tests are scheduled and measured.</w:t>
      </w:r>
    </w:p>
    <w:p>
      <w:pPr>
        <w:pStyle w:val="Heading2"/>
      </w:pPr>
      <w:r>
        <w:t>23.4 Jordan Primary and Warm-DR Topology</w:t>
      </w:r>
    </w:p>
    <w:p>
      <w:pPr>
        <w:pStyle w:val="Bullet1"/>
      </w:pPr>
      <w:r>
        <w:t>Primary: AWS me-south-1 (Bahrain), three-AZ capable region. Product/control APIs, primary RDS PostgreSQL, Redis and queues run here. DR: me-central-1 (UAE) with pre-created network/IAM/KMS/secrets/app definitions and Tier-1 cross-region PostgreSQL replica.</w:t>
      </w:r>
    </w:p>
    <w:p>
      <w:pPr>
        <w:pStyle w:val="Bullet1"/>
      </w:pPr>
      <w:r>
        <w:t>S3 uses cross-region replication for required objects. Redis is treated as rebuildable. SQS/EventBridge is not authoritative; the Postgres outbox and S3 event archive republish unacknowledged business events after failover. Search in V1 is rebuilt from Postgres because it uses Postgres FTS, eliminating a separate OpenSearch DR dependency.</w:t>
      </w:r>
    </w:p>
    <w:p>
      <w:pPr>
        <w:pStyle w:val="Bullet1"/>
      </w:pPr>
      <w:r>
        <w:t>Replication lag is continuously measured. The ≤5 minute RPO claim is valid only while replica lag/health remains within budget; breach pages SRE and changes the published disaster-recovery readiness state. Quarterly game days promote the DR replica and measure actual RPO/RTO.</w:t>
      </w:r>
    </w:p>
    <w:p>
      <w:pPr>
        <w:pStyle w:val="Bullet1"/>
      </w:pPr>
      <w:r>
        <w:t>KMS/secrets are region-ready using replicated/paired key strategy and secret copies with separate IAM. Edge devices trust a signed endpoint set containing both regions and fail over only after control-plane/incident authorization to avoid split brain.</w:t>
      </w:r>
    </w:p>
    <w:p>
      <w:pPr>
        <w:pStyle w:val="Heading1"/>
        <w:keepNext/>
      </w:pPr>
      <w:r>
        <w:t>24. CI/CD, Schema Evolution, Release &amp; Rollback</w:t>
      </w:r>
    </w:p>
    <w:p>
      <w:pPr>
        <w:pStyle w:val="Heading2"/>
        <w:keepNext/>
      </w:pPr>
      <w:r>
        <w:t>24.1 Pipeline Gates</w:t>
      </w:r>
    </w:p>
    <w:p>
      <w:pPr>
        <w:pStyle w:val="Heading3"/>
      </w:pPr>
      <w:r>
        <w:t>Architecture enforcement gates</w:t>
      </w:r>
    </w:p>
    <w:p>
      <w:pPr>
        <w:pStyle w:val="Bullet1"/>
      </w:pPr>
      <w:r>
        <w:t>RLS lint: every tenant table tenant_id NOT NULL + policy + ENABLE/FORCE RLS; runtime role cannot own/bypass. Negative isolation tests run with production-equivalent role.</w:t>
      </w:r>
    </w:p>
    <w:p>
      <w:pPr>
        <w:pStyle w:val="Bullet1"/>
      </w:pPr>
      <w:r>
        <w:t>Module dependency/SQL lint: application modules may reference only their owned table prefix/schema and approved read-model/application interfaces; cross-domain raw SQL/ORM imports fail CI. For the four intentional bidirectional pairs, §6.3 is the normative directed graph: only the listed synchronous edge may import/call the opposite application interface; the reverse edge must remain event-driven.</w:t>
      </w:r>
    </w:p>
    <w:p>
      <w:pPr>
        <w:pStyle w:val="Bullet1"/>
      </w:pPr>
      <w:r>
        <w:t>Event contract lint: every event referenced by flow/code exists in AsyncAPI/JSON Schema registry; compatibility and classification changes require owner approval.</w:t>
      </w:r>
    </w:p>
    <w:p>
      <w:pPr>
        <w:pStyle w:val="Bullet1"/>
      </w:pPr>
      <w:r>
        <w:t>Permission lint: API commands/queries declare action/resource/scope; unregistered permission names fail build.</w:t>
      </w:r>
    </w:p>
    <w:p>
      <w:pPr>
        <w:pStyle w:val="Bullet1"/>
      </w:pPr>
      <w:r>
        <w:t>Screen contract lint: every V1 Screen ID from design registry maps to a BFF/read model or typed command manifest row before feature release.</w:t>
      </w:r>
    </w:p>
    <w:p>
      <w:pPr>
        <w:pStyle w:val="Numbered"/>
        <w:spacing w:after="60"/>
      </w:pPr>
      <w:r>
        <w:rPr>
          <w:rFonts w:ascii="Noto Sans" w:hAnsi="Noto Sans"/>
        </w:rPr>
        <w:t>Format/lint/type checks and unit tests.</w:t>
      </w:r>
    </w:p>
    <w:p>
      <w:pPr>
        <w:pStyle w:val="Numbered"/>
        <w:spacing w:after="60"/>
      </w:pPr>
      <w:r>
        <w:rPr>
          <w:rFonts w:ascii="Noto Sans" w:hAnsi="Noto Sans"/>
        </w:rPr>
        <w:t>Domain contract tests, tenant-isolation tests, authorization tests and financial invariant tests.</w:t>
      </w:r>
    </w:p>
    <w:p>
      <w:pPr>
        <w:pStyle w:val="Numbered"/>
        <w:spacing w:after="60"/>
      </w:pPr>
      <w:r>
        <w:rPr>
          <w:rFonts w:ascii="Noto Sans" w:hAnsi="Noto Sans"/>
        </w:rPr>
        <w:t>SAST, dependency, secret, container and IaC scanning; SBOM/provenance generation.</w:t>
      </w:r>
    </w:p>
    <w:p>
      <w:pPr>
        <w:pStyle w:val="Numbered"/>
        <w:spacing w:after="60"/>
      </w:pPr>
      <w:r>
        <w:rPr>
          <w:rFonts w:ascii="Noto Sans" w:hAnsi="Noto Sans"/>
        </w:rPr>
        <w:t>Build signed immutable artifacts/images.</w:t>
      </w:r>
    </w:p>
    <w:p>
      <w:pPr>
        <w:pStyle w:val="Numbered"/>
        <w:spacing w:after="60"/>
      </w:pPr>
      <w:r>
        <w:rPr>
          <w:rFonts w:ascii="Noto Sans" w:hAnsi="Noto Sans"/>
        </w:rPr>
        <w:t>Integration tests with PostgreSQL/event/workflow/provider sandboxes.</w:t>
      </w:r>
    </w:p>
    <w:p>
      <w:pPr>
        <w:pStyle w:val="Numbered"/>
        <w:spacing w:after="60"/>
      </w:pPr>
      <w:r>
        <w:rPr>
          <w:rFonts w:ascii="Noto Sans" w:hAnsi="Noto Sans"/>
        </w:rPr>
        <w:t>API/event schema compatibility checks and migration safety checks.</w:t>
      </w:r>
    </w:p>
    <w:p>
      <w:pPr>
        <w:pStyle w:val="Numbered"/>
        <w:spacing w:after="60"/>
      </w:pPr>
      <w:r>
        <w:rPr>
          <w:rFonts w:ascii="Noto Sans" w:hAnsi="Noto Sans"/>
        </w:rPr>
        <w:t>Deploy to staging; run E2E/critical synthetic/load subset/accessibility/localization gates.</w:t>
      </w:r>
    </w:p>
    <w:p>
      <w:pPr>
        <w:pStyle w:val="Numbered"/>
        <w:spacing w:after="60"/>
      </w:pPr>
      <w:r>
        <w:rPr>
          <w:rFonts w:ascii="Noto Sans" w:hAnsi="Noto Sans"/>
        </w:rPr>
        <w:t>Canary/percentage rollout with feature flags; monitor SLO/business guardrails.</w:t>
      </w:r>
    </w:p>
    <w:p>
      <w:pPr>
        <w:pStyle w:val="Numbered"/>
        <w:spacing w:after="60"/>
      </w:pPr>
      <w:r>
        <w:rPr>
          <w:rFonts w:ascii="Noto Sans" w:hAnsi="Noto Sans"/>
        </w:rPr>
        <w:t>Promote or rollback; publish release metadata, migration state and change notice.</w:t>
      </w:r>
    </w:p>
    <w:p>
      <w:pPr>
        <w:pStyle w:val="Bullet1"/>
      </w:pPr>
      <w:r>
        <w:t>Domain contract uniqueness lint: CI compares normalized authoritative-entity sets, command inventories, published-event sets, runbook IDs, SLI/SLO signals and failure/degraded-behavior vocabulary across all 57 §10 domains. Identical command inventories or reused RB-&lt;DOMAIN&gt; IDs across different domains fail unless an explicit shared-contract exception is approved. Each domain SLI/SLO may name only signals owned by that domain or an explicitly documented dependency; foreign-domain vocabulary such as booking-capacity signals in a billing SLO fails the lint. Failure/degraded-behavior text is checked by the same ownership rule. This prevents silent cross-domain template, telemetry or generation mis-assignment.</w:t>
      </w:r>
    </w:p>
    <w:p>
      <w:pPr>
        <w:pStyle w:val="Heading2"/>
        <w:keepNext/>
      </w:pPr>
      <w:r>
        <w:t>24.2 Database Migration Policy</w:t>
      </w:r>
    </w:p>
    <w:p>
      <w:pPr>
        <w:pStyle w:val="Bullet1"/>
        <w:spacing w:after="80" w:line="252" w:lineRule="auto"/>
      </w:pPr>
      <w:r>
        <w:rPr>
          <w:rFonts w:ascii="Noto Sans" w:hAnsi="Noto Sans"/>
        </w:rPr>
        <w:t>Expand -&gt; migrate/backfill -&gt; switch reads/writes -&gt; contract. Destructive contract happens only after all deployed versions stop using old shape.</w:t>
      </w:r>
    </w:p>
    <w:p>
      <w:pPr>
        <w:pStyle w:val="Bullet1"/>
        <w:spacing w:after="80" w:line="252" w:lineRule="auto"/>
      </w:pPr>
      <w:r>
        <w:rPr>
          <w:rFonts w:ascii="Noto Sans" w:hAnsi="Noto Sans"/>
        </w:rPr>
        <w:t>Large backfills are online/resumable jobs with progress and throttling; never a single deployment transaction.</w:t>
      </w:r>
    </w:p>
    <w:p>
      <w:pPr>
        <w:pStyle w:val="Bullet1"/>
        <w:spacing w:after="80" w:line="252" w:lineRule="auto"/>
      </w:pPr>
      <w:r>
        <w:rPr>
          <w:rFonts w:ascii="Noto Sans" w:hAnsi="Noto Sans"/>
        </w:rPr>
        <w:t>Every migration records owner, expected lock/write impact, rollback/forward-fix strategy and data validation query.</w:t>
      </w:r>
    </w:p>
    <w:p>
      <w:pPr>
        <w:pStyle w:val="Bullet1"/>
        <w:spacing w:after="80" w:line="252" w:lineRule="auto"/>
      </w:pPr>
      <w:r>
        <w:rPr>
          <w:rFonts w:ascii="Noto Sans" w:hAnsi="Noto Sans"/>
        </w:rPr>
        <w:t>Schema and application deployment ordering is tested against at least previous supported version for rolling deploy compatibility.</w:t>
      </w:r>
    </w:p>
    <w:p>
      <w:pPr>
        <w:pStyle w:val="Heading2"/>
        <w:keepNext/>
      </w:pPr>
      <w:r>
        <w:t>24.3 Mobile Release Policy</w:t>
      </w:r>
    </w:p>
    <w:p>
      <w:pPr>
        <w:pStyle w:val="Bullet1"/>
        <w:spacing w:after="80" w:line="252" w:lineRule="auto"/>
      </w:pPr>
      <w:r>
        <w:rPr>
          <w:rFonts w:ascii="Noto Sans" w:hAnsi="Noto Sans"/>
        </w:rPr>
        <w:t>Backend APIs preserve compatibility for minimum supported app versions; server can expose capability/version negotiation.</w:t>
      </w:r>
    </w:p>
    <w:p>
      <w:pPr>
        <w:pStyle w:val="Bullet1"/>
        <w:spacing w:after="80" w:line="252" w:lineRule="auto"/>
      </w:pPr>
      <w:r>
        <w:rPr>
          <w:rFonts w:ascii="Noto Sans" w:hAnsi="Noto Sans"/>
        </w:rPr>
        <w:t>Remote config controls rollout but cannot repair an incompatible API contract.</w:t>
      </w:r>
    </w:p>
    <w:p>
      <w:pPr>
        <w:pStyle w:val="Bullet1"/>
        <w:spacing w:after="80" w:line="252" w:lineRule="auto"/>
      </w:pPr>
      <w:r>
        <w:rPr>
          <w:rFonts w:ascii="Noto Sans" w:hAnsi="Noto Sans"/>
        </w:rPr>
        <w:t>Minimum supported version, optional/forced update and kill-switch policy are explicit; forced update is reserved for security/critical incompatibility.</w:t>
      </w:r>
    </w:p>
    <w:p>
      <w:pPr>
        <w:pStyle w:val="Bullet1"/>
        <w:spacing w:after="80" w:line="252" w:lineRule="auto"/>
      </w:pPr>
      <w:r>
        <w:rPr>
          <w:rFonts w:ascii="Noto Sans" w:hAnsi="Noto Sans"/>
        </w:rPr>
        <w:t>White-label fleet release metadata is tracked per branded app and store.</w:t>
      </w:r>
    </w:p>
    <w:p>
      <w:pPr>
        <w:pStyle w:val="Bullet1"/>
      </w:pPr>
      <w:r>
        <w:t>The repository pins a tested Kotlin/KMP/Compose/Gradle/Xcode/AGP compatibility matrix. Toolchain upgrades are isolated pull requests with Android+iOS build, UI, accessibility and performance qualification before merge.</w:t>
      </w:r>
    </w:p>
    <w:p>
      <w:pPr>
        <w:pStyle w:val="Bullet1"/>
      </w:pPr>
      <w:r>
        <w:t>Shared KMP modules are versioned in source/build provenance; Android and iOS release trains may advance independently as long as both consume an API-compatible shared revision and pass platform gates.</w:t>
      </w:r>
    </w:p>
    <w:p>
      <w:pPr>
        <w:pStyle w:val="Bullet1"/>
      </w:pPr>
      <w:r>
        <w:t>CI builds Android on Linux runners where possible and iOS on macOS/Xcode runners. Release candidates require real-device smoke tests for platform capability adapters and the critical offline flows.</w:t>
      </w:r>
    </w:p>
    <w:p>
      <w:pPr>
        <w:pStyle w:val="Bullet1"/>
      </w:pPr>
      <w:r>
        <w:t>A common-code change that touches serialization, local schema, sync, auth, routing or shared Design System triggers both Android and iOS regression suites even if the initiating feature is platform-specific.</w:t>
      </w:r>
    </w:p>
    <w:p>
      <w:pPr>
        <w:pStyle w:val="Heading1"/>
        <w:keepNext/>
      </w:pPr>
      <w:r>
        <w:t>25. Onboarding, Migration, Offboarding &amp; Data Portability</w:t>
      </w:r>
    </w:p>
    <w:p>
      <w:pPr>
        <w:pStyle w:val="Heading2"/>
        <w:keepNext/>
      </w:pPr>
      <w:r>
        <w:t>25.1 Provisioning and Go-live</w:t>
      </w:r>
    </w:p>
    <w:p>
      <w:pPr>
        <w:pStyle w:val="Bullet1"/>
        <w:spacing w:after="80" w:line="252" w:lineRule="auto"/>
      </w:pPr>
      <w:r>
        <w:rPr>
          <w:rFonts w:ascii="Noto Sans" w:hAnsi="Noto Sans"/>
        </w:rPr>
        <w:t>Tenant provisioning workflow creates tenant/organization, placement, encryption/config defaults, SaaS subscription entitlements, first admin identity and audit evidence.</w:t>
      </w:r>
    </w:p>
    <w:p>
      <w:pPr>
        <w:pStyle w:val="Bullet1"/>
        <w:spacing w:after="80" w:line="252" w:lineRule="auto"/>
      </w:pPr>
      <w:r>
        <w:rPr>
          <w:rFonts w:ascii="Noto Sans" w:hAnsi="Noto Sans"/>
        </w:rPr>
        <w:t>Implementation readiness is a state machine/checklist with blocking validation for payments, tax, memberships, staff, schedule, access, communications and migration.</w:t>
      </w:r>
    </w:p>
    <w:p>
      <w:pPr>
        <w:pStyle w:val="Bullet1"/>
        <w:spacing w:after="80" w:line="252" w:lineRule="auto"/>
      </w:pPr>
      <w:r>
        <w:rPr>
          <w:rFonts w:ascii="Noto Sans" w:hAnsi="Noto Sans"/>
        </w:rPr>
        <w:t>Go-live is an approved transition; production provider credentials and hardware activation are not assumed from sandbox success.</w:t>
      </w:r>
    </w:p>
    <w:p>
      <w:pPr>
        <w:pStyle w:val="Heading2"/>
        <w:keepNext/>
      </w:pPr>
      <w:r>
        <w:t>25.2 Migration Framework</w:t>
      </w:r>
    </w:p>
    <w:p>
      <w:pPr>
        <w:pStyle w:val="Heading3"/>
      </w:pPr>
      <w:r>
        <w:t>Migration source adapters and finance opening balance</w:t>
      </w:r>
    </w:p>
    <w:p>
      <w:pPr>
        <w:pStyle w:val="Bullet1"/>
      </w:pPr>
      <w:r>
        <w:t>Adapter inventory starts with CSV/Excel canonical import, verified legacy gym-management exports/APIs (including Virtuagym where contractually available), and tenant-specific SQL/API adapters behind the same staging model. A named source adapter is added only after its real export/API contract is verified; no adapter bypasses staging, validation or reconciliation.</w:t>
      </w:r>
    </w:p>
    <w:p>
      <w:pPr>
        <w:pStyle w:val="Bullet1"/>
      </w:pPr>
      <w:r>
        <w:t>Canonical staging separates identity/person, memberships/contracts, outstanding invoices/credits/wallet, historical payments, attendance/access history, bookings, coaching/nutrition artifacts and opening inventory. Unknown source fields are preserved in a raw immutable import blob for evidence.</w:t>
      </w:r>
    </w:p>
    <w:p>
      <w:pPr>
        <w:pStyle w:val="Bullet1"/>
      </w:pPr>
      <w:r>
        <w:t>Financial cutover requires an accountant-approved opening trial balance: receivable, cash/provider clearing, tax, wallet/service-credit liabilities, unearned revenue and earned-to-date schedules. Historical data that cannot be reconstructed is imported as explicitly labelled opening-balance journals, never fabricated line-level history.</w:t>
      </w:r>
    </w:p>
    <w:p>
      <w:pPr>
        <w:pStyle w:val="Bullet1"/>
      </w:pPr>
      <w:r>
        <w:t>Dry run produces counts, hashes, duplicate/merge cases, financial control totals, access/booking eligibility samples and unresolved rejects. Go-live requires signed reconciliation; delta migration after final source freeze is idempotent.</w:t>
      </w:r>
    </w:p>
    <w:p>
      <w:pPr>
        <w:pStyle w:val="Bullet1"/>
        <w:spacing w:after="80" w:line="252" w:lineRule="auto"/>
      </w:pPr>
      <w:r>
        <w:rPr>
          <w:rFonts w:ascii="Noto Sans" w:hAnsi="Noto Sans"/>
        </w:rPr>
        <w:t>Source adapters normalize CSV/Excel/competitor/API data into a versioned staging model.</w:t>
      </w:r>
    </w:p>
    <w:p>
      <w:pPr>
        <w:pStyle w:val="Bullet1"/>
        <w:spacing w:after="80" w:line="252" w:lineRule="auto"/>
      </w:pPr>
      <w:r>
        <w:rPr>
          <w:rFonts w:ascii="Noto Sans" w:hAnsi="Noto Sans"/>
        </w:rPr>
        <w:t>Dry run produces row-level validation, mapping decisions, duplicates, financial totals, membership/credit balances and reject/quarantine reports.</w:t>
      </w:r>
    </w:p>
    <w:p>
      <w:pPr>
        <w:pStyle w:val="Bullet1"/>
        <w:spacing w:after="80" w:line="252" w:lineRule="auto"/>
      </w:pPr>
      <w:r>
        <w:rPr>
          <w:rFonts w:ascii="Noto Sans" w:hAnsi="Noto Sans"/>
        </w:rPr>
        <w:t>Import is idempotent using source_system + source_id mappings. Re-running does not create duplicates.</w:t>
      </w:r>
    </w:p>
    <w:p>
      <w:pPr>
        <w:pStyle w:val="Bullet1"/>
        <w:spacing w:after="80" w:line="252" w:lineRule="auto"/>
      </w:pPr>
      <w:r>
        <w:rPr>
          <w:rFonts w:ascii="Noto Sans" w:hAnsi="Noto Sans"/>
        </w:rPr>
        <w:t>Financial migration uses opening balances/journal strategy approved by finance; historical payments are not fabricated as new provider transactions.</w:t>
      </w:r>
    </w:p>
    <w:p>
      <w:pPr>
        <w:pStyle w:val="Bullet1"/>
        <w:spacing w:after="80" w:line="252" w:lineRule="auto"/>
      </w:pPr>
      <w:r>
        <w:rPr>
          <w:rFonts w:ascii="Noto Sans" w:hAnsi="Noto Sans"/>
        </w:rPr>
        <w:t>Cutover supports delta import, freeze window where necessary, reconciliation/sign-off and rollback plan.</w:t>
      </w:r>
    </w:p>
    <w:p>
      <w:pPr>
        <w:pStyle w:val="Heading2"/>
        <w:keepNext/>
      </w:pPr>
      <w:r>
        <w:t>25.3 Offboarding</w:t>
      </w:r>
    </w:p>
    <w:p>
      <w:pPr>
        <w:pStyle w:val="Heading2"/>
      </w:pPr>
      <w:r>
        <w:t>25.4 Privacy Lifecycle and Tenant Relocation</w:t>
      </w:r>
    </w:p>
    <w:p>
      <w:pPr>
        <w:pStyle w:val="Bullet1"/>
      </w:pPr>
      <w:r>
        <w:t>DSAR access/correction/export/restriction/deletion is a Foundation SEC-01 capability even though full commercial tenant offboarding remains later-phase. Privacy rights therefore do not depend on Enterprise offboarding scope.</w:t>
      </w:r>
    </w:p>
    <w:p>
      <w:pPr>
        <w:pStyle w:val="Bullet1"/>
      </w:pPr>
      <w:r>
        <w:t>Tenant relocation uses the §7.5 workflow and is available for noisy-neighbour remediation, regional policy and enterprise dedicated placement. Offboarding/export uses the same canonical export manifests and control-total verification.</w:t>
      </w:r>
    </w:p>
    <w:p>
      <w:pPr>
        <w:pStyle w:val="Bullet1"/>
        <w:spacing w:after="80" w:line="252" w:lineRule="auto"/>
      </w:pPr>
      <w:r>
        <w:rPr>
          <w:rFonts w:ascii="Noto Sans" w:hAnsi="Noto Sans"/>
        </w:rPr>
        <w:t>States: cancel requested -&gt; obligations/export -&gt; credentials/integrations revoked -&gt; read-only/archive -&gt; retention -&gt; deletion.</w:t>
      </w:r>
    </w:p>
    <w:p>
      <w:pPr>
        <w:pStyle w:val="Bullet1"/>
        <w:spacing w:after="80" w:line="252" w:lineRule="auto"/>
      </w:pPr>
      <w:r>
        <w:rPr>
          <w:rFonts w:ascii="Noto Sans" w:hAnsi="Noto Sans"/>
        </w:rPr>
        <w:t>Export package includes documented schemas, files and checksums; export generation is auditable and time-limited.</w:t>
      </w:r>
    </w:p>
    <w:p>
      <w:pPr>
        <w:pStyle w:val="Bullet1"/>
        <w:spacing w:after="80" w:line="252" w:lineRule="auto"/>
      </w:pPr>
      <w:r>
        <w:rPr>
          <w:rFonts w:ascii="Noto Sans" w:hAnsi="Noto Sans"/>
        </w:rPr>
        <w:t>Deletion orchestrates domain stores, indexes, caches, object storage and subprocessors while respecting legal hold/backups/retention.</w:t>
      </w:r>
    </w:p>
    <w:p>
      <w:pPr>
        <w:pStyle w:val="Bullet1"/>
        <w:spacing w:after="80" w:line="252" w:lineRule="auto"/>
      </w:pPr>
      <w:r>
        <w:rPr>
          <w:rFonts w:ascii="Noto Sans" w:hAnsi="Noto Sans"/>
        </w:rPr>
        <w:t>Veyro SaaS billing termination and gym business data retention are coordinated but remain separate sources of truth.</w:t>
      </w:r>
    </w:p>
    <w:p>
      <w:pPr>
        <w:pStyle w:val="Heading1"/>
        <w:keepNext/>
      </w:pPr>
      <w:r>
        <w:t>26. Jordan Regional Pack</w:t>
      </w:r>
    </w:p>
    <w:tbl>
      <w:tblPr>
        <w:tblW w:type="dxa" w:w="9684"/>
        <w:jc w:val="center"/>
        <w:tblLayout w:type="autofit"/>
        <w:tblLook w:firstColumn="1" w:firstRow="1" w:lastColumn="0" w:lastRow="0" w:noHBand="0" w:noVBand="1" w:val="04A0"/>
      </w:tblPr>
      <w:tblGrid>
        <w:gridCol w:w="9684"/>
      </w:tblGrid>
      <w:tr>
        <w:trPr>
          <w:tblHeader w:val="true"/>
        </w:trPr>
        <w:tc>
          <w:tcPr>
            <w:tcW w:type="dxa" w:w="9684"/>
            <w:shd w:fill="EAF5EE"/>
            <w:tcMar>
              <w:top w:w="70" w:type="dxa"/>
              <w:start w:w="160" w:type="dxa"/>
              <w:bottom w:w="70" w:type="dxa"/>
              <w:end w:w="160" w:type="dxa"/>
              <w:left w:w="80" w:type="dxa"/>
              <w:right w:w="80" w:type="dxa"/>
            </w:tcMar>
            <w:vAlign w:val="center"/>
          </w:tcPr>
          <w:p>
            <w:pPr>
              <w:spacing w:after="0" w:line="259" w:lineRule="auto"/>
            </w:pPr>
            <w:r>
              <w:rPr>
                <w:rFonts w:ascii="Noto Sans" w:hAnsi="Noto Sans"/>
                <w:b/>
                <w:color w:val="2E6B4A"/>
                <w:sz w:val="21"/>
              </w:rPr>
              <w:t>Design rule</w:t>
              <w:br/>
            </w:r>
            <w:r>
              <w:rPr>
                <w:rFonts w:ascii="Noto Sans" w:hAnsi="Noto Sans"/>
                <w:b/>
                <w:color w:val="1F2933"/>
                <w:sz w:val="19"/>
              </w:rPr>
              <w:t>Jordan-specific behavior is implemented through regional policy and provider adapters. Country rules must not appear as scattered if-country conditionals inside core domains.</w:t>
            </w:r>
          </w:p>
        </w:tc>
      </w:tr>
    </w:tbl>
    <w:p>
      <w:pPr>
        <w:spacing w:after="40"/>
      </w:pPr>
    </w:p>
    <w:tbl>
      <w:tblPr>
        <w:tblStyle w:val="TableGrid"/>
        <w:tblW w:type="dxa" w:w="9684"/>
        <w:jc w:val="center"/>
        <w:tblLayout w:type="autofit"/>
        <w:tblLook w:firstColumn="1" w:firstRow="1" w:lastColumn="0" w:lastRow="0" w:noHBand="0" w:noVBand="1" w:val="04A0"/>
      </w:tblPr>
      <w:tblGrid>
        <w:gridCol w:w="4842"/>
        <w:gridCol w:w="4842"/>
      </w:tblGrid>
      <w:tr>
        <w:trPr>
          <w:tblHeader w:val="true"/>
          <w:tblHeader w:val="true"/>
        </w:trPr>
        <w:tc>
          <w:tcPr>
            <w:tcW w:type="dxa" w:w="2198"/>
            <w:shd w:fill="2F5B86"/>
            <w:tcMar>
              <w:top w:w="70" w:type="dxa"/>
              <w:start w:w="90" w:type="dxa"/>
              <w:bottom w:w="70" w:type="dxa"/>
              <w:end w:w="90" w:type="dxa"/>
              <w:left w:w="80" w:type="dxa"/>
              <w:right w:w="80" w:type="dxa"/>
            </w:tcMar>
            <w:vAlign w:val="center"/>
          </w:tcPr>
          <w:p>
            <w:pPr>
              <w:jc w:val="center"/>
            </w:pPr>
            <w:r>
              <w:rPr>
                <w:rFonts w:ascii="Noto Sans" w:hAnsi="Noto Sans"/>
                <w:b/>
                <w:color w:val="FFFFFF"/>
                <w:sz w:val="16"/>
              </w:rPr>
              <w:t>Capability</w:t>
            </w:r>
          </w:p>
        </w:tc>
        <w:tc>
          <w:tcPr>
            <w:tcW w:type="dxa" w:w="7730"/>
            <w:shd w:fill="2F5B86"/>
            <w:tcMar>
              <w:top w:w="70" w:type="dxa"/>
              <w:start w:w="90" w:type="dxa"/>
              <w:bottom w:w="70" w:type="dxa"/>
              <w:end w:w="90" w:type="dxa"/>
              <w:left w:w="80" w:type="dxa"/>
              <w:right w:w="80" w:type="dxa"/>
            </w:tcMar>
            <w:vAlign w:val="center"/>
          </w:tcPr>
          <w:p>
            <w:pPr>
              <w:jc w:val="center"/>
            </w:pPr>
            <w:r>
              <w:rPr>
                <w:rFonts w:ascii="Noto Sans" w:hAnsi="Noto Sans"/>
                <w:b/>
                <w:color w:val="FFFFFF"/>
                <w:sz w:val="16"/>
              </w:rPr>
              <w:t>Jordan V1 Technical Design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Locale/time</w:t>
            </w:r>
          </w:p>
        </w:tc>
        <w:tc>
          <w:tcPr>
            <w:tcW w:type="dxa" w:w="773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Arabic + English; Asia/Amman timezone; locale-aware week/date/phone/address formatting; approved mixed-direction numeric rules.</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Currency</w:t>
            </w:r>
          </w:p>
        </w:tc>
        <w:tc>
          <w:tcPr>
            <w:tcW w:type="dxa" w:w="773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JOD with 3-decimal minor units (fils). Price/tax/ledger/payment calculations remain currency-generic.</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Tax/e-invoicing</w:t>
            </w:r>
          </w:p>
        </w:tc>
        <w:tc>
          <w:tcPr>
            <w:tcW w:type="dxa" w:w="773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Jordan TaxInvoiceProvider adapter for official e-invoicing/JoFotara integration. Invoice finalization creates submission workflow, provider reference/QR/status, retry and reconciliation. Exact schemas/endpoints require current official implementation validation.</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Payments</w:t>
            </w:r>
          </w:p>
        </w:tc>
        <w:tc>
          <w:tcPr>
            <w:tcW w:type="dxa" w:w="773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Local-acquirer/provider adapters; card/token flows; CliQ/bank transfer represented as canonical payment methods when supported by selected provider/banking integration. Never assume an unavailable public API.</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WhatsApp</w:t>
            </w:r>
          </w:p>
        </w:tc>
        <w:tc>
          <w:tcPr>
            <w:tcW w:type="dxa" w:w="773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WhatsApp provider/BSP adapter with approved templates, delivery callbacks, consent/purpose and tenant sender identity.</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Contracts/receipts</w:t>
            </w:r>
          </w:p>
        </w:tc>
        <w:tc>
          <w:tcPr>
            <w:tcW w:type="dxa" w:w="773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Regional document templates, tax identifiers, Arabic/English rendering, immutable issued version and object-storage evidence.</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Access hardware</w:t>
            </w:r>
          </w:p>
        </w:tc>
        <w:tc>
          <w:tcPr>
            <w:tcW w:type="dxa" w:w="773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Prioritized ZKTeco/Suprema/RFID/QR integrations through Edge Adapter capability contracts; no core-domain vendor dependency.</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Phone identity</w:t>
            </w:r>
          </w:p>
        </w:tc>
        <w:tc>
          <w:tcPr>
            <w:tcW w:type="dxa" w:w="773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Normalize to E.164 (+962) while retaining raw/display form and verified state.</w:t>
            </w:r>
          </w:p>
        </w:tc>
      </w:tr>
      <w:tr>
        <w:tc>
          <w:tcPr>
            <w:tcW w:type="dxa" w:w="219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Policy packs</w:t>
            </w:r>
          </w:p>
        </w:tc>
        <w:tc>
          <w:tcPr>
            <w:tcW w:type="dxa" w:w="773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Jordan-specific consent, biometric, tax, labor/payroll, clinical/nutrition and retention rules are versioned configuration with accountable legal/finance/clinical review.</w:t>
            </w:r>
          </w:p>
        </w:tc>
      </w:tr>
    </w:tbl>
    <w:p>
      <w:pPr>
        <w:spacing w:after="40"/>
      </w:pPr>
    </w:p>
    <w:p>
      <w:pPr>
        <w:pStyle w:val="Heading2"/>
        <w:keepNext/>
      </w:pPr>
      <w:r>
        <w:t>26.1 JoFotara/E-invoice Failure Handling</w:t>
      </w:r>
    </w:p>
    <w:p>
      <w:pPr>
        <w:pStyle w:val="Heading3"/>
      </w:pPr>
      <w:r>
        <w:t>Current regulatory baseline</w:t>
      </w:r>
    </w:p>
    <w:p>
      <w:pPr>
        <w:pStyle w:val="Bullet1"/>
      </w:pPr>
      <w:r>
        <w:t>Jordan invoicing regulation requires an invoice serial number and recognizes electronic invoices generated by the National E-Invoicing System or an integrated system. Veyro therefore treats fiscal serial/provider acknowledgement as a server-authoritative legal artifact and never labels a local queue ticket as a tax invoice.</w:t>
      </w:r>
    </w:p>
    <w:p>
      <w:pPr>
        <w:pStyle w:val="Bullet1"/>
      </w:pPr>
      <w:r>
        <w:t>The ISTD publishes current joining, invoice-organization and technical linking manuals for the National Electronic Invoicing System. Integration certification tests are versioned against the exact manual/API revision used at launch; provider changes are treated as a regional-pack contract change.</w:t>
      </w:r>
    </w:p>
    <w:p>
      <w:pPr>
        <w:pStyle w:val="Heading2"/>
      </w:pPr>
      <w:r>
        <w:t>26.2 Jordan Privacy and Data Protection</w:t>
      </w:r>
    </w:p>
    <w:p>
      <w:pPr>
        <w:pStyle w:val="Bullet1"/>
      </w:pPr>
      <w:r>
        <w:t>Personal Data Protection Law No. (24) of 2023 is the Foundation baseline. Sensitive data classification explicitly includes financial, health, genetic and biometric data; Veyro’s Restricted class maps to these categories and triggers stronger access, retention, DPIA and provider review.</w:t>
      </w:r>
    </w:p>
    <w:p>
      <w:pPr>
        <w:pStyle w:val="Bullet1"/>
      </w:pPr>
      <w:r>
        <w:t>Tenant onboarding captures controller identity, DPO/privacy contact where applicable, processing purposes, subprocessors, cross-border region disclosure and consent/policy versions. Data-subject rights are routed through SEC-01 regardless of commercial plan.</w:t>
      </w:r>
    </w:p>
    <w:p>
      <w:pPr>
        <w:pStyle w:val="Heading2"/>
      </w:pPr>
      <w:r>
        <w:t>26.3 Jordan Payment Rails and Cash Operations</w:t>
      </w:r>
    </w:p>
    <w:p>
      <w:pPr>
        <w:pStyle w:val="Bullet1"/>
      </w:pPr>
      <w:r>
        <w:t>Cash is a first-class tender with register/shift opening, paid-in/out, expected-vs-actual close, variance approval and immutable ledger postings.</w:t>
      </w:r>
    </w:p>
    <w:p>
      <w:pPr>
        <w:pStyle w:val="Bullet1"/>
      </w:pPr>
      <w:r>
        <w:t>CliQ is modeled through an InstantTransferProvider capability rather than direct assumptions about JoPACC participant access. The adapter may create/reference a transfer instruction when a banking/payment partner supports it and must reconcile bank/provider confirmations before Veyro marks payment final.</w:t>
      </w:r>
    </w:p>
    <w:p>
      <w:pPr>
        <w:pStyle w:val="Bullet1"/>
      </w:pPr>
      <w:r>
        <w:t>eFAWATEERcom is an optional Jordan BillPresentmentPaymentProvider capability for tenants/use cases where commercial/provider access is available. Billing domain remains provider-neutral and reconciles external payment references idempotently.</w:t>
      </w:r>
    </w:p>
    <w:p>
      <w:pPr>
        <w:pStyle w:val="Bullet1"/>
      </w:pPr>
      <w:r>
        <w:t>Card/acquirer integrations remain PaymentProvider adapters; Veyro never stores PAN/CVV and prefers hosted/tokenized PCI scope reduction.</w:t>
      </w:r>
    </w:p>
    <w:p>
      <w:pPr>
        <w:pStyle w:val="Heading2"/>
      </w:pPr>
      <w:r>
        <w:t>26.4 Jordan Communications and Employment Extensions</w:t>
      </w:r>
    </w:p>
    <w:p>
      <w:pPr>
        <w:pStyle w:val="Bullet1"/>
      </w:pPr>
      <w:r>
        <w:t>WhatsApp integration models provider policy dynamically: opt-in/consent, conversation/service-window state, template category/approval, language and current provider error codes are adapter metadata, not hard-coded assumptions. A policy change must not require domain-code changes.</w:t>
      </w:r>
    </w:p>
    <w:p>
      <w:pPr>
        <w:pStyle w:val="Bullet1"/>
      </w:pPr>
      <w:r>
        <w:t>Jordan Social Security / payroll statutory deductions are an OPS-05 regional payroll extension. Payroll calculations are versioned policy data reviewed by local payroll/legal specialists; V1 may export verified attendance/commission inputs without claiming a statutory payroll engine until certified.</w:t>
      </w:r>
    </w:p>
    <w:p>
      <w:pPr>
        <w:pStyle w:val="Bullet1"/>
        <w:spacing w:after="80" w:line="252" w:lineRule="auto"/>
      </w:pPr>
      <w:r>
        <w:rPr>
          <w:rFonts w:ascii="Noto Sans" w:hAnsi="Noto Sans"/>
        </w:rPr>
        <w:t>Veyro invoice is finalized in its own domain according to approved local policy; fiscal submission state is tracked separately.</w:t>
      </w:r>
    </w:p>
    <w:p>
      <w:pPr>
        <w:pStyle w:val="Bullet1"/>
        <w:spacing w:after="80" w:line="252" w:lineRule="auto"/>
      </w:pPr>
      <w:r>
        <w:rPr>
          <w:rFonts w:ascii="Noto Sans" w:hAnsi="Noto Sans"/>
        </w:rPr>
        <w:t>Submission uses idempotent fiscal document reference. Timeouts lead to “submission pending/unknown”, not duplicate submission.</w:t>
      </w:r>
    </w:p>
    <w:p>
      <w:pPr>
        <w:pStyle w:val="Bullet1"/>
        <w:spacing w:after="80" w:line="252" w:lineRule="auto"/>
      </w:pPr>
      <w:r>
        <w:rPr>
          <w:rFonts w:ascii="Noto Sans" w:hAnsi="Noto Sans"/>
        </w:rPr>
        <w:t>Provider response/QR/reference is stored with immutable invoice version and included in issued receipt/invoice presentation when required.</w:t>
      </w:r>
    </w:p>
    <w:p>
      <w:pPr>
        <w:pStyle w:val="Bullet1"/>
        <w:spacing w:after="80" w:line="252" w:lineRule="auto"/>
      </w:pPr>
      <w:r>
        <w:rPr>
          <w:rFonts w:ascii="Noto Sans" w:hAnsi="Noto Sans"/>
        </w:rPr>
        <w:t>Failed/pending submissions surface operational cases and retry. Reconciliation compares Veyro fiscal documents against provider acknowledgements.</w:t>
      </w:r>
    </w:p>
    <w:p>
      <w:pPr>
        <w:pStyle w:val="Bullet1"/>
        <w:spacing w:after="80" w:line="252" w:lineRule="auto"/>
      </w:pPr>
      <w:r>
        <w:rPr>
          <w:rFonts w:ascii="Noto Sans" w:hAnsi="Noto Sans"/>
        </w:rPr>
        <w:t>Credit/refund flows use legally correct credit/cancellation document semantics rather than editing a previously issued invoice.</w:t>
      </w:r>
    </w:p>
    <w:p>
      <w:pPr>
        <w:pStyle w:val="Heading1"/>
        <w:keepNext/>
      </w:pPr>
      <w:r>
        <w:t>27. Testing &amp; Quality Engineering Strategy</w:t>
      </w:r>
    </w:p>
    <w:p>
      <w:pPr>
        <w:pStyle w:val="Heading2"/>
        <w:keepNext/>
      </w:pPr>
      <w:r>
        <w:t>27.1 Test Pyramid and Contract Coverage</w:t>
      </w:r>
    </w:p>
    <w:tbl>
      <w:tblPr>
        <w:tblStyle w:val="TableGrid"/>
        <w:tblW w:type="dxa" w:w="9684"/>
        <w:jc w:val="center"/>
        <w:tblLayout w:type="autofit"/>
        <w:tblLook w:firstColumn="1" w:firstRow="1" w:lastColumn="0" w:lastRow="0" w:noHBand="0" w:noVBand="1" w:val="04A0"/>
      </w:tblPr>
      <w:tblGrid>
        <w:gridCol w:w="3228"/>
        <w:gridCol w:w="3228"/>
        <w:gridCol w:w="3228"/>
      </w:tblGrid>
      <w:tr>
        <w:trPr>
          <w:tblHeader w:val="true"/>
          <w:tblHeader w:val="true"/>
          <w:tblHeader w:val="true"/>
        </w:trPr>
        <w:tc>
          <w:tcPr>
            <w:tcW w:type="dxa" w:w="1844"/>
            <w:shd w:fill="2F5B86"/>
            <w:tcMar>
              <w:top w:w="70" w:type="dxa"/>
              <w:start w:w="90" w:type="dxa"/>
              <w:bottom w:w="70" w:type="dxa"/>
              <w:end w:w="90" w:type="dxa"/>
              <w:left w:w="80" w:type="dxa"/>
              <w:right w:w="80" w:type="dxa"/>
            </w:tcMar>
            <w:vAlign w:val="center"/>
          </w:tcPr>
          <w:p>
            <w:pPr>
              <w:jc w:val="center"/>
            </w:pPr>
            <w:r>
              <w:rPr>
                <w:rFonts w:ascii="Noto Sans" w:hAnsi="Noto Sans"/>
                <w:b/>
                <w:color w:val="FFFFFF"/>
                <w:sz w:val="16"/>
              </w:rPr>
              <w:t>Test Layer</w:t>
            </w:r>
          </w:p>
        </w:tc>
        <w:tc>
          <w:tcPr>
            <w:tcW w:type="dxa" w:w="5816"/>
            <w:shd w:fill="2F5B86"/>
            <w:tcMar>
              <w:top w:w="70" w:type="dxa"/>
              <w:start w:w="90" w:type="dxa"/>
              <w:bottom w:w="70" w:type="dxa"/>
              <w:end w:w="90" w:type="dxa"/>
              <w:left w:w="80" w:type="dxa"/>
              <w:right w:w="80" w:type="dxa"/>
            </w:tcMar>
            <w:vAlign w:val="center"/>
          </w:tcPr>
          <w:p>
            <w:pPr>
              <w:jc w:val="center"/>
            </w:pPr>
            <w:r>
              <w:rPr>
                <w:rFonts w:ascii="Noto Sans" w:hAnsi="Noto Sans"/>
                <w:b/>
                <w:color w:val="FFFFFF"/>
                <w:sz w:val="16"/>
              </w:rPr>
              <w:t>Coverage</w:t>
            </w:r>
          </w:p>
        </w:tc>
        <w:tc>
          <w:tcPr>
            <w:tcW w:type="dxa" w:w="2270"/>
            <w:shd w:fill="2F5B86"/>
            <w:tcMar>
              <w:top w:w="70" w:type="dxa"/>
              <w:start w:w="90" w:type="dxa"/>
              <w:bottom w:w="70" w:type="dxa"/>
              <w:end w:w="90" w:type="dxa"/>
              <w:left w:w="80" w:type="dxa"/>
              <w:right w:w="80" w:type="dxa"/>
            </w:tcMar>
            <w:vAlign w:val="center"/>
          </w:tcPr>
          <w:p>
            <w:pPr>
              <w:jc w:val="center"/>
            </w:pPr>
            <w:r>
              <w:rPr>
                <w:rFonts w:ascii="Noto Sans" w:hAnsi="Noto Sans"/>
                <w:b/>
                <w:color w:val="FFFFFF"/>
                <w:sz w:val="16"/>
              </w:rPr>
              <w:t>Gate</w:t>
            </w:r>
          </w:p>
        </w:tc>
      </w:tr>
      <w:tr>
        <w:tc>
          <w:tcPr>
            <w:tcW w:type="dxa" w:w="1844"/>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Unit/domain</w:t>
            </w:r>
          </w:p>
        </w:tc>
        <w:tc>
          <w:tcPr>
            <w:tcW w:type="dxa" w:w="581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Aggregate invariants, money/tax rounding, policy decisions, state machines, value objects</w:t>
            </w:r>
          </w:p>
        </w:tc>
        <w:tc>
          <w:tcPr>
            <w:tcW w:type="dxa" w:w="227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Every domain change</w:t>
            </w:r>
          </w:p>
        </w:tc>
      </w:tr>
      <w:tr>
        <w:tc>
          <w:tcPr>
            <w:tcW w:type="dxa" w:w="1844"/>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Repository/RLS</w:t>
            </w:r>
          </w:p>
        </w:tc>
        <w:tc>
          <w:tcPr>
            <w:tcW w:type="dxa" w:w="581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Tenant filters, RLS, optimistic concurrency, migrations</w:t>
            </w:r>
          </w:p>
        </w:tc>
        <w:tc>
          <w:tcPr>
            <w:tcW w:type="dxa" w:w="227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Every tenant-owned repository</w:t>
            </w:r>
          </w:p>
        </w:tc>
      </w:tr>
      <w:tr>
        <w:tc>
          <w:tcPr>
            <w:tcW w:type="dxa" w:w="1844"/>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Contract</w:t>
            </w:r>
          </w:p>
        </w:tc>
        <w:tc>
          <w:tcPr>
            <w:tcW w:type="dxa" w:w="581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OpenAPI request/response, event schemas, provider adapter contract</w:t>
            </w:r>
          </w:p>
        </w:tc>
        <w:tc>
          <w:tcPr>
            <w:tcW w:type="dxa" w:w="227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CI blocking</w:t>
            </w:r>
          </w:p>
        </w:tc>
      </w:tr>
      <w:tr>
        <w:tc>
          <w:tcPr>
            <w:tcW w:type="dxa" w:w="1844"/>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Integration</w:t>
            </w:r>
          </w:p>
        </w:tc>
        <w:tc>
          <w:tcPr>
            <w:tcW w:type="dxa" w:w="581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PostgreSQL + outbox + broker + workflow + provider sandbox</w:t>
            </w:r>
          </w:p>
        </w:tc>
        <w:tc>
          <w:tcPr>
            <w:tcW w:type="dxa" w:w="227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Critical flows</w:t>
            </w:r>
          </w:p>
        </w:tc>
      </w:tr>
      <w:tr>
        <w:tc>
          <w:tcPr>
            <w:tcW w:type="dxa" w:w="1844"/>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E2E</w:t>
            </w:r>
          </w:p>
        </w:tc>
        <w:tc>
          <w:tcPr>
            <w:tcW w:type="dxa" w:w="581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Lead-to-member, membership sale, payment/dunning, booking, access, POS, coaching, member self-service</w:t>
            </w:r>
          </w:p>
        </w:tc>
        <w:tc>
          <w:tcPr>
            <w:tcW w:type="dxa" w:w="227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Release gate</w:t>
            </w:r>
          </w:p>
        </w:tc>
      </w:tr>
      <w:tr>
        <w:tc>
          <w:tcPr>
            <w:tcW w:type="dxa" w:w="1844"/>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Security</w:t>
            </w:r>
          </w:p>
        </w:tc>
        <w:tc>
          <w:tcPr>
            <w:tcW w:type="dxa" w:w="581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AuthZ matrices, tenant isolation fuzz, IDOR, webhook replay, rate limits, secret leakage</w:t>
            </w:r>
          </w:p>
        </w:tc>
        <w:tc>
          <w:tcPr>
            <w:tcW w:type="dxa" w:w="227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Release/security gate</w:t>
            </w:r>
          </w:p>
        </w:tc>
      </w:tr>
      <w:tr>
        <w:tc>
          <w:tcPr>
            <w:tcW w:type="dxa" w:w="1844"/>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Financial</w:t>
            </w:r>
          </w:p>
        </w:tc>
        <w:tc>
          <w:tcPr>
            <w:tcW w:type="dxa" w:w="581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Double-entry balance, idempotent payment/refund, settlement reconciliation, offline POS</w:t>
            </w:r>
          </w:p>
        </w:tc>
        <w:tc>
          <w:tcPr>
            <w:tcW w:type="dxa" w:w="227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Release gate</w:t>
            </w:r>
          </w:p>
        </w:tc>
      </w:tr>
      <w:tr>
        <w:tc>
          <w:tcPr>
            <w:tcW w:type="dxa" w:w="1844"/>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Offline/edge</w:t>
            </w:r>
          </w:p>
        </w:tc>
        <w:tc>
          <w:tcPr>
            <w:tcW w:type="dxa" w:w="581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Snapshot expiry, clock skew, reconnect, duplicate events, device offline, conflict</w:t>
            </w:r>
          </w:p>
        </w:tc>
        <w:tc>
          <w:tcPr>
            <w:tcW w:type="dxa" w:w="227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Access/POS gate</w:t>
            </w:r>
          </w:p>
        </w:tc>
      </w:tr>
      <w:tr>
        <w:tc>
          <w:tcPr>
            <w:tcW w:type="dxa" w:w="1844"/>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Performance</w:t>
            </w:r>
          </w:p>
        </w:tc>
        <w:tc>
          <w:tcPr>
            <w:tcW w:type="dxa" w:w="581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API/search/access SLO load tests, queue backlog, DB hot paths</w:t>
            </w:r>
          </w:p>
        </w:tc>
        <w:tc>
          <w:tcPr>
            <w:tcW w:type="dxa" w:w="227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Capacity gate</w:t>
            </w:r>
          </w:p>
        </w:tc>
      </w:tr>
      <w:tr>
        <w:tc>
          <w:tcPr>
            <w:tcW w:type="dxa" w:w="1844"/>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Localization/a11y</w:t>
            </w:r>
          </w:p>
        </w:tc>
        <w:tc>
          <w:tcPr>
            <w:tcW w:type="dxa" w:w="581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Arabic/RTL, bidi, screen reader, keyboard, zoom/dynamic type</w:t>
            </w:r>
          </w:p>
        </w:tc>
        <w:tc>
          <w:tcPr>
            <w:tcW w:type="dxa" w:w="227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Critical UX gate</w:t>
            </w:r>
          </w:p>
        </w:tc>
      </w:tr>
      <w:tr>
        <w:tc>
          <w:tcPr>
            <w:tcW w:type="dxa" w:w="1844"/>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AI evaluation</w:t>
            </w:r>
          </w:p>
        </w:tc>
        <w:tc>
          <w:tcPr>
            <w:tcW w:type="dxa" w:w="581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Groundedness, safety, tool authorization, prompt injection, latency/cost/task success</w:t>
            </w:r>
          </w:p>
        </w:tc>
        <w:tc>
          <w:tcPr>
            <w:tcW w:type="dxa" w:w="227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Per AI use-case gate</w:t>
            </w:r>
          </w:p>
        </w:tc>
      </w:tr>
      <w:tr>
        <w:tc>
          <w:tcPr>
            <w:tcW w:type="dxa" w:w="1844"/>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Migration/DR</w:t>
            </w:r>
          </w:p>
        </w:tc>
        <w:tc>
          <w:tcPr>
            <w:tcW w:type="dxa" w:w="581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Dry run/reconciliation/rollback; backup restore and regional recovery drills</w:t>
            </w:r>
          </w:p>
        </w:tc>
        <w:tc>
          <w:tcPr>
            <w:tcW w:type="dxa" w:w="227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Operational readiness</w:t>
            </w:r>
          </w:p>
        </w:tc>
      </w:tr>
      <w:tr>
        <w:tc>
          <w:tcPr>
            <w:tcW w:type="dxa" w:w="3228"/>
            <w:vAlign w:val="center"/>
          </w:tcPr>
          <w:p>
            <w:pPr>
              <w:spacing w:before="0" w:after="0" w:line="240" w:lineRule="auto"/>
            </w:pPr>
            <w:r/>
            <w:r>
              <w:rPr>
                <w:b w:val="0"/>
                <w:sz w:val="16"/>
              </w:rPr>
              <w:t>Event ordering</w:t>
            </w:r>
          </w:p>
        </w:tc>
        <w:tc>
          <w:tcPr>
            <w:tcW w:type="dxa" w:w="3228"/>
            <w:vAlign w:val="center"/>
          </w:tcPr>
          <w:p>
            <w:pPr>
              <w:spacing w:before="0" w:after="0" w:line="240" w:lineRule="auto"/>
            </w:pPr>
            <w:r/>
            <w:r>
              <w:rPr>
                <w:b w:val="0"/>
                <w:sz w:val="16"/>
              </w:rPr>
              <w:t>Shuffled, duplicate and delayed delivery convergence per stateful projection; aggregate_version gap repair and stale-projection authorization protection per §12.3.</w:t>
            </w:r>
          </w:p>
        </w:tc>
        <w:tc>
          <w:tcPr>
            <w:tcW w:type="dxa" w:w="3228"/>
            <w:vAlign w:val="center"/>
          </w:tcPr>
          <w:p>
            <w:pPr>
              <w:spacing w:before="0" w:after="0" w:line="240" w:lineRule="auto"/>
            </w:pPr>
            <w:r/>
            <w:r>
              <w:rPr>
                <w:b w:val="0"/>
                <w:sz w:val="16"/>
              </w:rPr>
              <w:t>CI blocking</w:t>
            </w:r>
          </w:p>
        </w:tc>
      </w:tr>
    </w:tbl>
    <w:p>
      <w:pPr>
        <w:spacing w:after="40"/>
      </w:pPr>
    </w:p>
    <w:p>
      <w:pPr>
        <w:pStyle w:val="Heading2"/>
        <w:keepNext/>
      </w:pPr>
      <w:r>
        <w:t>27.2 Property/Invariant Tests</w:t>
      </w:r>
    </w:p>
    <w:p>
      <w:pPr>
        <w:pStyle w:val="Bullet1"/>
        <w:spacing w:after="80" w:line="252" w:lineRule="auto"/>
      </w:pPr>
      <w:r>
        <w:rPr>
          <w:rFonts w:ascii="Noto Sans" w:hAnsi="Noto Sans"/>
        </w:rPr>
        <w:t>Tenant A can never observe or mutate Tenant B resources across API, search, cache, job, event and AI paths.</w:t>
      </w:r>
    </w:p>
    <w:p>
      <w:pPr>
        <w:pStyle w:val="Bullet1"/>
        <w:spacing w:after="80" w:line="252" w:lineRule="auto"/>
      </w:pPr>
      <w:r>
        <w:rPr>
          <w:rFonts w:ascii="Noto Sans" w:hAnsi="Noto Sans"/>
        </w:rPr>
        <w:t>Ledger entries always balance per currency; repeating same idempotent command cannot change economic result.</w:t>
      </w:r>
    </w:p>
    <w:p>
      <w:pPr>
        <w:pStyle w:val="Bullet1"/>
        <w:spacing w:after="80" w:line="252" w:lineRule="auto"/>
      </w:pPr>
      <w:r>
        <w:rPr>
          <w:rFonts w:ascii="Noto Sans" w:hAnsi="Noto Sans"/>
        </w:rPr>
        <w:t>Booking capacity never falls below zero and duplicate waitlist promotion cannot consume multiple seats.</w:t>
      </w:r>
    </w:p>
    <w:p>
      <w:pPr>
        <w:pStyle w:val="Bullet1"/>
        <w:spacing w:after="80" w:line="252" w:lineRule="auto"/>
      </w:pPr>
      <w:r>
        <w:rPr>
          <w:rFonts w:ascii="Noto Sans" w:hAnsi="Noto Sans"/>
        </w:rPr>
        <w:t>Access offline decision cannot outlive signed snapshot/credential validity and cannot silently bypass a revoked credential after reconciliation.</w:t>
      </w:r>
    </w:p>
    <w:p>
      <w:pPr>
        <w:pStyle w:val="Bullet1"/>
        <w:spacing w:after="80" w:line="252" w:lineRule="auto"/>
      </w:pPr>
      <w:r>
        <w:rPr>
          <w:rFonts w:ascii="Noto Sans" w:hAnsi="Noto Sans"/>
        </w:rPr>
        <w:t>Membership historical terms are not mutated by later price/policy changes.</w:t>
      </w:r>
    </w:p>
    <w:p>
      <w:pPr>
        <w:pStyle w:val="Bullet1"/>
        <w:spacing w:after="80" w:line="252" w:lineRule="auto"/>
      </w:pPr>
      <w:r>
        <w:rPr>
          <w:rFonts w:ascii="Noto Sans" w:hAnsi="Noto Sans"/>
        </w:rPr>
        <w:t>Every consequence-bearing command emits either the expected event(s) or a recorded failure; no committed state with missing outbox event.</w:t>
      </w:r>
    </w:p>
    <w:p>
      <w:pPr>
        <w:pStyle w:val="Heading2"/>
      </w:pPr>
      <w:r>
        <w:t>27.3 Test Data and Production-like Qualification</w:t>
      </w:r>
    </w:p>
    <w:p>
      <w:pPr>
        <w:pStyle w:val="Bullet1"/>
      </w:pPr>
      <w:r>
        <w:t>Automated tests use deterministic synthetic tenant factories that generate Jordan/Arabic/English names, memberships, ledger histories, access credentials, nutrition constraints and large datasets without copying production PII.</w:t>
      </w:r>
    </w:p>
    <w:p>
      <w:pPr>
        <w:pStyle w:val="Bullet1"/>
      </w:pPr>
      <w:r>
        <w:t>Any production-derived diagnostic dataset requires approved de-identification, purpose, expiry and access logging; direct production database snapshots are prohibited in developer/test environments.</w:t>
      </w:r>
    </w:p>
    <w:p>
      <w:pPr>
        <w:pStyle w:val="Bullet1"/>
      </w:pPr>
      <w:r>
        <w:t>Quarterly restore tests cover PostgreSQL promotion/PITR reconciliation, S3 object restore, queue republish from outbox/archive, workflow restart from domain checkpoints, mobile/edge snapshot expiry and tenant relocation. Results record measured RPO/RTO and data/control totals.</w:t>
      </w:r>
    </w:p>
    <w:p>
      <w:pPr>
        <w:pStyle w:val="Bullet1"/>
      </w:pPr>
      <w:r>
        <w:t>KMP commonTest is mandatory for shared use cases, ViewModels/state reducers, network contract mapping, local persistence/sync and localization/bidi primitives.</w:t>
      </w:r>
    </w:p>
    <w:p>
      <w:pPr>
        <w:pStyle w:val="Bullet1"/>
      </w:pPr>
      <w:r>
        <w:t>Critical Coach/Member journeys run as platform E2E on both Android and iOS; shared UI coverage does not replace TalkBack/VoiceOver, store SDK, background execution, camera/NFC, biometrics or payment integration tests on real platform runtimes.</w:t>
      </w:r>
    </w:p>
    <w:p>
      <w:pPr>
        <w:pStyle w:val="Bullet1"/>
      </w:pPr>
      <w:r>
        <w:t>Cross-platform parity tests compare domain-visible outcomes and analytics/command contracts rather than screenshot identity; platform-native adaptations are allowed when behavior and Design System semantics remain equivalent.</w:t>
      </w:r>
    </w:p>
    <w:p>
      <w:pPr>
        <w:pStyle w:val="Heading1"/>
        <w:keepNext/>
      </w:pPr>
      <w:r>
        <w:t>28. Operational Runbooks &amp; Incident Management</w:t>
      </w:r>
    </w:p>
    <w:p>
      <w:pPr>
        <w:pStyle w:val="Heading2"/>
        <w:keepNext/>
      </w:pPr>
      <w:r>
        <w:t>28.1 Mandatory Runbooks</w:t>
      </w:r>
    </w:p>
    <w:p>
      <w:pPr>
        <w:pStyle w:val="Bullet1"/>
        <w:spacing w:after="80" w:line="252" w:lineRule="auto"/>
      </w:pPr>
      <w:r>
        <w:rPr>
          <w:rFonts w:ascii="Noto Sans" w:hAnsi="Noto Sans"/>
        </w:rPr>
        <w:t>Cross-tenant isolation suspicion / data exposure</w:t>
      </w:r>
    </w:p>
    <w:p>
      <w:pPr>
        <w:pStyle w:val="Bullet1"/>
        <w:spacing w:after="80" w:line="252" w:lineRule="auto"/>
      </w:pPr>
      <w:r>
        <w:rPr>
          <w:rFonts w:ascii="Noto Sans" w:hAnsi="Noto Sans"/>
        </w:rPr>
        <w:t>Payment provider outage or duplicate-charge suspicion</w:t>
      </w:r>
    </w:p>
    <w:p>
      <w:pPr>
        <w:pStyle w:val="Bullet1"/>
        <w:spacing w:after="80" w:line="252" w:lineRule="auto"/>
      </w:pPr>
      <w:r>
        <w:rPr>
          <w:rFonts w:ascii="Noto Sans" w:hAnsi="Noto Sans"/>
        </w:rPr>
        <w:t>JoFotara/e-invoice submission outage</w:t>
      </w:r>
    </w:p>
    <w:p>
      <w:pPr>
        <w:pStyle w:val="Bullet1"/>
        <w:spacing w:after="80" w:line="252" w:lineRule="auto"/>
      </w:pPr>
      <w:r>
        <w:rPr>
          <w:rFonts w:ascii="Noto Sans" w:hAnsi="Noto Sans"/>
        </w:rPr>
        <w:t>Access decision service outage / edge degraded mode</w:t>
      </w:r>
    </w:p>
    <w:p>
      <w:pPr>
        <w:pStyle w:val="Bullet1"/>
        <w:spacing w:after="80" w:line="252" w:lineRule="auto"/>
      </w:pPr>
      <w:r>
        <w:rPr>
          <w:rFonts w:ascii="Noto Sans" w:hAnsi="Noto Sans"/>
        </w:rPr>
        <w:t>Event bus lag/DLQ growth / projection staleness</w:t>
      </w:r>
    </w:p>
    <w:p>
      <w:pPr>
        <w:pStyle w:val="Bullet1"/>
        <w:spacing w:after="80" w:line="252" w:lineRule="auto"/>
      </w:pPr>
      <w:r>
        <w:rPr>
          <w:rFonts w:ascii="Noto Sans" w:hAnsi="Noto Sans"/>
        </w:rPr>
        <w:t>PostgreSQL saturation/failover/restore</w:t>
      </w:r>
    </w:p>
    <w:p>
      <w:pPr>
        <w:pStyle w:val="Bullet1"/>
        <w:spacing w:after="80" w:line="252" w:lineRule="auto"/>
      </w:pPr>
      <w:r>
        <w:rPr>
          <w:rFonts w:ascii="Noto Sans" w:hAnsi="Noto Sans"/>
        </w:rPr>
        <w:t>Redis/cache outage</w:t>
      </w:r>
    </w:p>
    <w:p>
      <w:pPr>
        <w:pStyle w:val="Bullet1"/>
        <w:spacing w:after="80" w:line="252" w:lineRule="auto"/>
      </w:pPr>
      <w:r>
        <w:rPr>
          <w:rFonts w:ascii="Noto Sans" w:hAnsi="Noto Sans"/>
        </w:rPr>
        <w:t>Search outage/stale indexing</w:t>
      </w:r>
    </w:p>
    <w:p>
      <w:pPr>
        <w:pStyle w:val="Bullet1"/>
        <w:spacing w:after="80" w:line="252" w:lineRule="auto"/>
      </w:pPr>
      <w:r>
        <w:rPr>
          <w:rFonts w:ascii="Noto Sans" w:hAnsi="Noto Sans"/>
        </w:rPr>
        <w:t>Notification/WhatsApp provider outage</w:t>
      </w:r>
    </w:p>
    <w:p>
      <w:pPr>
        <w:pStyle w:val="Bullet1"/>
        <w:spacing w:after="80" w:line="252" w:lineRule="auto"/>
      </w:pPr>
      <w:r>
        <w:rPr>
          <w:rFonts w:ascii="Noto Sans" w:hAnsi="Noto Sans"/>
        </w:rPr>
        <w:t>AI provider outage or unsafe-output incident</w:t>
      </w:r>
    </w:p>
    <w:p>
      <w:pPr>
        <w:pStyle w:val="Bullet1"/>
        <w:spacing w:after="80" w:line="252" w:lineRule="auto"/>
      </w:pPr>
      <w:r>
        <w:rPr>
          <w:rFonts w:ascii="Noto Sans" w:hAnsi="Noto Sans"/>
        </w:rPr>
        <w:t>Biometric/device fleet incident</w:t>
      </w:r>
    </w:p>
    <w:p>
      <w:pPr>
        <w:pStyle w:val="Bullet1"/>
        <w:spacing w:after="80" w:line="252" w:lineRule="auto"/>
      </w:pPr>
      <w:r>
        <w:rPr>
          <w:rFonts w:ascii="Noto Sans" w:hAnsi="Noto Sans"/>
        </w:rPr>
        <w:t>Migration/cutover rollback</w:t>
      </w:r>
    </w:p>
    <w:p>
      <w:pPr>
        <w:pStyle w:val="Bullet1"/>
        <w:spacing w:after="80" w:line="252" w:lineRule="auto"/>
      </w:pPr>
      <w:r>
        <w:rPr>
          <w:rFonts w:ascii="Noto Sans" w:hAnsi="Noto Sans"/>
        </w:rPr>
        <w:t>Bad deployment/schema migration rollback</w:t>
      </w:r>
    </w:p>
    <w:p>
      <w:pPr>
        <w:pStyle w:val="Bullet1"/>
        <w:spacing w:after="80" w:line="252" w:lineRule="auto"/>
      </w:pPr>
      <w:r>
        <w:rPr>
          <w:rFonts w:ascii="Noto Sans" w:hAnsi="Noto Sans"/>
        </w:rPr>
        <w:t>Object storage/media security incident</w:t>
      </w:r>
    </w:p>
    <w:p>
      <w:pPr>
        <w:pStyle w:val="Bullet1"/>
        <w:spacing w:after="80" w:line="252" w:lineRule="auto"/>
      </w:pPr>
      <w:r>
        <w:rPr>
          <w:rFonts w:ascii="Noto Sans" w:hAnsi="Noto Sans"/>
        </w:rPr>
        <w:t>Support impersonation/security abuse</w:t>
      </w:r>
    </w:p>
    <w:p>
      <w:pPr>
        <w:pStyle w:val="Bullet1"/>
        <w:spacing w:after="80" w:line="252" w:lineRule="auto"/>
      </w:pPr>
      <w:r>
        <w:rPr>
          <w:rFonts w:ascii="Noto Sans" w:hAnsi="Noto Sans"/>
        </w:rPr>
        <w:t>Regional cloud outage / DR failover</w:t>
      </w:r>
    </w:p>
    <w:p>
      <w:pPr>
        <w:pStyle w:val="Heading3"/>
      </w:pPr>
      <w:r>
        <w:t>28.1.1 Domain Runbook Registry</w:t>
      </w:r>
    </w:p>
    <w:tbl>
      <w:tblPr>
        <w:tblStyle w:val="TableGrid"/>
        <w:tblW w:type="dxa" w:w="9684"/>
        <w:tblLayout w:type="autofit"/>
        <w:tblLook w:firstColumn="1" w:firstRow="1" w:lastColumn="0" w:lastRow="0" w:noHBand="0" w:noVBand="1" w:val="04A0"/>
        <w:jc w:val="center"/>
      </w:tblPr>
      <w:tblGrid>
        <w:gridCol w:w="2421"/>
        <w:gridCol w:w="2421"/>
        <w:gridCol w:w="2421"/>
        <w:gridCol w:w="2421"/>
      </w:tblGrid>
      <w:tr>
        <w:trPr>
          <w:tblHeader w:val="true"/>
        </w:trPr>
        <w:tc>
          <w:tcPr>
            <w:tcW w:type="dxa" w:w="852"/>
            <w:vAlign w:val="center"/>
          </w:tcPr>
          <w:p>
            <w:pPr>
              <w:spacing w:before="0" w:after="30"/>
            </w:pPr>
            <w:r>
              <w:rPr>
                <w:b/>
                <w:sz w:val="14"/>
              </w:rPr>
              <w:t>Runbook ID</w:t>
            </w:r>
          </w:p>
        </w:tc>
        <w:tc>
          <w:tcPr>
            <w:tcW w:type="dxa" w:w="2019"/>
            <w:vAlign w:val="center"/>
          </w:tcPr>
          <w:p>
            <w:pPr>
              <w:spacing w:before="0" w:after="30"/>
            </w:pPr>
            <w:r>
              <w:rPr>
                <w:b/>
                <w:sz w:val="14"/>
              </w:rPr>
              <w:t>Domain</w:t>
            </w:r>
          </w:p>
        </w:tc>
        <w:tc>
          <w:tcPr>
            <w:tcW w:type="dxa" w:w="2109"/>
            <w:vAlign w:val="center"/>
          </w:tcPr>
          <w:p>
            <w:pPr>
              <w:spacing w:before="0" w:after="30"/>
            </w:pPr>
            <w:r>
              <w:rPr>
                <w:b/>
                <w:sz w:val="14"/>
              </w:rPr>
              <w:t>Primary incident playbook / routing</w:t>
            </w:r>
          </w:p>
        </w:tc>
        <w:tc>
          <w:tcPr>
            <w:tcW w:type="dxa" w:w="1795"/>
            <w:vAlign w:val="center"/>
          </w:tcPr>
          <w:p>
            <w:pPr>
              <w:spacing w:before="0" w:after="30"/>
            </w:pPr>
            <w:r>
              <w:rPr>
                <w:b/>
                <w:sz w:val="14"/>
              </w:rPr>
              <w:t>Minimum recovery evidence</w:t>
            </w:r>
          </w:p>
        </w:tc>
      </w:tr>
      <w:tr>
        <w:tc>
          <w:tcPr>
            <w:tcW w:type="dxa" w:w="852"/>
            <w:vAlign w:val="center"/>
          </w:tcPr>
          <w:p>
            <w:pPr>
              <w:spacing w:before="0" w:after="30"/>
            </w:pPr>
            <w:r>
              <w:rPr>
                <w:sz w:val="14"/>
              </w:rPr>
              <w:t>RB-PLT-01</w:t>
            </w:r>
          </w:p>
        </w:tc>
        <w:tc>
          <w:tcPr>
            <w:tcW w:type="dxa" w:w="2019"/>
            <w:vAlign w:val="center"/>
          </w:tcPr>
          <w:p>
            <w:pPr>
              <w:spacing w:before="0" w:after="30"/>
            </w:pPr>
            <w:r>
              <w:rPr>
                <w:sz w:val="14"/>
              </w:rPr>
              <w:t>PLT-01 - Tenant, Organization, Brand &amp; Location Management</w:t>
            </w:r>
          </w:p>
        </w:tc>
        <w:tc>
          <w:tcPr>
            <w:tcW w:type="dxa" w:w="2109"/>
            <w:vAlign w:val="center"/>
          </w:tcPr>
          <w:p>
            <w:pPr>
              <w:spacing w:before="0" w:after="30"/>
            </w:pPr>
            <w:r>
              <w:rPr>
                <w:sz w:val="14"/>
              </w:rPr>
              <w:t>Cross-tenant isolation suspicion / data exposure; PostgreSQL recovery as needed</w:t>
            </w:r>
          </w:p>
        </w:tc>
        <w:tc>
          <w:tcPr>
            <w:tcW w:type="dxa" w:w="1795"/>
            <w:vAlign w:val="center"/>
          </w:tcPr>
          <w:p>
            <w:pPr>
              <w:spacing w:before="0" w:after="30"/>
            </w:pPr>
            <w:r>
              <w:rPr>
                <w:sz w:val="14"/>
              </w:rPr>
              <w:t>Affected tenant/scope; command/aggregate version; authoritative rows; outbox/inbox/DLQ/provider state where applicable; reconciliation result; repair/correction reference; owner and follow-up action.</w:t>
            </w:r>
          </w:p>
        </w:tc>
      </w:tr>
      <w:tr>
        <w:tc>
          <w:tcPr>
            <w:tcW w:type="dxa" w:w="852"/>
            <w:vAlign w:val="center"/>
          </w:tcPr>
          <w:p>
            <w:pPr>
              <w:spacing w:before="0" w:after="30"/>
            </w:pPr>
            <w:r>
              <w:rPr>
                <w:sz w:val="14"/>
              </w:rPr>
              <w:t>RB-PLT-02</w:t>
            </w:r>
          </w:p>
        </w:tc>
        <w:tc>
          <w:tcPr>
            <w:tcW w:type="dxa" w:w="2019"/>
            <w:vAlign w:val="center"/>
          </w:tcPr>
          <w:p>
            <w:pPr>
              <w:spacing w:before="0" w:after="30"/>
            </w:pPr>
            <w:r>
              <w:rPr>
                <w:sz w:val="14"/>
              </w:rPr>
              <w:t>PLT-02 - Configuration, Feature Flags &amp; Experimentation</w:t>
            </w:r>
          </w:p>
        </w:tc>
        <w:tc>
          <w:tcPr>
            <w:tcW w:type="dxa" w:w="2109"/>
            <w:vAlign w:val="center"/>
          </w:tcPr>
          <w:p>
            <w:pPr>
              <w:spacing w:before="0" w:after="30"/>
            </w:pPr>
            <w:r>
              <w:rPr>
                <w:sz w:val="14"/>
              </w:rPr>
              <w:t>Bad deployment/schema/config release rollback</w:t>
            </w:r>
          </w:p>
        </w:tc>
        <w:tc>
          <w:tcPr>
            <w:tcW w:type="dxa" w:w="1795"/>
            <w:vAlign w:val="center"/>
          </w:tcPr>
          <w:p>
            <w:pPr>
              <w:spacing w:before="0" w:after="30"/>
            </w:pPr>
            <w:r>
              <w:rPr>
                <w:sz w:val="14"/>
              </w:rPr>
              <w:t>Affected tenant/scope; command/aggregate version; authoritative rows; outbox/inbox/DLQ/provider state where applicable; reconciliation result; repair/correction reference; owner and follow-up action.</w:t>
            </w:r>
          </w:p>
        </w:tc>
      </w:tr>
      <w:tr>
        <w:tc>
          <w:tcPr>
            <w:tcW w:type="dxa" w:w="852"/>
            <w:vAlign w:val="center"/>
          </w:tcPr>
          <w:p>
            <w:pPr>
              <w:spacing w:before="0" w:after="30"/>
            </w:pPr>
            <w:r>
              <w:rPr>
                <w:sz w:val="14"/>
              </w:rPr>
              <w:t>RB-PLT-03</w:t>
            </w:r>
          </w:p>
        </w:tc>
        <w:tc>
          <w:tcPr>
            <w:tcW w:type="dxa" w:w="2019"/>
            <w:vAlign w:val="center"/>
          </w:tcPr>
          <w:p>
            <w:pPr>
              <w:spacing w:before="0" w:after="30"/>
            </w:pPr>
            <w:r>
              <w:rPr>
                <w:sz w:val="14"/>
              </w:rPr>
              <w:t>PLT-03 - SaaS Plans, Subscription Billing, Metering &amp; Entitlements</w:t>
            </w:r>
          </w:p>
        </w:tc>
        <w:tc>
          <w:tcPr>
            <w:tcW w:type="dxa" w:w="2109"/>
            <w:vAlign w:val="center"/>
          </w:tcPr>
          <w:p>
            <w:pPr>
              <w:spacing w:before="0" w:after="30"/>
            </w:pPr>
            <w:r>
              <w:rPr>
                <w:sz w:val="14"/>
              </w:rPr>
              <w:t>PostgreSQL saturation/failover/restore; domain reconciliation and dependency outage</w:t>
            </w:r>
          </w:p>
        </w:tc>
        <w:tc>
          <w:tcPr>
            <w:tcW w:type="dxa" w:w="1795"/>
            <w:vAlign w:val="center"/>
          </w:tcPr>
          <w:p>
            <w:pPr>
              <w:spacing w:before="0" w:after="30"/>
            </w:pPr>
            <w:r>
              <w:rPr>
                <w:sz w:val="14"/>
              </w:rPr>
              <w:t>Affected tenant/scope; command/aggregate version; authoritative rows; outbox/inbox/DLQ/provider state where applicable; reconciliation result; repair/correction reference; owner and follow-up action.</w:t>
            </w:r>
          </w:p>
        </w:tc>
      </w:tr>
      <w:tr>
        <w:tc>
          <w:tcPr>
            <w:tcW w:type="dxa" w:w="852"/>
            <w:vAlign w:val="center"/>
          </w:tcPr>
          <w:p>
            <w:pPr>
              <w:spacing w:before="0" w:after="30"/>
            </w:pPr>
            <w:r>
              <w:rPr>
                <w:sz w:val="14"/>
              </w:rPr>
              <w:t>RB-PLT-04</w:t>
            </w:r>
          </w:p>
        </w:tc>
        <w:tc>
          <w:tcPr>
            <w:tcW w:type="dxa" w:w="2019"/>
            <w:vAlign w:val="center"/>
          </w:tcPr>
          <w:p>
            <w:pPr>
              <w:spacing w:before="0" w:after="30"/>
            </w:pPr>
            <w:r>
              <w:rPr>
                <w:sz w:val="14"/>
              </w:rPr>
              <w:t>PLT-04 - Internal Administration, Support &amp; Customer Success</w:t>
            </w:r>
          </w:p>
        </w:tc>
        <w:tc>
          <w:tcPr>
            <w:tcW w:type="dxa" w:w="2109"/>
            <w:vAlign w:val="center"/>
          </w:tcPr>
          <w:p>
            <w:pPr>
              <w:spacing w:before="0" w:after="30"/>
            </w:pPr>
            <w:r>
              <w:rPr>
                <w:sz w:val="14"/>
              </w:rPr>
              <w:t>PostgreSQL saturation/failover/restore; domain reconciliation and dependency outage</w:t>
            </w:r>
          </w:p>
        </w:tc>
        <w:tc>
          <w:tcPr>
            <w:tcW w:type="dxa" w:w="1795"/>
            <w:vAlign w:val="center"/>
          </w:tcPr>
          <w:p>
            <w:pPr>
              <w:spacing w:before="0" w:after="30"/>
            </w:pPr>
            <w:r>
              <w:rPr>
                <w:sz w:val="14"/>
              </w:rPr>
              <w:t>Affected tenant/scope; command/aggregate version; authoritative rows; outbox/inbox/DLQ/provider state where applicable; reconciliation result; repair/correction reference; owner and follow-up action.</w:t>
            </w:r>
          </w:p>
        </w:tc>
      </w:tr>
      <w:tr>
        <w:tc>
          <w:tcPr>
            <w:tcW w:type="dxa" w:w="852"/>
            <w:vAlign w:val="center"/>
          </w:tcPr>
          <w:p>
            <w:pPr>
              <w:spacing w:before="0" w:after="30"/>
            </w:pPr>
            <w:r>
              <w:rPr>
                <w:sz w:val="14"/>
              </w:rPr>
              <w:t>RB-IAM-01</w:t>
            </w:r>
          </w:p>
        </w:tc>
        <w:tc>
          <w:tcPr>
            <w:tcW w:type="dxa" w:w="2019"/>
            <w:vAlign w:val="center"/>
          </w:tcPr>
          <w:p>
            <w:pPr>
              <w:spacing w:before="0" w:after="30"/>
            </w:pPr>
            <w:r>
              <w:rPr>
                <w:sz w:val="14"/>
              </w:rPr>
              <w:t>IAM-01 - Identity, Authentication, Passkeys &amp; Device Sessions</w:t>
            </w:r>
          </w:p>
        </w:tc>
        <w:tc>
          <w:tcPr>
            <w:tcW w:type="dxa" w:w="2109"/>
            <w:vAlign w:val="center"/>
          </w:tcPr>
          <w:p>
            <w:pPr>
              <w:spacing w:before="0" w:after="30"/>
            </w:pPr>
            <w:r>
              <w:rPr>
                <w:sz w:val="14"/>
              </w:rPr>
              <w:t>Support impersonation/security abuse; credential/session containment</w:t>
            </w:r>
          </w:p>
        </w:tc>
        <w:tc>
          <w:tcPr>
            <w:tcW w:type="dxa" w:w="1795"/>
            <w:vAlign w:val="center"/>
          </w:tcPr>
          <w:p>
            <w:pPr>
              <w:spacing w:before="0" w:after="30"/>
            </w:pPr>
            <w:r>
              <w:rPr>
                <w:sz w:val="14"/>
              </w:rPr>
              <w:t>Affected tenant/scope; command/aggregate version; authoritative rows; outbox/inbox/DLQ/provider state where applicable; reconciliation result; repair/correction reference; owner and follow-up action.</w:t>
            </w:r>
          </w:p>
        </w:tc>
      </w:tr>
      <w:tr>
        <w:tc>
          <w:tcPr>
            <w:tcW w:type="dxa" w:w="852"/>
            <w:vAlign w:val="center"/>
          </w:tcPr>
          <w:p>
            <w:pPr>
              <w:spacing w:before="0" w:after="30"/>
            </w:pPr>
            <w:r>
              <w:rPr>
                <w:sz w:val="14"/>
              </w:rPr>
              <w:t>RB-IAM-02</w:t>
            </w:r>
          </w:p>
        </w:tc>
        <w:tc>
          <w:tcPr>
            <w:tcW w:type="dxa" w:w="2019"/>
            <w:vAlign w:val="center"/>
          </w:tcPr>
          <w:p>
            <w:pPr>
              <w:spacing w:before="0" w:after="30"/>
            </w:pPr>
            <w:r>
              <w:rPr>
                <w:sz w:val="14"/>
              </w:rPr>
              <w:t>IAM-02 - Biometric Identity &amp; Physical Access Methods</w:t>
            </w:r>
          </w:p>
        </w:tc>
        <w:tc>
          <w:tcPr>
            <w:tcW w:type="dxa" w:w="2109"/>
            <w:vAlign w:val="center"/>
          </w:tcPr>
          <w:p>
            <w:pPr>
              <w:spacing w:before="0" w:after="30"/>
            </w:pPr>
            <w:r>
              <w:rPr>
                <w:sz w:val="14"/>
              </w:rPr>
              <w:t>Support impersonation/security abuse; credential/session containment</w:t>
            </w:r>
          </w:p>
        </w:tc>
        <w:tc>
          <w:tcPr>
            <w:tcW w:type="dxa" w:w="1795"/>
            <w:vAlign w:val="center"/>
          </w:tcPr>
          <w:p>
            <w:pPr>
              <w:spacing w:before="0" w:after="30"/>
            </w:pPr>
            <w:r>
              <w:rPr>
                <w:sz w:val="14"/>
              </w:rPr>
              <w:t>Affected tenant/scope; command/aggregate version; authoritative rows; outbox/inbox/DLQ/provider state where applicable; reconciliation result; repair/correction reference; owner and follow-up action.</w:t>
            </w:r>
          </w:p>
        </w:tc>
      </w:tr>
      <w:tr>
        <w:tc>
          <w:tcPr>
            <w:tcW w:type="dxa" w:w="852"/>
            <w:vAlign w:val="center"/>
          </w:tcPr>
          <w:p>
            <w:pPr>
              <w:spacing w:before="0" w:after="30"/>
            </w:pPr>
            <w:r>
              <w:rPr>
                <w:sz w:val="14"/>
              </w:rPr>
              <w:t>RB-IAM-03</w:t>
            </w:r>
          </w:p>
        </w:tc>
        <w:tc>
          <w:tcPr>
            <w:tcW w:type="dxa" w:w="2019"/>
            <w:vAlign w:val="center"/>
          </w:tcPr>
          <w:p>
            <w:pPr>
              <w:spacing w:before="0" w:after="30"/>
            </w:pPr>
            <w:r>
              <w:rPr>
                <w:sz w:val="14"/>
              </w:rPr>
              <w:t>IAM-03 - Authorization, Roles, Permissions, Approvals &amp; Audit</w:t>
            </w:r>
          </w:p>
        </w:tc>
        <w:tc>
          <w:tcPr>
            <w:tcW w:type="dxa" w:w="2109"/>
            <w:vAlign w:val="center"/>
          </w:tcPr>
          <w:p>
            <w:pPr>
              <w:spacing w:before="0" w:after="30"/>
            </w:pPr>
            <w:r>
              <w:rPr>
                <w:sz w:val="14"/>
              </w:rPr>
              <w:t>Cross-tenant isolation suspicion / data exposure; PostgreSQL recovery as needed</w:t>
            </w:r>
          </w:p>
        </w:tc>
        <w:tc>
          <w:tcPr>
            <w:tcW w:type="dxa" w:w="1795"/>
            <w:vAlign w:val="center"/>
          </w:tcPr>
          <w:p>
            <w:pPr>
              <w:spacing w:before="0" w:after="30"/>
            </w:pPr>
            <w:r>
              <w:rPr>
                <w:sz w:val="14"/>
              </w:rPr>
              <w:t>Affected tenant/scope; command/aggregate version; authoritative rows; outbox/inbox/DLQ/provider state where applicable; reconciliation result; repair/correction reference; owner and follow-up action.</w:t>
            </w:r>
          </w:p>
        </w:tc>
      </w:tr>
      <w:tr>
        <w:tc>
          <w:tcPr>
            <w:tcW w:type="dxa" w:w="852"/>
            <w:vAlign w:val="center"/>
          </w:tcPr>
          <w:p>
            <w:pPr>
              <w:spacing w:before="0" w:after="30"/>
            </w:pPr>
            <w:r>
              <w:rPr>
                <w:sz w:val="14"/>
              </w:rPr>
              <w:t>RB-PPL-01</w:t>
            </w:r>
          </w:p>
        </w:tc>
        <w:tc>
          <w:tcPr>
            <w:tcW w:type="dxa" w:w="2019"/>
            <w:vAlign w:val="center"/>
          </w:tcPr>
          <w:p>
            <w:pPr>
              <w:spacing w:before="0" w:after="30"/>
            </w:pPr>
            <w:r>
              <w:rPr>
                <w:sz w:val="14"/>
              </w:rPr>
              <w:t>PPL-01 - People, Profiles &amp; Member 360</w:t>
            </w:r>
          </w:p>
        </w:tc>
        <w:tc>
          <w:tcPr>
            <w:tcW w:type="dxa" w:w="2109"/>
            <w:vAlign w:val="center"/>
          </w:tcPr>
          <w:p>
            <w:pPr>
              <w:spacing w:before="0" w:after="30"/>
            </w:pPr>
            <w:r>
              <w:rPr>
                <w:sz w:val="14"/>
              </w:rPr>
              <w:t>Cross-tenant isolation suspicion / data exposure; PostgreSQL recovery as needed</w:t>
            </w:r>
          </w:p>
        </w:tc>
        <w:tc>
          <w:tcPr>
            <w:tcW w:type="dxa" w:w="1795"/>
            <w:vAlign w:val="center"/>
          </w:tcPr>
          <w:p>
            <w:pPr>
              <w:spacing w:before="0" w:after="30"/>
            </w:pPr>
            <w:r>
              <w:rPr>
                <w:sz w:val="14"/>
              </w:rPr>
              <w:t>Affected tenant/scope; command/aggregate version; authoritative rows; outbox/inbox/DLQ/provider state where applicable; reconciliation result; repair/correction reference; owner and follow-up action.</w:t>
            </w:r>
          </w:p>
        </w:tc>
      </w:tr>
      <w:tr>
        <w:tc>
          <w:tcPr>
            <w:tcW w:type="dxa" w:w="852"/>
            <w:vAlign w:val="center"/>
          </w:tcPr>
          <w:p>
            <w:pPr>
              <w:spacing w:before="0" w:after="30"/>
            </w:pPr>
            <w:r>
              <w:rPr>
                <w:sz w:val="14"/>
              </w:rPr>
              <w:t>RB-PPL-02</w:t>
            </w:r>
          </w:p>
        </w:tc>
        <w:tc>
          <w:tcPr>
            <w:tcW w:type="dxa" w:w="2019"/>
            <w:vAlign w:val="center"/>
          </w:tcPr>
          <w:p>
            <w:pPr>
              <w:spacing w:before="0" w:after="30"/>
            </w:pPr>
            <w:r>
              <w:rPr>
                <w:sz w:val="14"/>
              </w:rPr>
              <w:t>PPL-02 - Households, Dependents, Guests &amp; Eligibility</w:t>
            </w:r>
          </w:p>
        </w:tc>
        <w:tc>
          <w:tcPr>
            <w:tcW w:type="dxa" w:w="2109"/>
            <w:vAlign w:val="center"/>
          </w:tcPr>
          <w:p>
            <w:pPr>
              <w:spacing w:before="0" w:after="30"/>
            </w:pPr>
            <w:r>
              <w:rPr>
                <w:sz w:val="14"/>
              </w:rPr>
              <w:t>Cross-tenant isolation suspicion / data exposure; PostgreSQL recovery as needed</w:t>
            </w:r>
          </w:p>
        </w:tc>
        <w:tc>
          <w:tcPr>
            <w:tcW w:type="dxa" w:w="1795"/>
            <w:vAlign w:val="center"/>
          </w:tcPr>
          <w:p>
            <w:pPr>
              <w:spacing w:before="0" w:after="30"/>
            </w:pPr>
            <w:r>
              <w:rPr>
                <w:sz w:val="14"/>
              </w:rPr>
              <w:t>Affected tenant/scope; command/aggregate version; authoritative rows; outbox/inbox/DLQ/provider state where applicable; reconciliation result; repair/correction reference; owner and follow-up action.</w:t>
            </w:r>
          </w:p>
        </w:tc>
      </w:tr>
      <w:tr>
        <w:tc>
          <w:tcPr>
            <w:tcW w:type="dxa" w:w="852"/>
            <w:vAlign w:val="center"/>
          </w:tcPr>
          <w:p>
            <w:pPr>
              <w:spacing w:before="0" w:after="30"/>
            </w:pPr>
            <w:r>
              <w:rPr>
                <w:sz w:val="14"/>
              </w:rPr>
              <w:t>RB-GRO-01</w:t>
            </w:r>
          </w:p>
        </w:tc>
        <w:tc>
          <w:tcPr>
            <w:tcW w:type="dxa" w:w="2019"/>
            <w:vAlign w:val="center"/>
          </w:tcPr>
          <w:p>
            <w:pPr>
              <w:spacing w:before="0" w:after="30"/>
            </w:pPr>
            <w:r>
              <w:rPr>
                <w:sz w:val="14"/>
              </w:rPr>
              <w:t>GRO-01 - CRM, Leads, Sales Pipeline &amp; Trials</w:t>
            </w:r>
          </w:p>
        </w:tc>
        <w:tc>
          <w:tcPr>
            <w:tcW w:type="dxa" w:w="2109"/>
            <w:vAlign w:val="center"/>
          </w:tcPr>
          <w:p>
            <w:pPr>
              <w:spacing w:before="0" w:after="30"/>
            </w:pPr>
            <w:r>
              <w:rPr>
                <w:sz w:val="14"/>
              </w:rPr>
              <w:t>PostgreSQL saturation/failover/restore; domain reconciliation and dependency outage</w:t>
            </w:r>
          </w:p>
        </w:tc>
        <w:tc>
          <w:tcPr>
            <w:tcW w:type="dxa" w:w="1795"/>
            <w:vAlign w:val="center"/>
          </w:tcPr>
          <w:p>
            <w:pPr>
              <w:spacing w:before="0" w:after="30"/>
            </w:pPr>
            <w:r>
              <w:rPr>
                <w:sz w:val="14"/>
              </w:rPr>
              <w:t>Affected tenant/scope; command/aggregate version; authoritative rows; outbox/inbox/DLQ/provider state where applicable; reconciliation result; repair/correction reference; owner and follow-up action.</w:t>
            </w:r>
          </w:p>
        </w:tc>
      </w:tr>
      <w:tr>
        <w:tc>
          <w:tcPr>
            <w:tcW w:type="dxa" w:w="852"/>
            <w:vAlign w:val="center"/>
          </w:tcPr>
          <w:p>
            <w:pPr>
              <w:spacing w:before="0" w:after="30"/>
            </w:pPr>
            <w:r>
              <w:rPr>
                <w:sz w:val="14"/>
              </w:rPr>
              <w:t>RB-GRO-02</w:t>
            </w:r>
          </w:p>
        </w:tc>
        <w:tc>
          <w:tcPr>
            <w:tcW w:type="dxa" w:w="2019"/>
            <w:vAlign w:val="center"/>
          </w:tcPr>
          <w:p>
            <w:pPr>
              <w:spacing w:before="0" w:after="30"/>
            </w:pPr>
            <w:r>
              <w:rPr>
                <w:sz w:val="14"/>
              </w:rPr>
              <w:t>GRO-02 - Marketing, Referrals, Offers &amp; Growth Journeys</w:t>
            </w:r>
          </w:p>
        </w:tc>
        <w:tc>
          <w:tcPr>
            <w:tcW w:type="dxa" w:w="2109"/>
            <w:vAlign w:val="center"/>
          </w:tcPr>
          <w:p>
            <w:pPr>
              <w:spacing w:before="0" w:after="30"/>
            </w:pPr>
            <w:r>
              <w:rPr>
                <w:sz w:val="14"/>
              </w:rPr>
              <w:t>PostgreSQL saturation/failover/restore; domain reconciliation and dependency outage</w:t>
            </w:r>
          </w:p>
        </w:tc>
        <w:tc>
          <w:tcPr>
            <w:tcW w:type="dxa" w:w="1795"/>
            <w:vAlign w:val="center"/>
          </w:tcPr>
          <w:p>
            <w:pPr>
              <w:spacing w:before="0" w:after="30"/>
            </w:pPr>
            <w:r>
              <w:rPr>
                <w:sz w:val="14"/>
              </w:rPr>
              <w:t>Affected tenant/scope; command/aggregate version; authoritative rows; outbox/inbox/DLQ/provider state where applicable; reconciliation result; repair/correction reference; owner and follow-up action.</w:t>
            </w:r>
          </w:p>
        </w:tc>
      </w:tr>
      <w:tr>
        <w:tc>
          <w:tcPr>
            <w:tcW w:type="dxa" w:w="852"/>
            <w:vAlign w:val="center"/>
          </w:tcPr>
          <w:p>
            <w:pPr>
              <w:spacing w:before="0" w:after="30"/>
            </w:pPr>
            <w:r>
              <w:rPr>
                <w:sz w:val="14"/>
              </w:rPr>
              <w:t>RB-COM-01</w:t>
            </w:r>
          </w:p>
        </w:tc>
        <w:tc>
          <w:tcPr>
            <w:tcW w:type="dxa" w:w="2019"/>
            <w:vAlign w:val="center"/>
          </w:tcPr>
          <w:p>
            <w:pPr>
              <w:spacing w:before="0" w:after="30"/>
            </w:pPr>
            <w:r>
              <w:rPr>
                <w:sz w:val="14"/>
              </w:rPr>
              <w:t>COM-01 - Memberships, Contracts, Entitlements &amp; Lifecycle</w:t>
            </w:r>
          </w:p>
        </w:tc>
        <w:tc>
          <w:tcPr>
            <w:tcW w:type="dxa" w:w="2109"/>
            <w:vAlign w:val="center"/>
          </w:tcPr>
          <w:p>
            <w:pPr>
              <w:spacing w:before="0" w:after="30"/>
            </w:pPr>
            <w:r>
              <w:rPr>
                <w:sz w:val="14"/>
              </w:rPr>
              <w:t>PostgreSQL saturation/failover/restore; domain reconciliation and dependency outage</w:t>
            </w:r>
          </w:p>
        </w:tc>
        <w:tc>
          <w:tcPr>
            <w:tcW w:type="dxa" w:w="1795"/>
            <w:vAlign w:val="center"/>
          </w:tcPr>
          <w:p>
            <w:pPr>
              <w:spacing w:before="0" w:after="30"/>
            </w:pPr>
            <w:r>
              <w:rPr>
                <w:sz w:val="14"/>
              </w:rPr>
              <w:t>Affected tenant/scope; command/aggregate version; authoritative rows; outbox/inbox/DLQ/provider state where applicable; reconciliation result; repair/correction reference; owner and follow-up action.</w:t>
            </w:r>
          </w:p>
        </w:tc>
      </w:tr>
      <w:tr>
        <w:tc>
          <w:tcPr>
            <w:tcW w:type="dxa" w:w="852"/>
            <w:vAlign w:val="center"/>
          </w:tcPr>
          <w:p>
            <w:pPr>
              <w:spacing w:before="0" w:after="30"/>
            </w:pPr>
            <w:r>
              <w:rPr>
                <w:sz w:val="14"/>
              </w:rPr>
              <w:t>RB-COM-02</w:t>
            </w:r>
          </w:p>
        </w:tc>
        <w:tc>
          <w:tcPr>
            <w:tcW w:type="dxa" w:w="2019"/>
            <w:vAlign w:val="center"/>
          </w:tcPr>
          <w:p>
            <w:pPr>
              <w:spacing w:before="0" w:after="30"/>
            </w:pPr>
            <w:r>
              <w:rPr>
                <w:sz w:val="14"/>
              </w:rPr>
              <w:t>COM-02 - Catalog, Pricing, Promotions &amp; Packages</w:t>
            </w:r>
          </w:p>
        </w:tc>
        <w:tc>
          <w:tcPr>
            <w:tcW w:type="dxa" w:w="2109"/>
            <w:vAlign w:val="center"/>
          </w:tcPr>
          <w:p>
            <w:pPr>
              <w:spacing w:before="0" w:after="30"/>
            </w:pPr>
            <w:r>
              <w:rPr>
                <w:sz w:val="14"/>
              </w:rPr>
              <w:t>PostgreSQL saturation/failover/restore; domain reconciliation and dependency outage</w:t>
            </w:r>
          </w:p>
        </w:tc>
        <w:tc>
          <w:tcPr>
            <w:tcW w:type="dxa" w:w="1795"/>
            <w:vAlign w:val="center"/>
          </w:tcPr>
          <w:p>
            <w:pPr>
              <w:spacing w:before="0" w:after="30"/>
            </w:pPr>
            <w:r>
              <w:rPr>
                <w:sz w:val="14"/>
              </w:rPr>
              <w:t>Affected tenant/scope; command/aggregate version; authoritative rows; outbox/inbox/DLQ/provider state where applicable; reconciliation result; repair/correction reference; owner and follow-up action.</w:t>
            </w:r>
          </w:p>
        </w:tc>
      </w:tr>
      <w:tr>
        <w:tc>
          <w:tcPr>
            <w:tcW w:type="dxa" w:w="852"/>
            <w:vAlign w:val="center"/>
          </w:tcPr>
          <w:p>
            <w:pPr>
              <w:spacing w:before="0" w:after="30"/>
            </w:pPr>
            <w:r>
              <w:rPr>
                <w:sz w:val="14"/>
              </w:rPr>
              <w:t>RB-COM-03</w:t>
            </w:r>
          </w:p>
        </w:tc>
        <w:tc>
          <w:tcPr>
            <w:tcW w:type="dxa" w:w="2019"/>
            <w:vAlign w:val="center"/>
          </w:tcPr>
          <w:p>
            <w:pPr>
              <w:spacing w:before="0" w:after="30"/>
            </w:pPr>
            <w:r>
              <w:rPr>
                <w:sz w:val="14"/>
              </w:rPr>
              <w:t>COM-03 - Member Billing, Payments, Tax &amp; Revenue Recovery</w:t>
            </w:r>
          </w:p>
        </w:tc>
        <w:tc>
          <w:tcPr>
            <w:tcW w:type="dxa" w:w="2109"/>
            <w:vAlign w:val="center"/>
          </w:tcPr>
          <w:p>
            <w:pPr>
              <w:spacing w:before="0" w:after="30"/>
            </w:pPr>
            <w:r>
              <w:rPr>
                <w:sz w:val="14"/>
              </w:rPr>
              <w:t>Payment duplicate/outage + JoFotara/e-invoice + PostgreSQL reconciliation</w:t>
            </w:r>
          </w:p>
        </w:tc>
        <w:tc>
          <w:tcPr>
            <w:tcW w:type="dxa" w:w="1795"/>
            <w:vAlign w:val="center"/>
          </w:tcPr>
          <w:p>
            <w:pPr>
              <w:spacing w:before="0" w:after="30"/>
            </w:pPr>
            <w:r>
              <w:rPr>
                <w:sz w:val="14"/>
              </w:rPr>
              <w:t>Affected tenant/scope; command/aggregate version; authoritative rows; outbox/inbox/DLQ/provider state where applicable; reconciliation result; repair/correction reference; owner and follow-up action.</w:t>
            </w:r>
          </w:p>
        </w:tc>
      </w:tr>
      <w:tr>
        <w:tc>
          <w:tcPr>
            <w:tcW w:type="dxa" w:w="852"/>
            <w:vAlign w:val="center"/>
          </w:tcPr>
          <w:p>
            <w:pPr>
              <w:spacing w:before="0" w:after="30"/>
            </w:pPr>
            <w:r>
              <w:rPr>
                <w:sz w:val="14"/>
              </w:rPr>
              <w:t>RB-COM-04</w:t>
            </w:r>
          </w:p>
        </w:tc>
        <w:tc>
          <w:tcPr>
            <w:tcW w:type="dxa" w:w="2019"/>
            <w:vAlign w:val="center"/>
          </w:tcPr>
          <w:p>
            <w:pPr>
              <w:spacing w:before="0" w:after="30"/>
            </w:pPr>
            <w:r>
              <w:rPr>
                <w:sz w:val="14"/>
              </w:rPr>
              <w:t>COM-04 - Financial Ledger, Wallet, Credits &amp; Reconciliation</w:t>
            </w:r>
          </w:p>
        </w:tc>
        <w:tc>
          <w:tcPr>
            <w:tcW w:type="dxa" w:w="2109"/>
            <w:vAlign w:val="center"/>
          </w:tcPr>
          <w:p>
            <w:pPr>
              <w:spacing w:before="0" w:after="30"/>
            </w:pPr>
            <w:r>
              <w:rPr>
                <w:sz w:val="14"/>
              </w:rPr>
              <w:t>Payment duplicate/outage + JoFotara/e-invoice + PostgreSQL reconciliation</w:t>
            </w:r>
          </w:p>
        </w:tc>
        <w:tc>
          <w:tcPr>
            <w:tcW w:type="dxa" w:w="1795"/>
            <w:vAlign w:val="center"/>
          </w:tcPr>
          <w:p>
            <w:pPr>
              <w:spacing w:before="0" w:after="30"/>
            </w:pPr>
            <w:r>
              <w:rPr>
                <w:sz w:val="14"/>
              </w:rPr>
              <w:t>Affected tenant/scope; command/aggregate version; authoritative rows; outbox/inbox/DLQ/provider state where applicable; reconciliation result; repair/correction reference; owner and follow-up action.</w:t>
            </w:r>
          </w:p>
        </w:tc>
      </w:tr>
      <w:tr>
        <w:tc>
          <w:tcPr>
            <w:tcW w:type="dxa" w:w="852"/>
            <w:vAlign w:val="center"/>
          </w:tcPr>
          <w:p>
            <w:pPr>
              <w:spacing w:before="0" w:after="30"/>
            </w:pPr>
            <w:r>
              <w:rPr>
                <w:sz w:val="14"/>
              </w:rPr>
              <w:t>RB-COM-05</w:t>
            </w:r>
          </w:p>
        </w:tc>
        <w:tc>
          <w:tcPr>
            <w:tcW w:type="dxa" w:w="2019"/>
            <w:vAlign w:val="center"/>
          </w:tcPr>
          <w:p>
            <w:pPr>
              <w:spacing w:before="0" w:after="30"/>
            </w:pPr>
            <w:r>
              <w:rPr>
                <w:sz w:val="14"/>
              </w:rPr>
              <w:t>COM-05 - Point of Sale, Ecommerce &amp; Order Fulfillment</w:t>
            </w:r>
          </w:p>
        </w:tc>
        <w:tc>
          <w:tcPr>
            <w:tcW w:type="dxa" w:w="2109"/>
            <w:vAlign w:val="center"/>
          </w:tcPr>
          <w:p>
            <w:pPr>
              <w:spacing w:before="0" w:after="30"/>
            </w:pPr>
            <w:r>
              <w:rPr>
                <w:sz w:val="14"/>
              </w:rPr>
              <w:t>Payment duplicate/outage + JoFotara/e-invoice + PostgreSQL reconciliation</w:t>
            </w:r>
          </w:p>
        </w:tc>
        <w:tc>
          <w:tcPr>
            <w:tcW w:type="dxa" w:w="1795"/>
            <w:vAlign w:val="center"/>
          </w:tcPr>
          <w:p>
            <w:pPr>
              <w:spacing w:before="0" w:after="30"/>
            </w:pPr>
            <w:r>
              <w:rPr>
                <w:sz w:val="14"/>
              </w:rPr>
              <w:t>Affected tenant/scope; command/aggregate version; authoritative rows; outbox/inbox/DLQ/provider state where applicable; reconciliation result; repair/correction reference; owner and follow-up action.</w:t>
            </w:r>
          </w:p>
        </w:tc>
      </w:tr>
      <w:tr>
        <w:tc>
          <w:tcPr>
            <w:tcW w:type="dxa" w:w="852"/>
            <w:vAlign w:val="center"/>
          </w:tcPr>
          <w:p>
            <w:pPr>
              <w:spacing w:before="0" w:after="30"/>
            </w:pPr>
            <w:r>
              <w:rPr>
                <w:sz w:val="14"/>
              </w:rPr>
              <w:t>RB-COM-06</w:t>
            </w:r>
          </w:p>
        </w:tc>
        <w:tc>
          <w:tcPr>
            <w:tcW w:type="dxa" w:w="2019"/>
            <w:vAlign w:val="center"/>
          </w:tcPr>
          <w:p>
            <w:pPr>
              <w:spacing w:before="0" w:after="30"/>
            </w:pPr>
            <w:r>
              <w:rPr>
                <w:sz w:val="14"/>
              </w:rPr>
              <w:t>COM-06 - Inventory, Purchasing, Suppliers &amp; Stock Control</w:t>
            </w:r>
          </w:p>
        </w:tc>
        <w:tc>
          <w:tcPr>
            <w:tcW w:type="dxa" w:w="2109"/>
            <w:vAlign w:val="center"/>
          </w:tcPr>
          <w:p>
            <w:pPr>
              <w:spacing w:before="0" w:after="30"/>
            </w:pPr>
            <w:r>
              <w:rPr>
                <w:sz w:val="14"/>
              </w:rPr>
              <w:t>PostgreSQL saturation/failover/restore; domain reconciliation and dependency outage</w:t>
            </w:r>
          </w:p>
        </w:tc>
        <w:tc>
          <w:tcPr>
            <w:tcW w:type="dxa" w:w="1795"/>
            <w:vAlign w:val="center"/>
          </w:tcPr>
          <w:p>
            <w:pPr>
              <w:spacing w:before="0" w:after="30"/>
            </w:pPr>
            <w:r>
              <w:rPr>
                <w:sz w:val="14"/>
              </w:rPr>
              <w:t>Affected tenant/scope; command/aggregate version; authoritative rows; outbox/inbox/DLQ/provider state where applicable; reconciliation result; repair/correction reference; owner and follow-up action.</w:t>
            </w:r>
          </w:p>
        </w:tc>
      </w:tr>
      <w:tr>
        <w:tc>
          <w:tcPr>
            <w:tcW w:type="dxa" w:w="852"/>
            <w:vAlign w:val="center"/>
          </w:tcPr>
          <w:p>
            <w:pPr>
              <w:spacing w:before="0" w:after="30"/>
            </w:pPr>
            <w:r>
              <w:rPr>
                <w:sz w:val="14"/>
              </w:rPr>
              <w:t>RB-OPS-01</w:t>
            </w:r>
          </w:p>
        </w:tc>
        <w:tc>
          <w:tcPr>
            <w:tcW w:type="dxa" w:w="2019"/>
            <w:vAlign w:val="center"/>
          </w:tcPr>
          <w:p>
            <w:pPr>
              <w:spacing w:before="0" w:after="30"/>
            </w:pPr>
            <w:r>
              <w:rPr>
                <w:sz w:val="14"/>
              </w:rPr>
              <w:t>OPS-01 - Scheduling, Resources &amp; Capacity</w:t>
            </w:r>
          </w:p>
        </w:tc>
        <w:tc>
          <w:tcPr>
            <w:tcW w:type="dxa" w:w="2109"/>
            <w:vAlign w:val="center"/>
          </w:tcPr>
          <w:p>
            <w:pPr>
              <w:spacing w:before="0" w:after="30"/>
            </w:pPr>
            <w:r>
              <w:rPr>
                <w:sz w:val="14"/>
              </w:rPr>
              <w:t>PostgreSQL saturation/failover/restore; domain reconciliation and dependency outage</w:t>
            </w:r>
          </w:p>
        </w:tc>
        <w:tc>
          <w:tcPr>
            <w:tcW w:type="dxa" w:w="1795"/>
            <w:vAlign w:val="center"/>
          </w:tcPr>
          <w:p>
            <w:pPr>
              <w:spacing w:before="0" w:after="30"/>
            </w:pPr>
            <w:r>
              <w:rPr>
                <w:sz w:val="14"/>
              </w:rPr>
              <w:t>Affected tenant/scope; command/aggregate version; authoritative rows; outbox/inbox/DLQ/provider state where applicable; reconciliation result; repair/correction reference; owner and follow-up action.</w:t>
            </w:r>
          </w:p>
        </w:tc>
      </w:tr>
      <w:tr>
        <w:tc>
          <w:tcPr>
            <w:tcW w:type="dxa" w:w="852"/>
            <w:vAlign w:val="center"/>
          </w:tcPr>
          <w:p>
            <w:pPr>
              <w:spacing w:before="0" w:after="30"/>
            </w:pPr>
            <w:r>
              <w:rPr>
                <w:sz w:val="14"/>
              </w:rPr>
              <w:t>RB-OPS-02</w:t>
            </w:r>
          </w:p>
        </w:tc>
        <w:tc>
          <w:tcPr>
            <w:tcW w:type="dxa" w:w="2019"/>
            <w:vAlign w:val="center"/>
          </w:tcPr>
          <w:p>
            <w:pPr>
              <w:spacing w:before="0" w:after="30"/>
            </w:pPr>
            <w:r>
              <w:rPr>
                <w:sz w:val="14"/>
              </w:rPr>
              <w:t>OPS-02 - Booking, Waitlist &amp; No-show Intelligence</w:t>
            </w:r>
          </w:p>
        </w:tc>
        <w:tc>
          <w:tcPr>
            <w:tcW w:type="dxa" w:w="2109"/>
            <w:vAlign w:val="center"/>
          </w:tcPr>
          <w:p>
            <w:pPr>
              <w:spacing w:before="0" w:after="30"/>
            </w:pPr>
            <w:r>
              <w:rPr>
                <w:sz w:val="14"/>
              </w:rPr>
              <w:t>PostgreSQL saturation/failover/restore; domain reconciliation and dependency outage</w:t>
            </w:r>
          </w:p>
        </w:tc>
        <w:tc>
          <w:tcPr>
            <w:tcW w:type="dxa" w:w="1795"/>
            <w:vAlign w:val="center"/>
          </w:tcPr>
          <w:p>
            <w:pPr>
              <w:spacing w:before="0" w:after="30"/>
            </w:pPr>
            <w:r>
              <w:rPr>
                <w:sz w:val="14"/>
              </w:rPr>
              <w:t>Affected tenant/scope; command/aggregate version; authoritative rows; outbox/inbox/DLQ/provider state where applicable; reconciliation result; repair/correction reference; owner and follow-up action.</w:t>
            </w:r>
          </w:p>
        </w:tc>
      </w:tr>
      <w:tr>
        <w:tc>
          <w:tcPr>
            <w:tcW w:type="dxa" w:w="852"/>
            <w:vAlign w:val="center"/>
          </w:tcPr>
          <w:p>
            <w:pPr>
              <w:spacing w:before="0" w:after="30"/>
            </w:pPr>
            <w:r>
              <w:rPr>
                <w:sz w:val="14"/>
              </w:rPr>
              <w:t>RB-OPS-03</w:t>
            </w:r>
          </w:p>
        </w:tc>
        <w:tc>
          <w:tcPr>
            <w:tcW w:type="dxa" w:w="2019"/>
            <w:vAlign w:val="center"/>
          </w:tcPr>
          <w:p>
            <w:pPr>
              <w:spacing w:before="0" w:after="30"/>
            </w:pPr>
            <w:r>
              <w:rPr>
                <w:sz w:val="14"/>
              </w:rPr>
              <w:t>OPS-03 - Check-in, Access Control &amp; Entitlement Decisions</w:t>
            </w:r>
          </w:p>
        </w:tc>
        <w:tc>
          <w:tcPr>
            <w:tcW w:type="dxa" w:w="2109"/>
            <w:vAlign w:val="center"/>
          </w:tcPr>
          <w:p>
            <w:pPr>
              <w:spacing w:before="0" w:after="30"/>
            </w:pPr>
            <w:r>
              <w:rPr>
                <w:sz w:val="14"/>
              </w:rPr>
              <w:t>Access decision service / edge degraded mode; biometric/device fleet incident</w:t>
            </w:r>
          </w:p>
        </w:tc>
        <w:tc>
          <w:tcPr>
            <w:tcW w:type="dxa" w:w="1795"/>
            <w:vAlign w:val="center"/>
          </w:tcPr>
          <w:p>
            <w:pPr>
              <w:spacing w:before="0" w:after="30"/>
            </w:pPr>
            <w:r>
              <w:rPr>
                <w:sz w:val="14"/>
              </w:rPr>
              <w:t>Affected tenant/scope; command/aggregate version; authoritative rows; outbox/inbox/DLQ/provider state where applicable; reconciliation result; repair/correction reference; owner and follow-up action.</w:t>
            </w:r>
          </w:p>
        </w:tc>
      </w:tr>
      <w:tr>
        <w:tc>
          <w:tcPr>
            <w:tcW w:type="dxa" w:w="852"/>
            <w:vAlign w:val="center"/>
          </w:tcPr>
          <w:p>
            <w:pPr>
              <w:spacing w:before="0" w:after="30"/>
            </w:pPr>
            <w:r>
              <w:rPr>
                <w:sz w:val="14"/>
              </w:rPr>
              <w:t>RB-OPS-04</w:t>
            </w:r>
          </w:p>
        </w:tc>
        <w:tc>
          <w:tcPr>
            <w:tcW w:type="dxa" w:w="2019"/>
            <w:vAlign w:val="center"/>
          </w:tcPr>
          <w:p>
            <w:pPr>
              <w:spacing w:before="0" w:after="30"/>
            </w:pPr>
            <w:r>
              <w:rPr>
                <w:sz w:val="14"/>
              </w:rPr>
              <w:t>OPS-04 - Front Desk, Kiosk, Guest &amp; Visitor Operations</w:t>
            </w:r>
          </w:p>
        </w:tc>
        <w:tc>
          <w:tcPr>
            <w:tcW w:type="dxa" w:w="2109"/>
            <w:vAlign w:val="center"/>
          </w:tcPr>
          <w:p>
            <w:pPr>
              <w:spacing w:before="0" w:after="30"/>
            </w:pPr>
            <w:r>
              <w:rPr>
                <w:sz w:val="14"/>
              </w:rPr>
              <w:t>Access decision service / edge degraded mode; biometric/device fleet incident</w:t>
            </w:r>
          </w:p>
        </w:tc>
        <w:tc>
          <w:tcPr>
            <w:tcW w:type="dxa" w:w="1795"/>
            <w:vAlign w:val="center"/>
          </w:tcPr>
          <w:p>
            <w:pPr>
              <w:spacing w:before="0" w:after="30"/>
            </w:pPr>
            <w:r>
              <w:rPr>
                <w:sz w:val="14"/>
              </w:rPr>
              <w:t>Affected tenant/scope; command/aggregate version; authoritative rows; outbox/inbox/DLQ/provider state where applicable; reconciliation result; repair/correction reference; owner and follow-up action.</w:t>
            </w:r>
          </w:p>
        </w:tc>
      </w:tr>
      <w:tr>
        <w:tc>
          <w:tcPr>
            <w:tcW w:type="dxa" w:w="852"/>
            <w:vAlign w:val="center"/>
          </w:tcPr>
          <w:p>
            <w:pPr>
              <w:spacing w:before="0" w:after="30"/>
            </w:pPr>
            <w:r>
              <w:rPr>
                <w:sz w:val="14"/>
              </w:rPr>
              <w:t>RB-OPS-05</w:t>
            </w:r>
          </w:p>
        </w:tc>
        <w:tc>
          <w:tcPr>
            <w:tcW w:type="dxa" w:w="2019"/>
            <w:vAlign w:val="center"/>
          </w:tcPr>
          <w:p>
            <w:pPr>
              <w:spacing w:before="0" w:after="30"/>
            </w:pPr>
            <w:r>
              <w:rPr>
                <w:sz w:val="14"/>
              </w:rPr>
              <w:t>OPS-05 - Staff, Shifts, Attendance, Payroll &amp; Commissions</w:t>
            </w:r>
          </w:p>
        </w:tc>
        <w:tc>
          <w:tcPr>
            <w:tcW w:type="dxa" w:w="2109"/>
            <w:vAlign w:val="center"/>
          </w:tcPr>
          <w:p>
            <w:pPr>
              <w:spacing w:before="0" w:after="30"/>
            </w:pPr>
            <w:r>
              <w:rPr>
                <w:sz w:val="14"/>
              </w:rPr>
              <w:t>PostgreSQL saturation/failover/restore; domain reconciliation and dependency outage</w:t>
            </w:r>
          </w:p>
        </w:tc>
        <w:tc>
          <w:tcPr>
            <w:tcW w:type="dxa" w:w="1795"/>
            <w:vAlign w:val="center"/>
          </w:tcPr>
          <w:p>
            <w:pPr>
              <w:spacing w:before="0" w:after="30"/>
            </w:pPr>
            <w:r>
              <w:rPr>
                <w:sz w:val="14"/>
              </w:rPr>
              <w:t>Affected tenant/scope; command/aggregate version; authoritative rows; outbox/inbox/DLQ/provider state where applicable; reconciliation result; repair/correction reference; owner and follow-up action.</w:t>
            </w:r>
          </w:p>
        </w:tc>
      </w:tr>
      <w:tr>
        <w:tc>
          <w:tcPr>
            <w:tcW w:type="dxa" w:w="852"/>
            <w:vAlign w:val="center"/>
          </w:tcPr>
          <w:p>
            <w:pPr>
              <w:spacing w:before="0" w:after="30"/>
            </w:pPr>
            <w:r>
              <w:rPr>
                <w:sz w:val="14"/>
              </w:rPr>
              <w:t>RB-OPS-06</w:t>
            </w:r>
          </w:p>
        </w:tc>
        <w:tc>
          <w:tcPr>
            <w:tcW w:type="dxa" w:w="2019"/>
            <w:vAlign w:val="center"/>
          </w:tcPr>
          <w:p>
            <w:pPr>
              <w:spacing w:before="0" w:after="30"/>
            </w:pPr>
            <w:r>
              <w:rPr>
                <w:sz w:val="14"/>
              </w:rPr>
              <w:t>OPS-06 - Facilities, Equipment, Assets &amp; Maintenance</w:t>
            </w:r>
          </w:p>
        </w:tc>
        <w:tc>
          <w:tcPr>
            <w:tcW w:type="dxa" w:w="2109"/>
            <w:vAlign w:val="center"/>
          </w:tcPr>
          <w:p>
            <w:pPr>
              <w:spacing w:before="0" w:after="30"/>
            </w:pPr>
            <w:r>
              <w:rPr>
                <w:sz w:val="14"/>
              </w:rPr>
              <w:t>PostgreSQL saturation/failover/restore; domain reconciliation and dependency outage</w:t>
            </w:r>
          </w:p>
        </w:tc>
        <w:tc>
          <w:tcPr>
            <w:tcW w:type="dxa" w:w="1795"/>
            <w:vAlign w:val="center"/>
          </w:tcPr>
          <w:p>
            <w:pPr>
              <w:spacing w:before="0" w:after="30"/>
            </w:pPr>
            <w:r>
              <w:rPr>
                <w:sz w:val="14"/>
              </w:rPr>
              <w:t>Affected tenant/scope; command/aggregate version; authoritative rows; outbox/inbox/DLQ/provider state where applicable; reconciliation result; repair/correction reference; owner and follow-up action.</w:t>
            </w:r>
          </w:p>
        </w:tc>
      </w:tr>
      <w:tr>
        <w:tc>
          <w:tcPr>
            <w:tcW w:type="dxa" w:w="852"/>
            <w:vAlign w:val="center"/>
          </w:tcPr>
          <w:p>
            <w:pPr>
              <w:spacing w:before="0" w:after="30"/>
            </w:pPr>
            <w:r>
              <w:rPr>
                <w:sz w:val="14"/>
              </w:rPr>
              <w:t>RB-COA-01</w:t>
            </w:r>
          </w:p>
        </w:tc>
        <w:tc>
          <w:tcPr>
            <w:tcW w:type="dxa" w:w="2019"/>
            <w:vAlign w:val="center"/>
          </w:tcPr>
          <w:p>
            <w:pPr>
              <w:spacing w:before="0" w:after="30"/>
            </w:pPr>
            <w:r>
              <w:rPr>
                <w:sz w:val="14"/>
              </w:rPr>
              <w:t>COA-01 - Coach Workspace &amp; Client Management</w:t>
            </w:r>
          </w:p>
        </w:tc>
        <w:tc>
          <w:tcPr>
            <w:tcW w:type="dxa" w:w="2109"/>
            <w:vAlign w:val="center"/>
          </w:tcPr>
          <w:p>
            <w:pPr>
              <w:spacing w:before="0" w:after="30"/>
            </w:pPr>
            <w:r>
              <w:rPr>
                <w:sz w:val="14"/>
              </w:rPr>
              <w:t>PostgreSQL/object-media recovery; Restricted-data incident when applicable</w:t>
            </w:r>
          </w:p>
        </w:tc>
        <w:tc>
          <w:tcPr>
            <w:tcW w:type="dxa" w:w="1795"/>
            <w:vAlign w:val="center"/>
          </w:tcPr>
          <w:p>
            <w:pPr>
              <w:spacing w:before="0" w:after="30"/>
            </w:pPr>
            <w:r>
              <w:rPr>
                <w:sz w:val="14"/>
              </w:rPr>
              <w:t>Affected tenant/scope; command/aggregate version; authoritative rows; outbox/inbox/DLQ/provider state where applicable; reconciliation result; repair/correction reference; owner and follow-up action.</w:t>
            </w:r>
          </w:p>
        </w:tc>
      </w:tr>
      <w:tr>
        <w:tc>
          <w:tcPr>
            <w:tcW w:type="dxa" w:w="852"/>
            <w:vAlign w:val="center"/>
          </w:tcPr>
          <w:p>
            <w:pPr>
              <w:spacing w:before="0" w:after="30"/>
            </w:pPr>
            <w:r>
              <w:rPr>
                <w:sz w:val="14"/>
              </w:rPr>
              <w:t>RB-COA-02</w:t>
            </w:r>
          </w:p>
        </w:tc>
        <w:tc>
          <w:tcPr>
            <w:tcW w:type="dxa" w:w="2019"/>
            <w:vAlign w:val="center"/>
          </w:tcPr>
          <w:p>
            <w:pPr>
              <w:spacing w:before="0" w:after="30"/>
            </w:pPr>
            <w:r>
              <w:rPr>
                <w:sz w:val="14"/>
              </w:rPr>
              <w:t>COA-02 - Training Programs, Workouts &amp; Exercise Logging</w:t>
            </w:r>
          </w:p>
        </w:tc>
        <w:tc>
          <w:tcPr>
            <w:tcW w:type="dxa" w:w="2109"/>
            <w:vAlign w:val="center"/>
          </w:tcPr>
          <w:p>
            <w:pPr>
              <w:spacing w:before="0" w:after="30"/>
            </w:pPr>
            <w:r>
              <w:rPr>
                <w:sz w:val="14"/>
              </w:rPr>
              <w:t>PostgreSQL/object-media recovery; Restricted-data incident when applicable</w:t>
            </w:r>
          </w:p>
        </w:tc>
        <w:tc>
          <w:tcPr>
            <w:tcW w:type="dxa" w:w="1795"/>
            <w:vAlign w:val="center"/>
          </w:tcPr>
          <w:p>
            <w:pPr>
              <w:spacing w:before="0" w:after="30"/>
            </w:pPr>
            <w:r>
              <w:rPr>
                <w:sz w:val="14"/>
              </w:rPr>
              <w:t>Affected tenant/scope; command/aggregate version; authoritative rows; outbox/inbox/DLQ/provider state where applicable; reconciliation result; repair/correction reference; owner and follow-up action.</w:t>
            </w:r>
          </w:p>
        </w:tc>
      </w:tr>
      <w:tr>
        <w:tc>
          <w:tcPr>
            <w:tcW w:type="dxa" w:w="852"/>
            <w:vAlign w:val="center"/>
          </w:tcPr>
          <w:p>
            <w:pPr>
              <w:spacing w:before="0" w:after="30"/>
            </w:pPr>
            <w:r>
              <w:rPr>
                <w:sz w:val="14"/>
              </w:rPr>
              <w:t>RB-COA-03</w:t>
            </w:r>
          </w:p>
        </w:tc>
        <w:tc>
          <w:tcPr>
            <w:tcW w:type="dxa" w:w="2019"/>
            <w:vAlign w:val="center"/>
          </w:tcPr>
          <w:p>
            <w:pPr>
              <w:spacing w:before="0" w:after="30"/>
            </w:pPr>
            <w:r>
              <w:rPr>
                <w:sz w:val="14"/>
              </w:rPr>
              <w:t>COA-03 - Nutrition Planning, Meals, Logging &amp; Adherence</w:t>
            </w:r>
          </w:p>
        </w:tc>
        <w:tc>
          <w:tcPr>
            <w:tcW w:type="dxa" w:w="2109"/>
            <w:vAlign w:val="center"/>
          </w:tcPr>
          <w:p>
            <w:pPr>
              <w:spacing w:before="0" w:after="30"/>
            </w:pPr>
            <w:r>
              <w:rPr>
                <w:sz w:val="14"/>
              </w:rPr>
              <w:t>PostgreSQL/object-media recovery; Restricted-data incident when applicable</w:t>
            </w:r>
          </w:p>
        </w:tc>
        <w:tc>
          <w:tcPr>
            <w:tcW w:type="dxa" w:w="1795"/>
            <w:vAlign w:val="center"/>
          </w:tcPr>
          <w:p>
            <w:pPr>
              <w:spacing w:before="0" w:after="30"/>
            </w:pPr>
            <w:r>
              <w:rPr>
                <w:sz w:val="14"/>
              </w:rPr>
              <w:t>Affected tenant/scope; command/aggregate version; authoritative rows; outbox/inbox/DLQ/provider state where applicable; reconciliation result; repair/correction reference; owner and follow-up action.</w:t>
            </w:r>
          </w:p>
        </w:tc>
      </w:tr>
      <w:tr>
        <w:tc>
          <w:tcPr>
            <w:tcW w:type="dxa" w:w="852"/>
            <w:vAlign w:val="center"/>
          </w:tcPr>
          <w:p>
            <w:pPr>
              <w:spacing w:before="0" w:after="30"/>
            </w:pPr>
            <w:r>
              <w:rPr>
                <w:sz w:val="14"/>
              </w:rPr>
              <w:t>RB-COA-04</w:t>
            </w:r>
          </w:p>
        </w:tc>
        <w:tc>
          <w:tcPr>
            <w:tcW w:type="dxa" w:w="2019"/>
            <w:vAlign w:val="center"/>
          </w:tcPr>
          <w:p>
            <w:pPr>
              <w:spacing w:before="0" w:after="30"/>
            </w:pPr>
            <w:r>
              <w:rPr>
                <w:sz w:val="14"/>
              </w:rPr>
              <w:t>COA-04 - Assessments, Measurements, Progress &amp; Outcomes</w:t>
            </w:r>
          </w:p>
        </w:tc>
        <w:tc>
          <w:tcPr>
            <w:tcW w:type="dxa" w:w="2109"/>
            <w:vAlign w:val="center"/>
          </w:tcPr>
          <w:p>
            <w:pPr>
              <w:spacing w:before="0" w:after="30"/>
            </w:pPr>
            <w:r>
              <w:rPr>
                <w:sz w:val="14"/>
              </w:rPr>
              <w:t>PostgreSQL/object-media recovery; Restricted-data incident when applicable</w:t>
            </w:r>
          </w:p>
        </w:tc>
        <w:tc>
          <w:tcPr>
            <w:tcW w:type="dxa" w:w="1795"/>
            <w:vAlign w:val="center"/>
          </w:tcPr>
          <w:p>
            <w:pPr>
              <w:spacing w:before="0" w:after="30"/>
            </w:pPr>
            <w:r>
              <w:rPr>
                <w:sz w:val="14"/>
              </w:rPr>
              <w:t>Affected tenant/scope; command/aggregate version; authoritative rows; outbox/inbox/DLQ/provider state where applicable; reconciliation result; repair/correction reference; owner and follow-up action.</w:t>
            </w:r>
          </w:p>
        </w:tc>
      </w:tr>
      <w:tr>
        <w:tc>
          <w:tcPr>
            <w:tcW w:type="dxa" w:w="852"/>
            <w:vAlign w:val="center"/>
          </w:tcPr>
          <w:p>
            <w:pPr>
              <w:spacing w:before="0" w:after="30"/>
            </w:pPr>
            <w:r>
              <w:rPr>
                <w:sz w:val="14"/>
              </w:rPr>
              <w:t>RB-COA-05</w:t>
            </w:r>
          </w:p>
        </w:tc>
        <w:tc>
          <w:tcPr>
            <w:tcW w:type="dxa" w:w="2019"/>
            <w:vAlign w:val="center"/>
          </w:tcPr>
          <w:p>
            <w:pPr>
              <w:spacing w:before="0" w:after="30"/>
            </w:pPr>
            <w:r>
              <w:rPr>
                <w:sz w:val="14"/>
              </w:rPr>
              <w:t>COA-05 - Health, Safety, Consent &amp; Incident Management</w:t>
            </w:r>
          </w:p>
        </w:tc>
        <w:tc>
          <w:tcPr>
            <w:tcW w:type="dxa" w:w="2109"/>
            <w:vAlign w:val="center"/>
          </w:tcPr>
          <w:p>
            <w:pPr>
              <w:spacing w:before="0" w:after="30"/>
            </w:pPr>
            <w:r>
              <w:rPr>
                <w:sz w:val="14"/>
              </w:rPr>
              <w:t>PostgreSQL/object-media recovery; Restricted-data incident when applicable</w:t>
            </w:r>
          </w:p>
        </w:tc>
        <w:tc>
          <w:tcPr>
            <w:tcW w:type="dxa" w:w="1795"/>
            <w:vAlign w:val="center"/>
          </w:tcPr>
          <w:p>
            <w:pPr>
              <w:spacing w:before="0" w:after="30"/>
            </w:pPr>
            <w:r>
              <w:rPr>
                <w:sz w:val="14"/>
              </w:rPr>
              <w:t>Affected tenant/scope; command/aggregate version; authoritative rows; outbox/inbox/DLQ/provider state where applicable; reconciliation result; repair/correction reference; owner and follow-up action.</w:t>
            </w:r>
          </w:p>
        </w:tc>
      </w:tr>
      <w:tr>
        <w:tc>
          <w:tcPr>
            <w:tcW w:type="dxa" w:w="852"/>
            <w:vAlign w:val="center"/>
          </w:tcPr>
          <w:p>
            <w:pPr>
              <w:spacing w:before="0" w:after="30"/>
            </w:pPr>
            <w:r>
              <w:rPr>
                <w:sz w:val="14"/>
              </w:rPr>
              <w:t>RB-ENG-01</w:t>
            </w:r>
          </w:p>
        </w:tc>
        <w:tc>
          <w:tcPr>
            <w:tcW w:type="dxa" w:w="2019"/>
            <w:vAlign w:val="center"/>
          </w:tcPr>
          <w:p>
            <w:pPr>
              <w:spacing w:before="0" w:after="30"/>
            </w:pPr>
            <w:r>
              <w:rPr>
                <w:sz w:val="14"/>
              </w:rPr>
              <w:t>ENG-01 - Unified Inbox, Messaging &amp; Contextual Communication</w:t>
            </w:r>
          </w:p>
        </w:tc>
        <w:tc>
          <w:tcPr>
            <w:tcW w:type="dxa" w:w="2109"/>
            <w:vAlign w:val="center"/>
          </w:tcPr>
          <w:p>
            <w:pPr>
              <w:spacing w:before="0" w:after="30"/>
            </w:pPr>
            <w:r>
              <w:rPr>
                <w:sz w:val="14"/>
              </w:rPr>
              <w:t>Notification/WhatsApp provider outage</w:t>
            </w:r>
          </w:p>
        </w:tc>
        <w:tc>
          <w:tcPr>
            <w:tcW w:type="dxa" w:w="1795"/>
            <w:vAlign w:val="center"/>
          </w:tcPr>
          <w:p>
            <w:pPr>
              <w:spacing w:before="0" w:after="30"/>
            </w:pPr>
            <w:r>
              <w:rPr>
                <w:sz w:val="14"/>
              </w:rPr>
              <w:t>Affected tenant/scope; command/aggregate version; authoritative rows; outbox/inbox/DLQ/provider state where applicable; reconciliation result; repair/correction reference; owner and follow-up action.</w:t>
            </w:r>
          </w:p>
        </w:tc>
      </w:tr>
      <w:tr>
        <w:tc>
          <w:tcPr>
            <w:tcW w:type="dxa" w:w="852"/>
            <w:vAlign w:val="center"/>
          </w:tcPr>
          <w:p>
            <w:pPr>
              <w:spacing w:before="0" w:after="30"/>
            </w:pPr>
            <w:r>
              <w:rPr>
                <w:sz w:val="14"/>
              </w:rPr>
              <w:t>RB-ENG-02</w:t>
            </w:r>
          </w:p>
        </w:tc>
        <w:tc>
          <w:tcPr>
            <w:tcW w:type="dxa" w:w="2019"/>
            <w:vAlign w:val="center"/>
          </w:tcPr>
          <w:p>
            <w:pPr>
              <w:spacing w:before="0" w:after="30"/>
            </w:pPr>
            <w:r>
              <w:rPr>
                <w:sz w:val="14"/>
              </w:rPr>
              <w:t>ENG-02 - Notification Platform, Templates &amp; Preferences</w:t>
            </w:r>
          </w:p>
        </w:tc>
        <w:tc>
          <w:tcPr>
            <w:tcW w:type="dxa" w:w="2109"/>
            <w:vAlign w:val="center"/>
          </w:tcPr>
          <w:p>
            <w:pPr>
              <w:spacing w:before="0" w:after="30"/>
            </w:pPr>
            <w:r>
              <w:rPr>
                <w:sz w:val="14"/>
              </w:rPr>
              <w:t>Notification/WhatsApp provider outage</w:t>
            </w:r>
          </w:p>
        </w:tc>
        <w:tc>
          <w:tcPr>
            <w:tcW w:type="dxa" w:w="1795"/>
            <w:vAlign w:val="center"/>
          </w:tcPr>
          <w:p>
            <w:pPr>
              <w:spacing w:before="0" w:after="30"/>
            </w:pPr>
            <w:r>
              <w:rPr>
                <w:sz w:val="14"/>
              </w:rPr>
              <w:t>Affected tenant/scope; command/aggregate version; authoritative rows; outbox/inbox/DLQ/provider state where applicable; reconciliation result; repair/correction reference; owner and follow-up action.</w:t>
            </w:r>
          </w:p>
        </w:tc>
      </w:tr>
      <w:tr>
        <w:tc>
          <w:tcPr>
            <w:tcW w:type="dxa" w:w="852"/>
            <w:vAlign w:val="center"/>
          </w:tcPr>
          <w:p>
            <w:pPr>
              <w:spacing w:before="0" w:after="30"/>
            </w:pPr>
            <w:r>
              <w:rPr>
                <w:sz w:val="14"/>
              </w:rPr>
              <w:t>RB-ENG-03</w:t>
            </w:r>
          </w:p>
        </w:tc>
        <w:tc>
          <w:tcPr>
            <w:tcW w:type="dxa" w:w="2019"/>
            <w:vAlign w:val="center"/>
          </w:tcPr>
          <w:p>
            <w:pPr>
              <w:spacing w:before="0" w:after="30"/>
            </w:pPr>
            <w:r>
              <w:rPr>
                <w:sz w:val="14"/>
              </w:rPr>
              <w:t>ENG-03 - Community, Challenges, Achievements &amp; Rewards</w:t>
            </w:r>
          </w:p>
        </w:tc>
        <w:tc>
          <w:tcPr>
            <w:tcW w:type="dxa" w:w="2109"/>
            <w:vAlign w:val="center"/>
          </w:tcPr>
          <w:p>
            <w:pPr>
              <w:spacing w:before="0" w:after="30"/>
            </w:pPr>
            <w:r>
              <w:rPr>
                <w:sz w:val="14"/>
              </w:rPr>
              <w:t>PostgreSQL saturation/failover/restore; domain reconciliation and dependency outage</w:t>
            </w:r>
          </w:p>
        </w:tc>
        <w:tc>
          <w:tcPr>
            <w:tcW w:type="dxa" w:w="1795"/>
            <w:vAlign w:val="center"/>
          </w:tcPr>
          <w:p>
            <w:pPr>
              <w:spacing w:before="0" w:after="30"/>
            </w:pPr>
            <w:r>
              <w:rPr>
                <w:sz w:val="14"/>
              </w:rPr>
              <w:t>Affected tenant/scope; command/aggregate version; authoritative rows; outbox/inbox/DLQ/provider state where applicable; reconciliation result; repair/correction reference; owner and follow-up action.</w:t>
            </w:r>
          </w:p>
        </w:tc>
      </w:tr>
      <w:tr>
        <w:tc>
          <w:tcPr>
            <w:tcW w:type="dxa" w:w="852"/>
            <w:vAlign w:val="center"/>
          </w:tcPr>
          <w:p>
            <w:pPr>
              <w:spacing w:before="0" w:after="30"/>
            </w:pPr>
            <w:r>
              <w:rPr>
                <w:sz w:val="14"/>
              </w:rPr>
              <w:t>RB-ENG-04</w:t>
            </w:r>
          </w:p>
        </w:tc>
        <w:tc>
          <w:tcPr>
            <w:tcW w:type="dxa" w:w="2019"/>
            <w:vAlign w:val="center"/>
          </w:tcPr>
          <w:p>
            <w:pPr>
              <w:spacing w:before="0" w:after="30"/>
            </w:pPr>
            <w:r>
              <w:rPr>
                <w:sz w:val="14"/>
              </w:rPr>
              <w:t>ENG-04 - Member Self-Service, Digital Card &amp; Service Requests</w:t>
            </w:r>
          </w:p>
        </w:tc>
        <w:tc>
          <w:tcPr>
            <w:tcW w:type="dxa" w:w="2109"/>
            <w:vAlign w:val="center"/>
          </w:tcPr>
          <w:p>
            <w:pPr>
              <w:spacing w:before="0" w:after="30"/>
            </w:pPr>
            <w:r>
              <w:rPr>
                <w:sz w:val="14"/>
              </w:rPr>
              <w:t>PostgreSQL saturation/failover/restore; domain reconciliation and dependency outage</w:t>
            </w:r>
          </w:p>
        </w:tc>
        <w:tc>
          <w:tcPr>
            <w:tcW w:type="dxa" w:w="1795"/>
            <w:vAlign w:val="center"/>
          </w:tcPr>
          <w:p>
            <w:pPr>
              <w:spacing w:before="0" w:after="30"/>
            </w:pPr>
            <w:r>
              <w:rPr>
                <w:sz w:val="14"/>
              </w:rPr>
              <w:t>Affected tenant/scope; command/aggregate version; authoritative rows; outbox/inbox/DLQ/provider state where applicable; reconciliation result; repair/correction reference; owner and follow-up action.</w:t>
            </w:r>
          </w:p>
        </w:tc>
      </w:tr>
      <w:tr>
        <w:tc>
          <w:tcPr>
            <w:tcW w:type="dxa" w:w="852"/>
            <w:vAlign w:val="center"/>
          </w:tcPr>
          <w:p>
            <w:pPr>
              <w:spacing w:before="0" w:after="30"/>
            </w:pPr>
            <w:r>
              <w:rPr>
                <w:sz w:val="14"/>
              </w:rPr>
              <w:t>RB-AUT-01</w:t>
            </w:r>
          </w:p>
        </w:tc>
        <w:tc>
          <w:tcPr>
            <w:tcW w:type="dxa" w:w="2019"/>
            <w:vAlign w:val="center"/>
          </w:tcPr>
          <w:p>
            <w:pPr>
              <w:spacing w:before="0" w:after="30"/>
            </w:pPr>
            <w:r>
              <w:rPr>
                <w:sz w:val="14"/>
              </w:rPr>
              <w:t>AUT-01 - Automation &amp; Workflow Orchestration</w:t>
            </w:r>
          </w:p>
        </w:tc>
        <w:tc>
          <w:tcPr>
            <w:tcW w:type="dxa" w:w="2109"/>
            <w:vAlign w:val="center"/>
          </w:tcPr>
          <w:p>
            <w:pPr>
              <w:spacing w:before="0" w:after="30"/>
            </w:pPr>
            <w:r>
              <w:rPr>
                <w:sz w:val="14"/>
              </w:rPr>
              <w:t>Event bus lag/DLQ growth / workflow backlog / projection staleness</w:t>
            </w:r>
          </w:p>
        </w:tc>
        <w:tc>
          <w:tcPr>
            <w:tcW w:type="dxa" w:w="1795"/>
            <w:vAlign w:val="center"/>
          </w:tcPr>
          <w:p>
            <w:pPr>
              <w:spacing w:before="0" w:after="30"/>
            </w:pPr>
            <w:r>
              <w:rPr>
                <w:sz w:val="14"/>
              </w:rPr>
              <w:t>Affected tenant/scope; command/aggregate version; authoritative rows; outbox/inbox/DLQ/provider state where applicable; reconciliation result; repair/correction reference; owner and follow-up action.</w:t>
            </w:r>
          </w:p>
        </w:tc>
      </w:tr>
      <w:tr>
        <w:tc>
          <w:tcPr>
            <w:tcW w:type="dxa" w:w="852"/>
            <w:vAlign w:val="center"/>
          </w:tcPr>
          <w:p>
            <w:pPr>
              <w:spacing w:before="0" w:after="30"/>
            </w:pPr>
            <w:r>
              <w:rPr>
                <w:sz w:val="14"/>
              </w:rPr>
              <w:t>RB-AUT-02</w:t>
            </w:r>
          </w:p>
        </w:tc>
        <w:tc>
          <w:tcPr>
            <w:tcW w:type="dxa" w:w="2019"/>
            <w:vAlign w:val="center"/>
          </w:tcPr>
          <w:p>
            <w:pPr>
              <w:spacing w:before="0" w:after="30"/>
            </w:pPr>
            <w:r>
              <w:rPr>
                <w:sz w:val="14"/>
              </w:rPr>
              <w:t>AUT-02 - Tasks, Cases, Approvals, SLAs &amp; Escalations</w:t>
            </w:r>
          </w:p>
        </w:tc>
        <w:tc>
          <w:tcPr>
            <w:tcW w:type="dxa" w:w="2109"/>
            <w:vAlign w:val="center"/>
          </w:tcPr>
          <w:p>
            <w:pPr>
              <w:spacing w:before="0" w:after="30"/>
            </w:pPr>
            <w:r>
              <w:rPr>
                <w:sz w:val="14"/>
              </w:rPr>
              <w:t>Event bus lag/DLQ growth / workflow backlog / projection staleness</w:t>
            </w:r>
          </w:p>
        </w:tc>
        <w:tc>
          <w:tcPr>
            <w:tcW w:type="dxa" w:w="1795"/>
            <w:vAlign w:val="center"/>
          </w:tcPr>
          <w:p>
            <w:pPr>
              <w:spacing w:before="0" w:after="30"/>
            </w:pPr>
            <w:r>
              <w:rPr>
                <w:sz w:val="14"/>
              </w:rPr>
              <w:t>Affected tenant/scope; command/aggregate version; authoritative rows; outbox/inbox/DLQ/provider state where applicable; reconciliation result; repair/correction reference; owner and follow-up action.</w:t>
            </w:r>
          </w:p>
        </w:tc>
      </w:tr>
      <w:tr>
        <w:tc>
          <w:tcPr>
            <w:tcW w:type="dxa" w:w="852"/>
            <w:vAlign w:val="center"/>
          </w:tcPr>
          <w:p>
            <w:pPr>
              <w:spacing w:before="0" w:after="30"/>
            </w:pPr>
            <w:r>
              <w:rPr>
                <w:sz w:val="14"/>
              </w:rPr>
              <w:t>RB-INT-01</w:t>
            </w:r>
          </w:p>
        </w:tc>
        <w:tc>
          <w:tcPr>
            <w:tcW w:type="dxa" w:w="2019"/>
            <w:vAlign w:val="center"/>
          </w:tcPr>
          <w:p>
            <w:pPr>
              <w:spacing w:before="0" w:after="30"/>
            </w:pPr>
            <w:r>
              <w:rPr>
                <w:sz w:val="14"/>
              </w:rPr>
              <w:t>INT-01 - Operational Analytics, BI, Forecasting &amp; Benchmarking</w:t>
            </w:r>
          </w:p>
        </w:tc>
        <w:tc>
          <w:tcPr>
            <w:tcW w:type="dxa" w:w="2109"/>
            <w:vAlign w:val="center"/>
          </w:tcPr>
          <w:p>
            <w:pPr>
              <w:spacing w:before="0" w:after="30"/>
            </w:pPr>
            <w:r>
              <w:rPr>
                <w:sz w:val="14"/>
              </w:rPr>
              <w:t>PostgreSQL saturation/failover/restore; domain reconciliation and dependency outage</w:t>
            </w:r>
          </w:p>
        </w:tc>
        <w:tc>
          <w:tcPr>
            <w:tcW w:type="dxa" w:w="1795"/>
            <w:vAlign w:val="center"/>
          </w:tcPr>
          <w:p>
            <w:pPr>
              <w:spacing w:before="0" w:after="30"/>
            </w:pPr>
            <w:r>
              <w:rPr>
                <w:sz w:val="14"/>
              </w:rPr>
              <w:t>Affected tenant/scope; command/aggregate version; authoritative rows; outbox/inbox/DLQ/provider state where applicable; reconciliation result; repair/correction reference; owner and follow-up action.</w:t>
            </w:r>
          </w:p>
        </w:tc>
      </w:tr>
      <w:tr>
        <w:tc>
          <w:tcPr>
            <w:tcW w:type="dxa" w:w="852"/>
            <w:vAlign w:val="center"/>
          </w:tcPr>
          <w:p>
            <w:pPr>
              <w:spacing w:before="0" w:after="30"/>
            </w:pPr>
            <w:r>
              <w:rPr>
                <w:sz w:val="14"/>
              </w:rPr>
              <w:t>RB-INT-02</w:t>
            </w:r>
          </w:p>
        </w:tc>
        <w:tc>
          <w:tcPr>
            <w:tcW w:type="dxa" w:w="2019"/>
            <w:vAlign w:val="center"/>
          </w:tcPr>
          <w:p>
            <w:pPr>
              <w:spacing w:before="0" w:after="30"/>
            </w:pPr>
            <w:r>
              <w:rPr>
                <w:sz w:val="14"/>
              </w:rPr>
              <w:t>INT-02 - AI Platform, Copilots, Agents &amp; Governance</w:t>
            </w:r>
          </w:p>
        </w:tc>
        <w:tc>
          <w:tcPr>
            <w:tcW w:type="dxa" w:w="2109"/>
            <w:vAlign w:val="center"/>
          </w:tcPr>
          <w:p>
            <w:pPr>
              <w:spacing w:before="0" w:after="30"/>
            </w:pPr>
            <w:r>
              <w:rPr>
                <w:sz w:val="14"/>
              </w:rPr>
              <w:t>AI provider outage or unsafe-output incident</w:t>
            </w:r>
          </w:p>
        </w:tc>
        <w:tc>
          <w:tcPr>
            <w:tcW w:type="dxa" w:w="1795"/>
            <w:vAlign w:val="center"/>
          </w:tcPr>
          <w:p>
            <w:pPr>
              <w:spacing w:before="0" w:after="30"/>
            </w:pPr>
            <w:r>
              <w:rPr>
                <w:sz w:val="14"/>
              </w:rPr>
              <w:t>Affected tenant/scope; command/aggregate version; authoritative rows; outbox/inbox/DLQ/provider state where applicable; reconciliation result; repair/correction reference; owner and follow-up action.</w:t>
            </w:r>
          </w:p>
        </w:tc>
      </w:tr>
      <w:tr>
        <w:tc>
          <w:tcPr>
            <w:tcW w:type="dxa" w:w="852"/>
            <w:vAlign w:val="center"/>
          </w:tcPr>
          <w:p>
            <w:pPr>
              <w:spacing w:before="0" w:after="30"/>
            </w:pPr>
            <w:r>
              <w:rPr>
                <w:sz w:val="14"/>
              </w:rPr>
              <w:t>RB-INT-03</w:t>
            </w:r>
          </w:p>
        </w:tc>
        <w:tc>
          <w:tcPr>
            <w:tcW w:type="dxa" w:w="2019"/>
            <w:vAlign w:val="center"/>
          </w:tcPr>
          <w:p>
            <w:pPr>
              <w:spacing w:before="0" w:after="30"/>
            </w:pPr>
            <w:r>
              <w:rPr>
                <w:sz w:val="14"/>
              </w:rPr>
              <w:t>INT-03 - Global Search, Command Bar &amp; Knowledge Navigation</w:t>
            </w:r>
          </w:p>
        </w:tc>
        <w:tc>
          <w:tcPr>
            <w:tcW w:type="dxa" w:w="2109"/>
            <w:vAlign w:val="center"/>
          </w:tcPr>
          <w:p>
            <w:pPr>
              <w:spacing w:before="0" w:after="30"/>
            </w:pPr>
            <w:r>
              <w:rPr>
                <w:sz w:val="14"/>
              </w:rPr>
              <w:t>Search outage/stale indexing</w:t>
            </w:r>
          </w:p>
        </w:tc>
        <w:tc>
          <w:tcPr>
            <w:tcW w:type="dxa" w:w="1795"/>
            <w:vAlign w:val="center"/>
          </w:tcPr>
          <w:p>
            <w:pPr>
              <w:spacing w:before="0" w:after="30"/>
            </w:pPr>
            <w:r>
              <w:rPr>
                <w:sz w:val="14"/>
              </w:rPr>
              <w:t>Affected tenant/scope; command/aggregate version; authoritative rows; outbox/inbox/DLQ/provider state where applicable; reconciliation result; repair/correction reference; owner and follow-up action.</w:t>
            </w:r>
          </w:p>
        </w:tc>
      </w:tr>
      <w:tr>
        <w:tc>
          <w:tcPr>
            <w:tcW w:type="dxa" w:w="852"/>
            <w:vAlign w:val="center"/>
          </w:tcPr>
          <w:p>
            <w:pPr>
              <w:spacing w:before="0" w:after="30"/>
            </w:pPr>
            <w:r>
              <w:rPr>
                <w:sz w:val="14"/>
              </w:rPr>
              <w:t>RB-B2B-01</w:t>
            </w:r>
          </w:p>
        </w:tc>
        <w:tc>
          <w:tcPr>
            <w:tcW w:type="dxa" w:w="2019"/>
            <w:vAlign w:val="center"/>
          </w:tcPr>
          <w:p>
            <w:pPr>
              <w:spacing w:before="0" w:after="30"/>
            </w:pPr>
            <w:r>
              <w:rPr>
                <w:sz w:val="14"/>
              </w:rPr>
              <w:t>B2B-01 - Corporate Memberships &amp; Employer Portal</w:t>
            </w:r>
          </w:p>
        </w:tc>
        <w:tc>
          <w:tcPr>
            <w:tcW w:type="dxa" w:w="2109"/>
            <w:vAlign w:val="center"/>
          </w:tcPr>
          <w:p>
            <w:pPr>
              <w:spacing w:before="0" w:after="30"/>
            </w:pPr>
            <w:r>
              <w:rPr>
                <w:sz w:val="14"/>
              </w:rPr>
              <w:t>PostgreSQL + financial/eligibility/governance reconciliation</w:t>
            </w:r>
          </w:p>
        </w:tc>
        <w:tc>
          <w:tcPr>
            <w:tcW w:type="dxa" w:w="1795"/>
            <w:vAlign w:val="center"/>
          </w:tcPr>
          <w:p>
            <w:pPr>
              <w:spacing w:before="0" w:after="30"/>
            </w:pPr>
            <w:r>
              <w:rPr>
                <w:sz w:val="14"/>
              </w:rPr>
              <w:t>Affected tenant/scope; command/aggregate version; authoritative rows; outbox/inbox/DLQ/provider state where applicable; reconciliation result; repair/correction reference; owner and follow-up action.</w:t>
            </w:r>
          </w:p>
        </w:tc>
      </w:tr>
      <w:tr>
        <w:tc>
          <w:tcPr>
            <w:tcW w:type="dxa" w:w="852"/>
            <w:vAlign w:val="center"/>
          </w:tcPr>
          <w:p>
            <w:pPr>
              <w:spacing w:before="0" w:after="30"/>
            </w:pPr>
            <w:r>
              <w:rPr>
                <w:sz w:val="14"/>
              </w:rPr>
              <w:t>RB-B2B-02</w:t>
            </w:r>
          </w:p>
        </w:tc>
        <w:tc>
          <w:tcPr>
            <w:tcW w:type="dxa" w:w="2019"/>
            <w:vAlign w:val="center"/>
          </w:tcPr>
          <w:p>
            <w:pPr>
              <w:spacing w:before="0" w:after="30"/>
            </w:pPr>
            <w:r>
              <w:rPr>
                <w:sz w:val="14"/>
              </w:rPr>
              <w:t>B2B-02 - Franchise, Multi-brand &amp; Chain Command Center</w:t>
            </w:r>
          </w:p>
        </w:tc>
        <w:tc>
          <w:tcPr>
            <w:tcW w:type="dxa" w:w="2109"/>
            <w:vAlign w:val="center"/>
          </w:tcPr>
          <w:p>
            <w:pPr>
              <w:spacing w:before="0" w:after="30"/>
            </w:pPr>
            <w:r>
              <w:rPr>
                <w:sz w:val="14"/>
              </w:rPr>
              <w:t>PostgreSQL + financial/eligibility/governance reconciliation</w:t>
            </w:r>
          </w:p>
        </w:tc>
        <w:tc>
          <w:tcPr>
            <w:tcW w:type="dxa" w:w="1795"/>
            <w:vAlign w:val="center"/>
          </w:tcPr>
          <w:p>
            <w:pPr>
              <w:spacing w:before="0" w:after="30"/>
            </w:pPr>
            <w:r>
              <w:rPr>
                <w:sz w:val="14"/>
              </w:rPr>
              <w:t>Affected tenant/scope; command/aggregate version; authoritative rows; outbox/inbox/DLQ/provider state where applicable; reconciliation result; repair/correction reference; owner and follow-up action.</w:t>
            </w:r>
          </w:p>
        </w:tc>
      </w:tr>
      <w:tr>
        <w:tc>
          <w:tcPr>
            <w:tcW w:type="dxa" w:w="852"/>
            <w:vAlign w:val="center"/>
          </w:tcPr>
          <w:p>
            <w:pPr>
              <w:spacing w:before="0" w:after="30"/>
            </w:pPr>
            <w:r>
              <w:rPr>
                <w:sz w:val="14"/>
              </w:rPr>
              <w:t>RB-ECO-01</w:t>
            </w:r>
          </w:p>
        </w:tc>
        <w:tc>
          <w:tcPr>
            <w:tcW w:type="dxa" w:w="2019"/>
            <w:vAlign w:val="center"/>
          </w:tcPr>
          <w:p>
            <w:pPr>
              <w:spacing w:before="0" w:after="30"/>
            </w:pPr>
            <w:r>
              <w:rPr>
                <w:sz w:val="14"/>
              </w:rPr>
              <w:t>ECO-01 - Developer Platform, APIs, Webhooks &amp; Sandbox</w:t>
            </w:r>
          </w:p>
        </w:tc>
        <w:tc>
          <w:tcPr>
            <w:tcW w:type="dxa" w:w="2109"/>
            <w:vAlign w:val="center"/>
          </w:tcPr>
          <w:p>
            <w:pPr>
              <w:spacing w:before="0" w:after="30"/>
            </w:pPr>
            <w:r>
              <w:rPr>
                <w:sz w:val="14"/>
              </w:rPr>
              <w:t>Provider/integration outage; secret/cursor/reconciliation recovery</w:t>
            </w:r>
          </w:p>
        </w:tc>
        <w:tc>
          <w:tcPr>
            <w:tcW w:type="dxa" w:w="1795"/>
            <w:vAlign w:val="center"/>
          </w:tcPr>
          <w:p>
            <w:pPr>
              <w:spacing w:before="0" w:after="30"/>
            </w:pPr>
            <w:r>
              <w:rPr>
                <w:sz w:val="14"/>
              </w:rPr>
              <w:t>Affected tenant/scope; command/aggregate version; authoritative rows; outbox/inbox/DLQ/provider state where applicable; reconciliation result; repair/correction reference; owner and follow-up action.</w:t>
            </w:r>
          </w:p>
        </w:tc>
      </w:tr>
      <w:tr>
        <w:tc>
          <w:tcPr>
            <w:tcW w:type="dxa" w:w="852"/>
            <w:vAlign w:val="center"/>
          </w:tcPr>
          <w:p>
            <w:pPr>
              <w:spacing w:before="0" w:after="30"/>
            </w:pPr>
            <w:r>
              <w:rPr>
                <w:sz w:val="14"/>
              </w:rPr>
              <w:t>RB-ECO-02</w:t>
            </w:r>
          </w:p>
        </w:tc>
        <w:tc>
          <w:tcPr>
            <w:tcW w:type="dxa" w:w="2019"/>
            <w:vAlign w:val="center"/>
          </w:tcPr>
          <w:p>
            <w:pPr>
              <w:spacing w:before="0" w:after="30"/>
            </w:pPr>
            <w:r>
              <w:rPr>
                <w:sz w:val="14"/>
              </w:rPr>
              <w:t>ECO-02 - Integration Framework, Marketplace &amp; Partner Ecosystem</w:t>
            </w:r>
          </w:p>
        </w:tc>
        <w:tc>
          <w:tcPr>
            <w:tcW w:type="dxa" w:w="2109"/>
            <w:vAlign w:val="center"/>
          </w:tcPr>
          <w:p>
            <w:pPr>
              <w:spacing w:before="0" w:after="30"/>
            </w:pPr>
            <w:r>
              <w:rPr>
                <w:sz w:val="14"/>
              </w:rPr>
              <w:t>Provider/integration outage; secret/cursor/reconciliation recovery</w:t>
            </w:r>
          </w:p>
        </w:tc>
        <w:tc>
          <w:tcPr>
            <w:tcW w:type="dxa" w:w="1795"/>
            <w:vAlign w:val="center"/>
          </w:tcPr>
          <w:p>
            <w:pPr>
              <w:spacing w:before="0" w:after="30"/>
            </w:pPr>
            <w:r>
              <w:rPr>
                <w:sz w:val="14"/>
              </w:rPr>
              <w:t>Affected tenant/scope; command/aggregate version; authoritative rows; outbox/inbox/DLQ/provider state where applicable; reconciliation result; repair/correction reference; owner and follow-up action.</w:t>
            </w:r>
          </w:p>
        </w:tc>
      </w:tr>
      <w:tr>
        <w:tc>
          <w:tcPr>
            <w:tcW w:type="dxa" w:w="852"/>
            <w:vAlign w:val="center"/>
          </w:tcPr>
          <w:p>
            <w:pPr>
              <w:spacing w:before="0" w:after="30"/>
            </w:pPr>
            <w:r>
              <w:rPr>
                <w:sz w:val="14"/>
              </w:rPr>
              <w:t>RB-ECO-03</w:t>
            </w:r>
          </w:p>
        </w:tc>
        <w:tc>
          <w:tcPr>
            <w:tcW w:type="dxa" w:w="2019"/>
            <w:vAlign w:val="center"/>
          </w:tcPr>
          <w:p>
            <w:pPr>
              <w:spacing w:before="0" w:after="30"/>
            </w:pPr>
            <w:r>
              <w:rPr>
                <w:sz w:val="14"/>
              </w:rPr>
              <w:t>ECO-03 - Hardware Abstraction, Edge Runtime &amp; Device Fleet</w:t>
            </w:r>
          </w:p>
        </w:tc>
        <w:tc>
          <w:tcPr>
            <w:tcW w:type="dxa" w:w="2109"/>
            <w:vAlign w:val="center"/>
          </w:tcPr>
          <w:p>
            <w:pPr>
              <w:spacing w:before="0" w:after="30"/>
            </w:pPr>
            <w:r>
              <w:rPr>
                <w:sz w:val="14"/>
              </w:rPr>
              <w:t>Access decision service / edge degraded mode; biometric/device fleet incident</w:t>
            </w:r>
          </w:p>
        </w:tc>
        <w:tc>
          <w:tcPr>
            <w:tcW w:type="dxa" w:w="1795"/>
            <w:vAlign w:val="center"/>
          </w:tcPr>
          <w:p>
            <w:pPr>
              <w:spacing w:before="0" w:after="30"/>
            </w:pPr>
            <w:r>
              <w:rPr>
                <w:sz w:val="14"/>
              </w:rPr>
              <w:t>Affected tenant/scope; command/aggregate version; authoritative rows; outbox/inbox/DLQ/provider state where applicable; reconciliation result; repair/correction reference; owner and follow-up action.</w:t>
            </w:r>
          </w:p>
        </w:tc>
      </w:tr>
      <w:tr>
        <w:tc>
          <w:tcPr>
            <w:tcW w:type="dxa" w:w="852"/>
            <w:vAlign w:val="center"/>
          </w:tcPr>
          <w:p>
            <w:pPr>
              <w:spacing w:before="0" w:after="30"/>
            </w:pPr>
            <w:r>
              <w:rPr>
                <w:sz w:val="14"/>
              </w:rPr>
              <w:t>RB-WHT-01</w:t>
            </w:r>
          </w:p>
        </w:tc>
        <w:tc>
          <w:tcPr>
            <w:tcW w:type="dxa" w:w="2019"/>
            <w:vAlign w:val="center"/>
          </w:tcPr>
          <w:p>
            <w:pPr>
              <w:spacing w:before="0" w:after="30"/>
            </w:pPr>
            <w:r>
              <w:rPr>
                <w:sz w:val="14"/>
              </w:rPr>
              <w:t>WHT-01 - White-label, App Builder, CMS &amp; Mobile Release Operations</w:t>
            </w:r>
          </w:p>
        </w:tc>
        <w:tc>
          <w:tcPr>
            <w:tcW w:type="dxa" w:w="2109"/>
            <w:vAlign w:val="center"/>
          </w:tcPr>
          <w:p>
            <w:pPr>
              <w:spacing w:before="0" w:after="30"/>
            </w:pPr>
            <w:r>
              <w:rPr>
                <w:sz w:val="14"/>
              </w:rPr>
              <w:t>Bad deployment/schema/config release rollback</w:t>
            </w:r>
          </w:p>
        </w:tc>
        <w:tc>
          <w:tcPr>
            <w:tcW w:type="dxa" w:w="1795"/>
            <w:vAlign w:val="center"/>
          </w:tcPr>
          <w:p>
            <w:pPr>
              <w:spacing w:before="0" w:after="30"/>
            </w:pPr>
            <w:r>
              <w:rPr>
                <w:sz w:val="14"/>
              </w:rPr>
              <w:t>Affected tenant/scope; command/aggregate version; authoritative rows; outbox/inbox/DLQ/provider state where applicable; reconciliation result; repair/correction reference; owner and follow-up action.</w:t>
            </w:r>
          </w:p>
        </w:tc>
      </w:tr>
      <w:tr>
        <w:tc>
          <w:tcPr>
            <w:tcW w:type="dxa" w:w="852"/>
            <w:vAlign w:val="center"/>
          </w:tcPr>
          <w:p>
            <w:pPr>
              <w:spacing w:before="0" w:after="30"/>
            </w:pPr>
            <w:r>
              <w:rPr>
                <w:sz w:val="14"/>
              </w:rPr>
              <w:t>RB-WHT-02</w:t>
            </w:r>
          </w:p>
        </w:tc>
        <w:tc>
          <w:tcPr>
            <w:tcW w:type="dxa" w:w="2019"/>
            <w:vAlign w:val="center"/>
          </w:tcPr>
          <w:p>
            <w:pPr>
              <w:spacing w:before="0" w:after="30"/>
            </w:pPr>
            <w:r>
              <w:rPr>
                <w:sz w:val="14"/>
              </w:rPr>
              <w:t>WHT-02 - Localization, RTL, Accessibility &amp; Regional Policy</w:t>
            </w:r>
          </w:p>
        </w:tc>
        <w:tc>
          <w:tcPr>
            <w:tcW w:type="dxa" w:w="2109"/>
            <w:vAlign w:val="center"/>
          </w:tcPr>
          <w:p>
            <w:pPr>
              <w:spacing w:before="0" w:after="30"/>
            </w:pPr>
            <w:r>
              <w:rPr>
                <w:sz w:val="14"/>
              </w:rPr>
              <w:t>PostgreSQL saturation/failover/restore; domain reconciliation and dependency outage</w:t>
            </w:r>
          </w:p>
        </w:tc>
        <w:tc>
          <w:tcPr>
            <w:tcW w:type="dxa" w:w="1795"/>
            <w:vAlign w:val="center"/>
          </w:tcPr>
          <w:p>
            <w:pPr>
              <w:spacing w:before="0" w:after="30"/>
            </w:pPr>
            <w:r>
              <w:rPr>
                <w:sz w:val="14"/>
              </w:rPr>
              <w:t>Affected tenant/scope; command/aggregate version; authoritative rows; outbox/inbox/DLQ/provider state where applicable; reconciliation result; repair/correction reference; owner and follow-up action.</w:t>
            </w:r>
          </w:p>
        </w:tc>
      </w:tr>
      <w:tr>
        <w:tc>
          <w:tcPr>
            <w:tcW w:type="dxa" w:w="852"/>
            <w:vAlign w:val="center"/>
          </w:tcPr>
          <w:p>
            <w:pPr>
              <w:spacing w:before="0" w:after="30"/>
            </w:pPr>
            <w:r>
              <w:rPr>
                <w:sz w:val="14"/>
              </w:rPr>
              <w:t>RB-DAT-01</w:t>
            </w:r>
          </w:p>
        </w:tc>
        <w:tc>
          <w:tcPr>
            <w:tcW w:type="dxa" w:w="2019"/>
            <w:vAlign w:val="center"/>
          </w:tcPr>
          <w:p>
            <w:pPr>
              <w:spacing w:before="0" w:after="30"/>
            </w:pPr>
            <w:r>
              <w:rPr>
                <w:sz w:val="14"/>
              </w:rPr>
              <w:t>DAT-01 - Domain Events, Event Bus &amp; Operational Timeline</w:t>
            </w:r>
          </w:p>
        </w:tc>
        <w:tc>
          <w:tcPr>
            <w:tcW w:type="dxa" w:w="2109"/>
            <w:vAlign w:val="center"/>
          </w:tcPr>
          <w:p>
            <w:pPr>
              <w:spacing w:before="0" w:after="30"/>
            </w:pPr>
            <w:r>
              <w:rPr>
                <w:sz w:val="14"/>
              </w:rPr>
              <w:t>Event bus lag/DLQ growth / workflow backlog / projection staleness</w:t>
            </w:r>
          </w:p>
        </w:tc>
        <w:tc>
          <w:tcPr>
            <w:tcW w:type="dxa" w:w="1795"/>
            <w:vAlign w:val="center"/>
          </w:tcPr>
          <w:p>
            <w:pPr>
              <w:spacing w:before="0" w:after="30"/>
            </w:pPr>
            <w:r>
              <w:rPr>
                <w:sz w:val="14"/>
              </w:rPr>
              <w:t>Affected tenant/scope; command/aggregate version; authoritative rows; outbox/inbox/DLQ/provider state where applicable; reconciliation result; repair/correction reference; owner and follow-up action.</w:t>
            </w:r>
          </w:p>
        </w:tc>
      </w:tr>
      <w:tr>
        <w:tc>
          <w:tcPr>
            <w:tcW w:type="dxa" w:w="852"/>
            <w:vAlign w:val="center"/>
          </w:tcPr>
          <w:p>
            <w:pPr>
              <w:spacing w:before="0" w:after="30"/>
            </w:pPr>
            <w:r>
              <w:rPr>
                <w:sz w:val="14"/>
              </w:rPr>
              <w:t>RB-DAT-02</w:t>
            </w:r>
          </w:p>
        </w:tc>
        <w:tc>
          <w:tcPr>
            <w:tcW w:type="dxa" w:w="2019"/>
            <w:vAlign w:val="center"/>
          </w:tcPr>
          <w:p>
            <w:pPr>
              <w:spacing w:before="0" w:after="30"/>
            </w:pPr>
            <w:r>
              <w:rPr>
                <w:sz w:val="14"/>
              </w:rPr>
              <w:t>DAT-02 - Data Platform, Warehouse, Governance &amp; Data Products</w:t>
            </w:r>
          </w:p>
        </w:tc>
        <w:tc>
          <w:tcPr>
            <w:tcW w:type="dxa" w:w="2109"/>
            <w:vAlign w:val="center"/>
          </w:tcPr>
          <w:p>
            <w:pPr>
              <w:spacing w:before="0" w:after="30"/>
            </w:pPr>
            <w:r>
              <w:rPr>
                <w:sz w:val="14"/>
              </w:rPr>
              <w:t>PostgreSQL saturation/failover/restore; domain reconciliation and dependency outage</w:t>
            </w:r>
          </w:p>
        </w:tc>
        <w:tc>
          <w:tcPr>
            <w:tcW w:type="dxa" w:w="1795"/>
            <w:vAlign w:val="center"/>
          </w:tcPr>
          <w:p>
            <w:pPr>
              <w:spacing w:before="0" w:after="30"/>
            </w:pPr>
            <w:r>
              <w:rPr>
                <w:sz w:val="14"/>
              </w:rPr>
              <w:t>Affected tenant/scope; command/aggregate version; authoritative rows; outbox/inbox/DLQ/provider state where applicable; reconciliation result; repair/correction reference; owner and follow-up action.</w:t>
            </w:r>
          </w:p>
        </w:tc>
      </w:tr>
      <w:tr>
        <w:tc>
          <w:tcPr>
            <w:tcW w:type="dxa" w:w="852"/>
            <w:vAlign w:val="center"/>
          </w:tcPr>
          <w:p>
            <w:pPr>
              <w:spacing w:before="0" w:after="30"/>
            </w:pPr>
            <w:r>
              <w:rPr>
                <w:sz w:val="14"/>
              </w:rPr>
              <w:t>RB-SEC-01</w:t>
            </w:r>
          </w:p>
        </w:tc>
        <w:tc>
          <w:tcPr>
            <w:tcW w:type="dxa" w:w="2019"/>
            <w:vAlign w:val="center"/>
          </w:tcPr>
          <w:p>
            <w:pPr>
              <w:spacing w:before="0" w:after="30"/>
            </w:pPr>
            <w:r>
              <w:rPr>
                <w:sz w:val="14"/>
              </w:rPr>
              <w:t>SEC-01 - Security, Privacy, Compliance &amp; Consent</w:t>
            </w:r>
          </w:p>
        </w:tc>
        <w:tc>
          <w:tcPr>
            <w:tcW w:type="dxa" w:w="2109"/>
            <w:vAlign w:val="center"/>
          </w:tcPr>
          <w:p>
            <w:pPr>
              <w:spacing w:before="0" w:after="30"/>
            </w:pPr>
            <w:r>
              <w:rPr>
                <w:sz w:val="14"/>
              </w:rPr>
              <w:t>Cross-tenant isolation suspicion / data exposure; PostgreSQL recovery as needed</w:t>
            </w:r>
          </w:p>
        </w:tc>
        <w:tc>
          <w:tcPr>
            <w:tcW w:type="dxa" w:w="1795"/>
            <w:vAlign w:val="center"/>
          </w:tcPr>
          <w:p>
            <w:pPr>
              <w:spacing w:before="0" w:after="30"/>
            </w:pPr>
            <w:r>
              <w:rPr>
                <w:sz w:val="14"/>
              </w:rPr>
              <w:t>Affected tenant/scope; command/aggregate version; authoritative rows; outbox/inbox/DLQ/provider state where applicable; reconciliation result; repair/correction reference; owner and follow-up action.</w:t>
            </w:r>
          </w:p>
        </w:tc>
      </w:tr>
      <w:tr>
        <w:tc>
          <w:tcPr>
            <w:tcW w:type="dxa" w:w="852"/>
            <w:vAlign w:val="center"/>
          </w:tcPr>
          <w:p>
            <w:pPr>
              <w:spacing w:before="0" w:after="30"/>
            </w:pPr>
            <w:r>
              <w:rPr>
                <w:sz w:val="14"/>
              </w:rPr>
              <w:t>RB-SEC-02</w:t>
            </w:r>
          </w:p>
        </w:tc>
        <w:tc>
          <w:tcPr>
            <w:tcW w:type="dxa" w:w="2019"/>
            <w:vAlign w:val="center"/>
          </w:tcPr>
          <w:p>
            <w:pPr>
              <w:spacing w:before="0" w:after="30"/>
            </w:pPr>
            <w:r>
              <w:rPr>
                <w:sz w:val="14"/>
              </w:rPr>
              <w:t>SEC-02 - Fraud, Abuse, Trust &amp; Content Moderation</w:t>
            </w:r>
          </w:p>
        </w:tc>
        <w:tc>
          <w:tcPr>
            <w:tcW w:type="dxa" w:w="2109"/>
            <w:vAlign w:val="center"/>
          </w:tcPr>
          <w:p>
            <w:pPr>
              <w:spacing w:before="0" w:after="30"/>
            </w:pPr>
            <w:r>
              <w:rPr>
                <w:sz w:val="14"/>
              </w:rPr>
              <w:t>PostgreSQL saturation/failover/restore; domain reconciliation and dependency outage</w:t>
            </w:r>
          </w:p>
        </w:tc>
        <w:tc>
          <w:tcPr>
            <w:tcW w:type="dxa" w:w="1795"/>
            <w:vAlign w:val="center"/>
          </w:tcPr>
          <w:p>
            <w:pPr>
              <w:spacing w:before="0" w:after="30"/>
            </w:pPr>
            <w:r>
              <w:rPr>
                <w:sz w:val="14"/>
              </w:rPr>
              <w:t>Affected tenant/scope; command/aggregate version; authoritative rows; outbox/inbox/DLQ/provider state where applicable; reconciliation result; repair/correction reference; owner and follow-up action.</w:t>
            </w:r>
          </w:p>
        </w:tc>
      </w:tr>
      <w:tr>
        <w:tc>
          <w:tcPr>
            <w:tcW w:type="dxa" w:w="852"/>
            <w:vAlign w:val="center"/>
          </w:tcPr>
          <w:p>
            <w:pPr>
              <w:spacing w:before="0" w:after="30"/>
            </w:pPr>
            <w:r>
              <w:rPr>
                <w:sz w:val="14"/>
              </w:rPr>
              <w:t>RB-REL-01</w:t>
            </w:r>
          </w:p>
        </w:tc>
        <w:tc>
          <w:tcPr>
            <w:tcW w:type="dxa" w:w="2019"/>
            <w:vAlign w:val="center"/>
          </w:tcPr>
          <w:p>
            <w:pPr>
              <w:spacing w:before="0" w:after="30"/>
            </w:pPr>
            <w:r>
              <w:rPr>
                <w:sz w:val="14"/>
              </w:rPr>
              <w:t>REL-01 - Reliability, Offline Operation, Business Continuity &amp; Incident Management</w:t>
            </w:r>
          </w:p>
        </w:tc>
        <w:tc>
          <w:tcPr>
            <w:tcW w:type="dxa" w:w="2109"/>
            <w:vAlign w:val="center"/>
          </w:tcPr>
          <w:p>
            <w:pPr>
              <w:spacing w:before="0" w:after="30"/>
            </w:pPr>
            <w:r>
              <w:rPr>
                <w:sz w:val="14"/>
              </w:rPr>
              <w:t>Regional cloud outage / DR failover; saturation/capacity incident</w:t>
            </w:r>
          </w:p>
        </w:tc>
        <w:tc>
          <w:tcPr>
            <w:tcW w:type="dxa" w:w="1795"/>
            <w:vAlign w:val="center"/>
          </w:tcPr>
          <w:p>
            <w:pPr>
              <w:spacing w:before="0" w:after="30"/>
            </w:pPr>
            <w:r>
              <w:rPr>
                <w:sz w:val="14"/>
              </w:rPr>
              <w:t>Affected tenant/scope; command/aggregate version; authoritative rows; outbox/inbox/DLQ/provider state where applicable; reconciliation result; repair/correction reference; owner and follow-up action.</w:t>
            </w:r>
          </w:p>
        </w:tc>
      </w:tr>
      <w:tr>
        <w:tc>
          <w:tcPr>
            <w:tcW w:type="dxa" w:w="852"/>
            <w:vAlign w:val="center"/>
          </w:tcPr>
          <w:p>
            <w:pPr>
              <w:spacing w:before="0" w:after="30"/>
            </w:pPr>
            <w:r>
              <w:rPr>
                <w:sz w:val="14"/>
              </w:rPr>
              <w:t>RB-REL-02</w:t>
            </w:r>
          </w:p>
        </w:tc>
        <w:tc>
          <w:tcPr>
            <w:tcW w:type="dxa" w:w="2019"/>
            <w:vAlign w:val="center"/>
          </w:tcPr>
          <w:p>
            <w:pPr>
              <w:spacing w:before="0" w:after="30"/>
            </w:pPr>
            <w:r>
              <w:rPr>
                <w:sz w:val="14"/>
              </w:rPr>
              <w:t>REL-02 - Observability, Performance, Capacity &amp; FinOps</w:t>
            </w:r>
          </w:p>
        </w:tc>
        <w:tc>
          <w:tcPr>
            <w:tcW w:type="dxa" w:w="2109"/>
            <w:vAlign w:val="center"/>
          </w:tcPr>
          <w:p>
            <w:pPr>
              <w:spacing w:before="0" w:after="30"/>
            </w:pPr>
            <w:r>
              <w:rPr>
                <w:sz w:val="14"/>
              </w:rPr>
              <w:t>Regional cloud outage / DR failover; saturation/capacity incident</w:t>
            </w:r>
          </w:p>
        </w:tc>
        <w:tc>
          <w:tcPr>
            <w:tcW w:type="dxa" w:w="1795"/>
            <w:vAlign w:val="center"/>
          </w:tcPr>
          <w:p>
            <w:pPr>
              <w:spacing w:before="0" w:after="30"/>
            </w:pPr>
            <w:r>
              <w:rPr>
                <w:sz w:val="14"/>
              </w:rPr>
              <w:t>Affected tenant/scope; command/aggregate version; authoritative rows; outbox/inbox/DLQ/provider state where applicable; reconciliation result; repair/correction reference; owner and follow-up action.</w:t>
            </w:r>
          </w:p>
        </w:tc>
      </w:tr>
      <w:tr>
        <w:tc>
          <w:tcPr>
            <w:tcW w:type="dxa" w:w="852"/>
            <w:vAlign w:val="center"/>
          </w:tcPr>
          <w:p>
            <w:pPr>
              <w:spacing w:before="0" w:after="30"/>
            </w:pPr>
            <w:r>
              <w:rPr>
                <w:sz w:val="14"/>
              </w:rPr>
              <w:t>RB-LIF-01</w:t>
            </w:r>
          </w:p>
        </w:tc>
        <w:tc>
          <w:tcPr>
            <w:tcW w:type="dxa" w:w="2019"/>
            <w:vAlign w:val="center"/>
          </w:tcPr>
          <w:p>
            <w:pPr>
              <w:spacing w:before="0" w:after="30"/>
            </w:pPr>
            <w:r>
              <w:rPr>
                <w:sz w:val="14"/>
              </w:rPr>
              <w:t>LIF-01 - Onboarding, Implementation &amp; Go-live Readiness</w:t>
            </w:r>
          </w:p>
        </w:tc>
        <w:tc>
          <w:tcPr>
            <w:tcW w:type="dxa" w:w="2109"/>
            <w:vAlign w:val="center"/>
          </w:tcPr>
          <w:p>
            <w:pPr>
              <w:spacing w:before="0" w:after="30"/>
            </w:pPr>
            <w:r>
              <w:rPr>
                <w:sz w:val="14"/>
              </w:rPr>
              <w:t>Migration/cutover rollback and reconciliation</w:t>
            </w:r>
          </w:p>
        </w:tc>
        <w:tc>
          <w:tcPr>
            <w:tcW w:type="dxa" w:w="1795"/>
            <w:vAlign w:val="center"/>
          </w:tcPr>
          <w:p>
            <w:pPr>
              <w:spacing w:before="0" w:after="30"/>
            </w:pPr>
            <w:r>
              <w:rPr>
                <w:sz w:val="14"/>
              </w:rPr>
              <w:t>Affected tenant/scope; command/aggregate version; authoritative rows; outbox/inbox/DLQ/provider state where applicable; reconciliation result; repair/correction reference; owner and follow-up action.</w:t>
            </w:r>
          </w:p>
        </w:tc>
      </w:tr>
      <w:tr>
        <w:tc>
          <w:tcPr>
            <w:tcW w:type="dxa" w:w="852"/>
            <w:vAlign w:val="center"/>
          </w:tcPr>
          <w:p>
            <w:pPr>
              <w:spacing w:before="0" w:after="30"/>
            </w:pPr>
            <w:r>
              <w:rPr>
                <w:sz w:val="14"/>
              </w:rPr>
              <w:t>RB-LIF-02</w:t>
            </w:r>
          </w:p>
        </w:tc>
        <w:tc>
          <w:tcPr>
            <w:tcW w:type="dxa" w:w="2019"/>
            <w:vAlign w:val="center"/>
          </w:tcPr>
          <w:p>
            <w:pPr>
              <w:spacing w:before="0" w:after="30"/>
            </w:pPr>
            <w:r>
              <w:rPr>
                <w:sz w:val="14"/>
              </w:rPr>
              <w:t>LIF-02 - Migration, Import, Validation &amp; Cutover</w:t>
            </w:r>
          </w:p>
        </w:tc>
        <w:tc>
          <w:tcPr>
            <w:tcW w:type="dxa" w:w="2109"/>
            <w:vAlign w:val="center"/>
          </w:tcPr>
          <w:p>
            <w:pPr>
              <w:spacing w:before="0" w:after="30"/>
            </w:pPr>
            <w:r>
              <w:rPr>
                <w:sz w:val="14"/>
              </w:rPr>
              <w:t>Migration/cutover rollback and reconciliation</w:t>
            </w:r>
          </w:p>
        </w:tc>
        <w:tc>
          <w:tcPr>
            <w:tcW w:type="dxa" w:w="1795"/>
            <w:vAlign w:val="center"/>
          </w:tcPr>
          <w:p>
            <w:pPr>
              <w:spacing w:before="0" w:after="30"/>
            </w:pPr>
            <w:r>
              <w:rPr>
                <w:sz w:val="14"/>
              </w:rPr>
              <w:t>Affected tenant/scope; command/aggregate version; authoritative rows; outbox/inbox/DLQ/provider state where applicable; reconciliation result; repair/correction reference; owner and follow-up action.</w:t>
            </w:r>
          </w:p>
        </w:tc>
      </w:tr>
      <w:tr>
        <w:tc>
          <w:tcPr>
            <w:tcW w:type="dxa" w:w="852"/>
            <w:vAlign w:val="center"/>
          </w:tcPr>
          <w:p>
            <w:pPr>
              <w:spacing w:before="0" w:after="30"/>
            </w:pPr>
            <w:r>
              <w:rPr>
                <w:sz w:val="14"/>
              </w:rPr>
              <w:t>RB-LIF-03</w:t>
            </w:r>
          </w:p>
        </w:tc>
        <w:tc>
          <w:tcPr>
            <w:tcW w:type="dxa" w:w="2019"/>
            <w:vAlign w:val="center"/>
          </w:tcPr>
          <w:p>
            <w:pPr>
              <w:spacing w:before="0" w:after="30"/>
            </w:pPr>
            <w:r>
              <w:rPr>
                <w:sz w:val="14"/>
              </w:rPr>
              <w:t>LIF-03 - Offboarding, Data Portability, Archival &amp; Deletion</w:t>
            </w:r>
          </w:p>
        </w:tc>
        <w:tc>
          <w:tcPr>
            <w:tcW w:type="dxa" w:w="2109"/>
            <w:vAlign w:val="center"/>
          </w:tcPr>
          <w:p>
            <w:pPr>
              <w:spacing w:before="0" w:after="30"/>
            </w:pPr>
            <w:r>
              <w:rPr>
                <w:sz w:val="14"/>
              </w:rPr>
              <w:t>Migration/cutover rollback and reconciliation</w:t>
            </w:r>
          </w:p>
        </w:tc>
        <w:tc>
          <w:tcPr>
            <w:tcW w:type="dxa" w:w="1795"/>
            <w:vAlign w:val="center"/>
          </w:tcPr>
          <w:p>
            <w:pPr>
              <w:spacing w:before="0" w:after="30"/>
            </w:pPr>
            <w:r>
              <w:rPr>
                <w:sz w:val="14"/>
              </w:rPr>
              <w:t>Affected tenant/scope; command/aggregate version; authoritative rows; outbox/inbox/DLQ/provider state where applicable; reconciliation result; repair/correction reference; owner and follow-up action.</w:t>
            </w:r>
          </w:p>
        </w:tc>
      </w:tr>
      <w:tr>
        <w:tc>
          <w:tcPr>
            <w:tcW w:type="dxa" w:w="852"/>
            <w:vAlign w:val="center"/>
          </w:tcPr>
          <w:p>
            <w:pPr>
              <w:spacing w:before="0" w:after="30"/>
            </w:pPr>
            <w:r>
              <w:rPr>
                <w:sz w:val="14"/>
              </w:rPr>
              <w:t>RB-GOV-01</w:t>
            </w:r>
          </w:p>
        </w:tc>
        <w:tc>
          <w:tcPr>
            <w:tcW w:type="dxa" w:w="2019"/>
            <w:vAlign w:val="center"/>
          </w:tcPr>
          <w:p>
            <w:pPr>
              <w:spacing w:before="0" w:after="30"/>
            </w:pPr>
            <w:r>
              <w:rPr>
                <w:sz w:val="14"/>
              </w:rPr>
              <w:t>GOV-01 - Quality Engineering, CI/CD, Release &amp; Schema Management</w:t>
            </w:r>
          </w:p>
        </w:tc>
        <w:tc>
          <w:tcPr>
            <w:tcW w:type="dxa" w:w="2109"/>
            <w:vAlign w:val="center"/>
          </w:tcPr>
          <w:p>
            <w:pPr>
              <w:spacing w:before="0" w:after="30"/>
            </w:pPr>
            <w:r>
              <w:rPr>
                <w:sz w:val="14"/>
              </w:rPr>
              <w:t>Bad deployment/schema/config release rollback</w:t>
            </w:r>
          </w:p>
        </w:tc>
        <w:tc>
          <w:tcPr>
            <w:tcW w:type="dxa" w:w="1795"/>
            <w:vAlign w:val="center"/>
          </w:tcPr>
          <w:p>
            <w:pPr>
              <w:spacing w:before="0" w:after="30"/>
            </w:pPr>
            <w:r>
              <w:rPr>
                <w:sz w:val="14"/>
              </w:rPr>
              <w:t>Affected tenant/scope; command/aggregate version; authoritative rows; outbox/inbox/DLQ/provider state where applicable; reconciliation result; repair/correction reference; owner and follow-up action.</w:t>
            </w:r>
          </w:p>
        </w:tc>
      </w:tr>
      <w:tr>
        <w:tc>
          <w:tcPr>
            <w:tcW w:type="dxa" w:w="852"/>
            <w:vAlign w:val="center"/>
          </w:tcPr>
          <w:p>
            <w:pPr>
              <w:spacing w:before="0" w:after="30"/>
            </w:pPr>
            <w:r>
              <w:rPr>
                <w:sz w:val="14"/>
              </w:rPr>
              <w:t>RB-GOV-02</w:t>
            </w:r>
          </w:p>
        </w:tc>
        <w:tc>
          <w:tcPr>
            <w:tcW w:type="dxa" w:w="2019"/>
            <w:vAlign w:val="center"/>
          </w:tcPr>
          <w:p>
            <w:pPr>
              <w:spacing w:before="0" w:after="30"/>
            </w:pPr>
            <w:r>
              <w:rPr>
                <w:sz w:val="14"/>
              </w:rPr>
              <w:t>GOV-02 - Product, Architecture, Data &amp; AI Governance</w:t>
            </w:r>
          </w:p>
        </w:tc>
        <w:tc>
          <w:tcPr>
            <w:tcW w:type="dxa" w:w="2109"/>
            <w:vAlign w:val="center"/>
          </w:tcPr>
          <w:p>
            <w:pPr>
              <w:spacing w:before="0" w:after="30"/>
            </w:pPr>
            <w:r>
              <w:rPr>
                <w:sz w:val="14"/>
              </w:rPr>
              <w:t>PostgreSQL saturation/failover/restore; domain reconciliation and dependency outage</w:t>
            </w:r>
          </w:p>
        </w:tc>
        <w:tc>
          <w:tcPr>
            <w:tcW w:type="dxa" w:w="1795"/>
            <w:vAlign w:val="center"/>
          </w:tcPr>
          <w:p>
            <w:pPr>
              <w:spacing w:before="0" w:after="30"/>
            </w:pPr>
            <w:r>
              <w:rPr>
                <w:sz w:val="14"/>
              </w:rPr>
              <w:t>Affected tenant/scope; command/aggregate version; authoritative rows; outbox/inbox/DLQ/provider state where applicable; reconciliation result; repair/correction reference; owner and follow-up action.</w:t>
            </w:r>
          </w:p>
        </w:tc>
      </w:tr>
      <w:tr>
        <w:tc>
          <w:tcPr>
            <w:tcW w:type="dxa" w:w="852"/>
            <w:vAlign w:val="center"/>
          </w:tcPr>
          <w:p>
            <w:pPr>
              <w:spacing w:before="0" w:after="30"/>
            </w:pPr>
            <w:r>
              <w:rPr>
                <w:sz w:val="14"/>
              </w:rPr>
              <w:t>RB-GOV-03</w:t>
            </w:r>
          </w:p>
        </w:tc>
        <w:tc>
          <w:tcPr>
            <w:tcW w:type="dxa" w:w="2019"/>
            <w:vAlign w:val="center"/>
          </w:tcPr>
          <w:p>
            <w:pPr>
              <w:spacing w:before="0" w:after="30"/>
            </w:pPr>
            <w:r>
              <w:rPr>
                <w:sz w:val="14"/>
              </w:rPr>
              <w:t>GOV-03 - Legal, Procurement, Vendor, Partner &amp; Compliance Operations</w:t>
            </w:r>
          </w:p>
        </w:tc>
        <w:tc>
          <w:tcPr>
            <w:tcW w:type="dxa" w:w="2109"/>
            <w:vAlign w:val="center"/>
          </w:tcPr>
          <w:p>
            <w:pPr>
              <w:spacing w:before="0" w:after="30"/>
            </w:pPr>
            <w:r>
              <w:rPr>
                <w:sz w:val="14"/>
              </w:rPr>
              <w:t>PostgreSQL saturation/failover/restore; domain reconciliation and dependency outage</w:t>
            </w:r>
          </w:p>
        </w:tc>
        <w:tc>
          <w:tcPr>
            <w:tcW w:type="dxa" w:w="1795"/>
            <w:vAlign w:val="center"/>
          </w:tcPr>
          <w:p>
            <w:pPr>
              <w:spacing w:before="0" w:after="30"/>
            </w:pPr>
            <w:r>
              <w:rPr>
                <w:sz w:val="14"/>
              </w:rPr>
              <w:t>Affected tenant/scope; command/aggregate version; authoritative rows; outbox/inbox/DLQ/provider state where applicable; reconciliation result; repair/correction reference; owner and follow-up action.</w:t>
            </w:r>
          </w:p>
        </w:tc>
      </w:tr>
      <w:tr>
        <w:tc>
          <w:tcPr>
            <w:tcW w:type="dxa" w:w="852"/>
            <w:vAlign w:val="center"/>
          </w:tcPr>
          <w:p>
            <w:pPr>
              <w:spacing w:before="0" w:after="30"/>
            </w:pPr>
            <w:r>
              <w:rPr>
                <w:sz w:val="14"/>
              </w:rPr>
              <w:t>RB-GOV-04</w:t>
            </w:r>
          </w:p>
        </w:tc>
        <w:tc>
          <w:tcPr>
            <w:tcW w:type="dxa" w:w="2019"/>
            <w:vAlign w:val="center"/>
          </w:tcPr>
          <w:p>
            <w:pPr>
              <w:spacing w:before="0" w:after="30"/>
            </w:pPr>
            <w:r>
              <w:rPr>
                <w:sz w:val="14"/>
              </w:rPr>
              <w:t>GOV-04 - GTM Operations, Knowledge, Training, Feedback &amp; Product Education</w:t>
            </w:r>
          </w:p>
        </w:tc>
        <w:tc>
          <w:tcPr>
            <w:tcW w:type="dxa" w:w="2109"/>
            <w:vAlign w:val="center"/>
          </w:tcPr>
          <w:p>
            <w:pPr>
              <w:spacing w:before="0" w:after="30"/>
            </w:pPr>
            <w:r>
              <w:rPr>
                <w:sz w:val="14"/>
              </w:rPr>
              <w:t>PostgreSQL saturation/failover/restore; domain reconciliation and dependency outage</w:t>
            </w:r>
          </w:p>
        </w:tc>
        <w:tc>
          <w:tcPr>
            <w:tcW w:type="dxa" w:w="1795"/>
            <w:vAlign w:val="center"/>
          </w:tcPr>
          <w:p>
            <w:pPr>
              <w:spacing w:before="0" w:after="30"/>
            </w:pPr>
            <w:r>
              <w:rPr>
                <w:sz w:val="14"/>
              </w:rPr>
              <w:t>Affected tenant/scope; command/aggregate version; authoritative rows; outbox/inbox/DLQ/provider state where applicable; reconciliation result; repair/correction reference; owner and follow-up action.</w:t>
            </w:r>
          </w:p>
        </w:tc>
      </w:tr>
    </w:tbl>
    <w:p>
      <w:pPr>
        <w:pStyle w:val="Heading2"/>
        <w:keepNext/>
      </w:pPr>
      <w:r>
        <w:t>28.2 Incident Lifecycle</w:t>
      </w:r>
    </w:p>
    <w:p>
      <w:pPr>
        <w:pStyle w:val="Numbered"/>
        <w:spacing w:after="60"/>
      </w:pPr>
      <w:r>
        <w:rPr>
          <w:rFonts w:ascii="Noto Sans" w:hAnsi="Noto Sans"/>
        </w:rPr>
        <w:t>Detect and declare severity; identify affected tenants/regions/capabilities.</w:t>
      </w:r>
    </w:p>
    <w:p>
      <w:pPr>
        <w:pStyle w:val="Numbered"/>
        <w:spacing w:after="60"/>
      </w:pPr>
      <w:r>
        <w:rPr>
          <w:rFonts w:ascii="Noto Sans" w:hAnsi="Noto Sans"/>
        </w:rPr>
        <w:t>Contain: kill switch/feature flag/circuit breaker/degraded mode as appropriate.</w:t>
      </w:r>
    </w:p>
    <w:p>
      <w:pPr>
        <w:pStyle w:val="Numbered"/>
        <w:spacing w:after="60"/>
      </w:pPr>
      <w:r>
        <w:rPr>
          <w:rFonts w:ascii="Noto Sans" w:hAnsi="Noto Sans"/>
        </w:rPr>
        <w:t>Preserve evidence and assign incident commander/domain owners.</w:t>
      </w:r>
    </w:p>
    <w:p>
      <w:pPr>
        <w:pStyle w:val="Numbered"/>
        <w:spacing w:after="60"/>
      </w:pPr>
      <w:r>
        <w:rPr>
          <w:rFonts w:ascii="Noto Sans" w:hAnsi="Noto Sans"/>
        </w:rPr>
        <w:t>Communicate known facts through status/customer channels; do not speculate.</w:t>
      </w:r>
    </w:p>
    <w:p>
      <w:pPr>
        <w:pStyle w:val="Numbered"/>
        <w:spacing w:after="60"/>
      </w:pPr>
      <w:r>
        <w:rPr>
          <w:rFonts w:ascii="Noto Sans" w:hAnsi="Noto Sans"/>
        </w:rPr>
        <w:t>Recover technical service and reconcile business/data state (payments, access, queues, documents).</w:t>
      </w:r>
    </w:p>
    <w:p>
      <w:pPr>
        <w:pStyle w:val="Numbered"/>
        <w:spacing w:after="60"/>
      </w:pPr>
      <w:r>
        <w:rPr>
          <w:rFonts w:ascii="Noto Sans" w:hAnsi="Noto Sans"/>
        </w:rPr>
        <w:t>Validate SLO/business outcomes and end incident only when reconciliation is complete.</w:t>
      </w:r>
    </w:p>
    <w:p>
      <w:pPr>
        <w:pStyle w:val="Numbered"/>
        <w:spacing w:after="60"/>
      </w:pPr>
      <w:r>
        <w:rPr>
          <w:rFonts w:ascii="Noto Sans" w:hAnsi="Noto Sans"/>
        </w:rPr>
        <w:t>Publish postmortem with root cause, contributing controls, action owners and recurrence prevention.</w:t>
      </w:r>
    </w:p>
    <w:p>
      <w:pPr>
        <w:pStyle w:val="Heading2"/>
      </w:pPr>
      <w:r>
        <w:t>28.3 PITR / State-Recovery Reconciliation Runbook</w:t>
      </w:r>
    </w:p>
    <w:p>
      <w:pPr>
        <w:pStyle w:val="Bullet1"/>
      </w:pPr>
      <w:r>
        <w:t>1. Incident commander declares recovery mode, freezes consequence-bearing writes and disables provider dispatch workers.</w:t>
      </w:r>
    </w:p>
    <w:p>
      <w:pPr>
        <w:pStyle w:val="Bullet1"/>
      </w:pPr>
      <w:r>
        <w:t>2. Quarantine outbox rows and record provider/fiscal/event high-water marks for the suspected lost window.</w:t>
      </w:r>
    </w:p>
    <w:p>
      <w:pPr>
        <w:pStyle w:val="Bullet1"/>
      </w:pPr>
      <w:r>
        <w:t>3. Prefer forward fix/compensating migration. PITR requires explicit approval when state cannot be safely repaired in place.</w:t>
      </w:r>
    </w:p>
    <w:p>
      <w:pPr>
        <w:pStyle w:val="Bullet1"/>
      </w:pPr>
      <w:r>
        <w:t>4. Restore/promote database into isolated validation endpoint; do not immediately resume external side effects.</w:t>
      </w:r>
    </w:p>
    <w:p>
      <w:pPr>
        <w:pStyle w:val="Bullet1"/>
      </w:pPr>
      <w:r>
        <w:t>5. Diff restored state against payment/acquirer settlements, JoFotara acknowledgements, S3 event archive, audit evidence and edge/device events for the lost window.</w:t>
      </w:r>
    </w:p>
    <w:p>
      <w:pPr>
        <w:pStyle w:val="Bullet1"/>
      </w:pPr>
      <w:r>
        <w:t>6. Reconstruct missing authoritative rows by replaying retained business events/provider evidence or append correction records. Never retry a payment/fiscal command merely because its local row disappeared.</w:t>
      </w:r>
    </w:p>
    <w:p>
      <w:pPr>
        <w:pStyle w:val="Bullet1"/>
      </w:pPr>
      <w:r>
        <w:t>7. Rebuild projections/caches, then release outbox only after dispatch-guard reconciliation proves already-completed effects will not repeat.</w:t>
      </w:r>
    </w:p>
    <w:p>
      <w:pPr>
        <w:pStyle w:val="Bullet1"/>
      </w:pPr>
      <w:r>
        <w:t>8. Re-enable writes in stages, monitor reconciliation controls, produce incident evidence and update recovery assumptions with measured results.</w:t>
      </w:r>
    </w:p>
    <w:p>
      <w:pPr>
        <w:pStyle w:val="Heading1"/>
        <w:keepNext/>
      </w:pPr>
      <w:r>
        <w:t>29. Implementation Sequence &amp; Release Gates</w:t>
      </w:r>
    </w:p>
    <w:tbl>
      <w:tblPr>
        <w:tblStyle w:val="TableGrid"/>
        <w:tblW w:type="dxa" w:w="9684"/>
        <w:jc w:val="center"/>
        <w:tblLayout w:type="autofit"/>
        <w:tblLook w:firstColumn="1" w:firstRow="1" w:lastColumn="0" w:lastRow="0" w:noHBand="0" w:noVBand="1" w:val="04A0"/>
      </w:tblPr>
      <w:tblGrid>
        <w:gridCol w:w="3228"/>
        <w:gridCol w:w="3228"/>
        <w:gridCol w:w="3228"/>
      </w:tblGrid>
      <w:tr>
        <w:trPr>
          <w:tblHeader w:val="true"/>
          <w:tblHeader w:val="true"/>
        </w:trPr>
        <w:tc>
          <w:tcPr>
            <w:tcW w:type="dxa" w:w="1418"/>
            <w:shd w:fill="2F5B86"/>
            <w:tcMar>
              <w:top w:w="70" w:type="dxa"/>
              <w:start w:w="90" w:type="dxa"/>
              <w:bottom w:w="70" w:type="dxa"/>
              <w:end w:w="90" w:type="dxa"/>
              <w:left w:w="80" w:type="dxa"/>
              <w:right w:w="80" w:type="dxa"/>
            </w:tcMar>
            <w:vAlign w:val="center"/>
          </w:tcPr>
          <w:p>
            <w:pPr>
              <w:jc w:val="center"/>
            </w:pPr>
            <w:r>
              <w:rPr>
                <w:rFonts w:ascii="Noto Sans" w:hAnsi="Noto Sans"/>
                <w:b/>
                <w:color w:val="FFFFFF"/>
                <w:sz w:val="15"/>
              </w:rPr>
              <w:t>Wave</w:t>
            </w:r>
          </w:p>
        </w:tc>
        <w:tc>
          <w:tcPr>
            <w:tcW w:type="dxa" w:w="6738"/>
            <w:shd w:fill="2F5B86"/>
            <w:tcMar>
              <w:top w:w="70" w:type="dxa"/>
              <w:start w:w="90" w:type="dxa"/>
              <w:bottom w:w="70" w:type="dxa"/>
              <w:end w:w="90" w:type="dxa"/>
              <w:left w:w="80" w:type="dxa"/>
              <w:right w:w="80" w:type="dxa"/>
            </w:tcMar>
            <w:vAlign w:val="center"/>
          </w:tcPr>
          <w:p>
            <w:pPr>
              <w:jc w:val="center"/>
            </w:pPr>
            <w:r>
              <w:rPr>
                <w:rFonts w:ascii="Noto Sans" w:hAnsi="Noto Sans"/>
                <w:b/>
                <w:color w:val="FFFFFF"/>
                <w:sz w:val="15"/>
              </w:rPr>
              <w:t>Architecture Deliverables</w:t>
            </w:r>
          </w:p>
        </w:tc>
        <w:tc>
          <w:tcPr>
            <w:tcW w:type="dxa" w:w="2340"/>
            <w:shd w:fill="2F5B86"/>
            <w:tcMar>
              <w:top w:w="70" w:type="dxa"/>
              <w:start w:w="90" w:type="dxa"/>
              <w:bottom w:w="70" w:type="dxa"/>
              <w:end w:w="90" w:type="dxa"/>
              <w:left w:w="80" w:type="dxa"/>
              <w:right w:w="80" w:type="dxa"/>
            </w:tcMar>
            <w:vAlign w:val="center"/>
          </w:tcPr>
          <w:p>
            <w:pPr>
              <w:jc w:val="center"/>
            </w:pPr>
            <w:r>
              <w:rPr>
                <w:rFonts w:ascii="Noto Sans" w:hAnsi="Noto Sans"/>
                <w:b/>
                <w:color w:val="FFFFFF"/>
                <w:sz w:val="15"/>
              </w:rPr>
              <w:t>Exit Gate</w:t>
            </w:r>
          </w:p>
        </w:tc>
      </w:tr>
      <w:tr>
        <w:tc>
          <w:tcPr>
            <w:tcW w:type="dxa" w:w="141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Foundation</w:t>
            </w:r>
          </w:p>
        </w:tc>
        <w:tc>
          <w:tcPr>
            <w:tcW w:type="dxa" w:w="673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Tenant isolation; IAM/policy/audit; person/member core; catalog; event/outbox; notifications; security/observability; SaaS control-plane foundations; localization framework</w:t>
            </w:r>
          </w:p>
        </w:tc>
        <w:tc>
          <w:tcPr>
            <w:tcW w:type="dxa" w:w="234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Isolation, authentication, audit, event, release and recovery tests pass.</w:t>
            </w:r>
          </w:p>
        </w:tc>
      </w:tr>
      <w:tr>
        <w:tc>
          <w:tcPr>
            <w:tcW w:type="dxa" w:w="141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Pilot</w:t>
            </w:r>
          </w:p>
        </w:tc>
        <w:tc>
          <w:tcPr>
            <w:tcW w:type="dxa" w:w="673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Admin CRM/member; membership/billing/payment/ledger; scheduling/booking/front desk/QR-NFC access; coach basic; member self-service; migration/go-live/support diagnostics</w:t>
            </w:r>
          </w:p>
        </w:tc>
        <w:tc>
          <w:tcPr>
            <w:tcW w:type="dxa" w:w="234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Design partners operate daily; financial/access reconciliation and critical task success pass.</w:t>
            </w:r>
          </w:p>
        </w:tc>
      </w:tr>
      <w:tr>
        <w:tc>
          <w:tcPr>
            <w:tcW w:type="dxa" w:w="141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V1 GA</w:t>
            </w:r>
          </w:p>
        </w:tc>
        <w:tc>
          <w:tcPr>
            <w:tcW w:type="dxa" w:w="673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Full membership lifecycle/dunning; POS/cash/receipts/credits/core inventory; waitlist/no-show/guest/kiosk; training logging; health/safety; contextual communication; household/wallet</w:t>
            </w:r>
          </w:p>
        </w:tc>
        <w:tc>
          <w:tcPr>
            <w:tcW w:type="dxa" w:w="234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Commercial onboarding, billing, support and reliability playbooks repeatable.</w:t>
            </w:r>
          </w:p>
        </w:tc>
      </w:tr>
      <w:tr>
        <w:tc>
          <w:tcPr>
            <w:tcW w:type="dxa" w:w="141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V1.5 Growth</w:t>
            </w:r>
          </w:p>
        </w:tc>
        <w:tc>
          <w:tcPr>
            <w:tcW w:type="dxa" w:w="673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Nutrition, automation/tasks, advanced analytics/forecasting, community/rewards, staff/commission/payroll preview, read/draft copilots</w:t>
            </w:r>
          </w:p>
        </w:tc>
        <w:tc>
          <w:tcPr>
            <w:tcW w:type="dxa" w:w="234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Measured retention/efficiency impact; AI quality/cost controls pass.</w:t>
            </w:r>
          </w:p>
        </w:tc>
      </w:tr>
      <w:tr>
        <w:tc>
          <w:tcPr>
            <w:tcW w:type="dxa" w:w="141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V2 Platform</w:t>
            </w:r>
          </w:p>
        </w:tc>
        <w:tc>
          <w:tcPr>
            <w:tcW w:type="dxa" w:w="673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Public API/webhooks/sandbox, guarded AI tools, white-label app fleet, biometric/liveness/edge fleet, data products/fraud/regional connectors, facilities/equipment</w:t>
            </w:r>
          </w:p>
        </w:tc>
        <w:tc>
          <w:tcPr>
            <w:tcW w:type="dxa" w:w="234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Partner/hardware security, AI governance and white-label operations scale safely.</w:t>
            </w:r>
          </w:p>
        </w:tc>
      </w:tr>
      <w:tr>
        <w:tc>
          <w:tcPr>
            <w:tcW w:type="dxa" w:w="141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Enterprise</w:t>
            </w:r>
          </w:p>
        </w:tc>
        <w:tc>
          <w:tcPr>
            <w:tcW w:type="dxa" w:w="673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SSO/SCIM/access reviews, corporate/franchise, dedicated isolation/residency/SLA, advanced audit/legal/procurement/offboarding, regional deployments</w:t>
            </w:r>
          </w:p>
        </w:tc>
        <w:tc>
          <w:tcPr>
            <w:tcW w:type="dxa" w:w="234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5"/>
              </w:rPr>
              <w:t>Enterprise security/procurement and support model pass.</w:t>
            </w:r>
          </w:p>
        </w:tc>
      </w:tr>
    </w:tbl>
    <w:p>
      <w:pPr>
        <w:spacing w:after="40"/>
      </w:pPr>
    </w:p>
    <w:p>
      <w:pPr>
        <w:pStyle w:val="Heading2"/>
        <w:keepNext/>
      </w:pPr>
      <w:r>
        <w:t>29.1 Extraction Triggers for Microservices</w:t>
      </w:r>
    </w:p>
    <w:p>
      <w:pPr>
        <w:pStyle w:val="Bullet1"/>
        <w:spacing w:after="80" w:line="252" w:lineRule="auto"/>
      </w:pPr>
      <w:r>
        <w:rPr>
          <w:rFonts w:ascii="Noto Sans" w:hAnsi="Noto Sans"/>
        </w:rPr>
        <w:t>A domain requires materially different availability/latency/isolation than the core application (for example Access or public Payments ingress).</w:t>
      </w:r>
    </w:p>
    <w:p>
      <w:pPr>
        <w:pStyle w:val="Bullet1"/>
        <w:spacing w:after="80" w:line="252" w:lineRule="auto"/>
      </w:pPr>
      <w:r>
        <w:rPr>
          <w:rFonts w:ascii="Noto Sans" w:hAnsi="Noto Sans"/>
        </w:rPr>
        <w:t>Independent scaling materially reduces cost or risk and cannot be solved by separate worker/process pools.</w:t>
      </w:r>
    </w:p>
    <w:p>
      <w:pPr>
        <w:pStyle w:val="Bullet1"/>
        <w:spacing w:after="80" w:line="252" w:lineRule="auto"/>
      </w:pPr>
      <w:r>
        <w:rPr>
          <w:rFonts w:ascii="Noto Sans" w:hAnsi="Noto Sans"/>
        </w:rPr>
        <w:t>A dedicated team owns the domain and network contract maturity justifies service ownership.</w:t>
      </w:r>
    </w:p>
    <w:p>
      <w:pPr>
        <w:pStyle w:val="Bullet1"/>
        <w:spacing w:after="80" w:line="252" w:lineRule="auto"/>
      </w:pPr>
      <w:r>
        <w:rPr>
          <w:rFonts w:ascii="Noto Sans" w:hAnsi="Noto Sans"/>
        </w:rPr>
        <w:t>Regulatory/data-residency constraints require separate placement.</w:t>
      </w:r>
    </w:p>
    <w:p>
      <w:pPr>
        <w:pStyle w:val="Bullet1"/>
        <w:spacing w:after="80" w:line="252" w:lineRule="auto"/>
      </w:pPr>
      <w:r>
        <w:rPr>
          <w:rFonts w:ascii="Noto Sans" w:hAnsi="Noto Sans"/>
        </w:rPr>
        <w:t>Failure isolation needs a separate blast radius.</w:t>
      </w:r>
    </w:p>
    <w:p>
      <w:pPr>
        <w:pStyle w:val="Bullet1"/>
        <w:spacing w:after="80" w:line="252" w:lineRule="auto"/>
      </w:pPr>
      <w:r>
        <w:rPr>
          <w:rFonts w:ascii="Noto Sans" w:hAnsi="Noto Sans"/>
        </w:rPr>
        <w:t>Extraction is not performed merely because a module is “important”. The default remains explicit in-process domain boundary.</w:t>
      </w:r>
    </w:p>
    <w:p>
      <w:pPr>
        <w:pStyle w:val="Heading2"/>
      </w:pPr>
      <w:r>
        <w:t>29.2 Delivery Slices vs Blueprint Domain Phase</w:t>
      </w:r>
    </w:p>
    <w:tbl>
      <w:tblPr>
        <w:tblStyle w:val="TableGrid"/>
        <w:tblW w:type="dxa" w:w="9684"/>
        <w:jc w:val="center"/>
        <w:tblLayout w:type="autofit"/>
        <w:tblLook w:firstColumn="1" w:firstRow="1" w:lastColumn="0" w:lastRow="0" w:noHBand="0" w:noVBand="1" w:val="04A0"/>
      </w:tblPr>
      <w:tblGrid>
        <w:gridCol w:w="3228"/>
        <w:gridCol w:w="3228"/>
        <w:gridCol w:w="3228"/>
      </w:tblGrid>
      <w:tr>
        <w:trPr>
          <w:tblHeader w:val="true"/>
        </w:trPr>
        <w:tc>
          <w:tcPr>
            <w:tcW w:type="dxa" w:w="3228"/>
            <w:vAlign w:val="center"/>
            <w:tcMar>
              <w:top w:w="70" w:type="dxa"/>
              <w:left w:w="80" w:type="dxa"/>
              <w:bottom w:w="70" w:type="dxa"/>
              <w:right w:w="80" w:type="dxa"/>
            </w:tcMar>
          </w:tcPr>
          <w:p>
            <w:r>
              <w:rPr>
                <w:b/>
              </w:rPr>
              <w:t>Capability</w:t>
            </w:r>
          </w:p>
        </w:tc>
        <w:tc>
          <w:tcPr>
            <w:tcW w:type="dxa" w:w="3228"/>
            <w:vAlign w:val="center"/>
            <w:tcMar>
              <w:top w:w="70" w:type="dxa"/>
              <w:left w:w="80" w:type="dxa"/>
              <w:bottom w:w="70" w:type="dxa"/>
              <w:right w:w="80" w:type="dxa"/>
            </w:tcMar>
          </w:tcPr>
          <w:p>
            <w:r>
              <w:rPr>
                <w:b/>
              </w:rPr>
              <w:t>Architecture delivery slice</w:t>
            </w:r>
          </w:p>
        </w:tc>
        <w:tc>
          <w:tcPr>
            <w:tcW w:type="dxa" w:w="3228"/>
            <w:vAlign w:val="center"/>
            <w:tcMar>
              <w:top w:w="70" w:type="dxa"/>
              <w:left w:w="80" w:type="dxa"/>
              <w:bottom w:w="70" w:type="dxa"/>
              <w:right w:w="80" w:type="dxa"/>
            </w:tcMar>
          </w:tcPr>
          <w:p>
            <w:r>
              <w:rPr>
                <w:b/>
              </w:rPr>
              <w:t>Resolution</w:t>
            </w:r>
          </w:p>
        </w:tc>
      </w:tr>
      <w:tr>
        <w:tc>
          <w:tcPr>
            <w:tcW w:type="dxa" w:w="3228"/>
            <w:tcMar>
              <w:top w:w="70" w:type="dxa"/>
              <w:left w:w="80" w:type="dxa"/>
              <w:bottom w:w="70" w:type="dxa"/>
              <w:right w:w="80" w:type="dxa"/>
            </w:tcMar>
          </w:tcPr>
          <w:p>
            <w:r>
              <w:t>Membership/Billing/Ledger/Booking/Access/Coach/Member basics</w:t>
            </w:r>
          </w:p>
        </w:tc>
        <w:tc>
          <w:tcPr>
            <w:tcW w:type="dxa" w:w="3228"/>
            <w:tcMar>
              <w:top w:w="70" w:type="dxa"/>
              <w:left w:w="80" w:type="dxa"/>
              <w:bottom w:w="70" w:type="dxa"/>
              <w:right w:w="80" w:type="dxa"/>
            </w:tcMar>
          </w:tcPr>
          <w:p>
            <w:r>
              <w:t>Pilot slice</w:t>
            </w:r>
          </w:p>
        </w:tc>
        <w:tc>
          <w:tcPr>
            <w:tcW w:type="dxa" w:w="3228"/>
            <w:tcMar>
              <w:top w:w="70" w:type="dxa"/>
              <w:left w:w="80" w:type="dxa"/>
              <w:bottom w:w="70" w:type="dxa"/>
              <w:right w:w="80" w:type="dxa"/>
            </w:tcMar>
          </w:tcPr>
          <w:p>
            <w:r>
              <w:t>Blueprint domain may say V1 GA; Pilot implements the minimum end-to-end subset required by roadmap, then V1 completes lifecycle depth.</w:t>
            </w:r>
          </w:p>
        </w:tc>
      </w:tr>
      <w:tr>
        <w:tc>
          <w:tcPr>
            <w:tcW w:type="dxa" w:w="3228"/>
            <w:tcMar>
              <w:top w:w="70" w:type="dxa"/>
              <w:left w:w="80" w:type="dxa"/>
              <w:bottom w:w="70" w:type="dxa"/>
              <w:right w:w="80" w:type="dxa"/>
            </w:tcMar>
          </w:tcPr>
          <w:p>
            <w:r>
              <w:t>COM-06 Inventory</w:t>
            </w:r>
          </w:p>
        </w:tc>
        <w:tc>
          <w:tcPr>
            <w:tcW w:type="dxa" w:w="3228"/>
            <w:tcMar>
              <w:top w:w="70" w:type="dxa"/>
              <w:left w:w="80" w:type="dxa"/>
              <w:bottom w:w="70" w:type="dxa"/>
              <w:right w:w="80" w:type="dxa"/>
            </w:tcMar>
          </w:tcPr>
          <w:p>
            <w:r>
              <w:t>V1 minimal core; V1.5 advanced procurement</w:t>
            </w:r>
          </w:p>
        </w:tc>
        <w:tc>
          <w:tcPr>
            <w:tcW w:type="dxa" w:w="3228"/>
            <w:tcMar>
              <w:top w:w="70" w:type="dxa"/>
              <w:left w:w="80" w:type="dxa"/>
              <w:bottom w:w="70" w:type="dxa"/>
              <w:right w:w="80" w:type="dxa"/>
            </w:tcMar>
          </w:tcPr>
          <w:p>
            <w:r>
              <w:t>SKU/on-hand/basic decrement/return available to POS V1; suppliers/PO/replenishment/valuation expand later.</w:t>
            </w:r>
          </w:p>
        </w:tc>
      </w:tr>
      <w:tr>
        <w:tc>
          <w:tcPr>
            <w:tcW w:type="dxa" w:w="3228"/>
            <w:tcMar>
              <w:top w:w="70" w:type="dxa"/>
              <w:left w:w="80" w:type="dxa"/>
              <w:bottom w:w="70" w:type="dxa"/>
              <w:right w:w="80" w:type="dxa"/>
            </w:tcMar>
          </w:tcPr>
          <w:p>
            <w:r>
              <w:t>INT-01 Analytics</w:t>
            </w:r>
          </w:p>
        </w:tc>
        <w:tc>
          <w:tcPr>
            <w:tcW w:type="dxa" w:w="3228"/>
            <w:tcMar>
              <w:top w:w="70" w:type="dxa"/>
              <w:left w:w="80" w:type="dxa"/>
              <w:bottom w:w="70" w:type="dxa"/>
              <w:right w:w="80" w:type="dxa"/>
            </w:tcMar>
          </w:tcPr>
          <w:p>
            <w:r>
              <w:t>Pilot basic read models; V1.5 advanced BI/forecasting</w:t>
            </w:r>
          </w:p>
        </w:tc>
        <w:tc>
          <w:tcPr>
            <w:tcW w:type="dxa" w:w="3228"/>
            <w:tcMar>
              <w:top w:w="70" w:type="dxa"/>
              <w:left w:w="80" w:type="dxa"/>
              <w:bottom w:w="70" w:type="dxa"/>
              <w:right w:w="80" w:type="dxa"/>
            </w:tcMar>
          </w:tcPr>
          <w:p>
            <w:r>
              <w:t>Pilot dashboards use operational projections; warehouse/forecast/benchmark remains later.</w:t>
            </w:r>
          </w:p>
        </w:tc>
      </w:tr>
      <w:tr>
        <w:tc>
          <w:tcPr>
            <w:tcW w:type="dxa" w:w="3228"/>
            <w:tcMar>
              <w:top w:w="70" w:type="dxa"/>
              <w:left w:w="80" w:type="dxa"/>
              <w:bottom w:w="70" w:type="dxa"/>
              <w:right w:w="80" w:type="dxa"/>
            </w:tcMar>
          </w:tcPr>
          <w:p>
            <w:r>
              <w:t>ECO-02 Integration Framework</w:t>
            </w:r>
          </w:p>
        </w:tc>
        <w:tc>
          <w:tcPr>
            <w:tcW w:type="dxa" w:w="3228"/>
            <w:tcMar>
              <w:top w:w="70" w:type="dxa"/>
              <w:left w:w="80" w:type="dxa"/>
              <w:bottom w:w="70" w:type="dxa"/>
              <w:right w:w="80" w:type="dxa"/>
            </w:tcMar>
          </w:tcPr>
          <w:p>
            <w:r>
              <w:t>Foundation adapter core; V2 marketplace</w:t>
            </w:r>
          </w:p>
        </w:tc>
        <w:tc>
          <w:tcPr>
            <w:tcW w:type="dxa" w:w="3228"/>
            <w:tcMar>
              <w:top w:w="70" w:type="dxa"/>
              <w:left w:w="80" w:type="dxa"/>
              <w:bottom w:w="70" w:type="dxa"/>
              <w:right w:w="80" w:type="dxa"/>
            </w:tcMar>
          </w:tcPr>
          <w:p>
            <w:r>
              <w:t>Provider contract/secret/health/sync cursor ships early; public marketplace/certification portal later.</w:t>
            </w:r>
          </w:p>
        </w:tc>
      </w:tr>
      <w:tr>
        <w:tc>
          <w:tcPr>
            <w:tcW w:type="dxa" w:w="3228"/>
            <w:tcMar>
              <w:top w:w="70" w:type="dxa"/>
              <w:left w:w="80" w:type="dxa"/>
              <w:bottom w:w="70" w:type="dxa"/>
              <w:right w:w="80" w:type="dxa"/>
            </w:tcMar>
          </w:tcPr>
          <w:p>
            <w:r>
              <w:t>ECO-03 Hardware/Edge</w:t>
            </w:r>
          </w:p>
        </w:tc>
        <w:tc>
          <w:tcPr>
            <w:tcW w:type="dxa" w:w="3228"/>
            <w:tcMar>
              <w:top w:w="70" w:type="dxa"/>
              <w:left w:w="80" w:type="dxa"/>
              <w:bottom w:w="70" w:type="dxa"/>
              <w:right w:w="80" w:type="dxa"/>
            </w:tcMar>
          </w:tcPr>
          <w:p>
            <w:r>
              <w:t>Foundation/Pilot edge bridge; V2 fleet platform</w:t>
            </w:r>
          </w:p>
        </w:tc>
        <w:tc>
          <w:tcPr>
            <w:tcW w:type="dxa" w:w="3228"/>
            <w:tcMar>
              <w:top w:w="70" w:type="dxa"/>
              <w:left w:w="80" w:type="dxa"/>
              <w:bottom w:w="70" w:type="dxa"/>
              <w:right w:w="80" w:type="dxa"/>
            </w:tcMar>
          </w:tcPr>
          <w:p>
            <w:r>
              <w:t>Access device bridge, mTLS, signed snapshot and update channel ship before Pilot; large fleet management/marketplace later.</w:t>
            </w:r>
          </w:p>
        </w:tc>
      </w:tr>
      <w:tr>
        <w:tc>
          <w:tcPr>
            <w:tcW w:type="dxa" w:w="3228"/>
            <w:tcMar>
              <w:top w:w="70" w:type="dxa"/>
              <w:left w:w="80" w:type="dxa"/>
              <w:bottom w:w="70" w:type="dxa"/>
              <w:right w:w="80" w:type="dxa"/>
            </w:tcMar>
          </w:tcPr>
          <w:p>
            <w:r>
              <w:t>LIF-02 Migration</w:t>
            </w:r>
          </w:p>
        </w:tc>
        <w:tc>
          <w:tcPr>
            <w:tcW w:type="dxa" w:w="3228"/>
            <w:tcMar>
              <w:top w:w="70" w:type="dxa"/>
              <w:left w:w="80" w:type="dxa"/>
              <w:bottom w:w="70" w:type="dxa"/>
              <w:right w:w="80" w:type="dxa"/>
            </w:tcMar>
          </w:tcPr>
          <w:p>
            <w:r>
              <w:t>Pilot</w:t>
            </w:r>
          </w:p>
        </w:tc>
        <w:tc>
          <w:tcPr>
            <w:tcW w:type="dxa" w:w="3228"/>
            <w:tcMar>
              <w:top w:w="70" w:type="dxa"/>
              <w:left w:w="80" w:type="dxa"/>
              <w:bottom w:w="70" w:type="dxa"/>
              <w:right w:w="80" w:type="dxa"/>
            </w:tcMar>
          </w:tcPr>
          <w:p>
            <w:r>
              <w:t>Depends on Pilot slices of membership/finance rather than waiting for complete V1 domain depth.</w:t>
            </w:r>
          </w:p>
        </w:tc>
      </w:tr>
      <w:tr>
        <w:tc>
          <w:tcPr>
            <w:tcW w:type="dxa" w:w="3228"/>
            <w:tcMar>
              <w:top w:w="70" w:type="dxa"/>
              <w:left w:w="80" w:type="dxa"/>
              <w:bottom w:w="70" w:type="dxa"/>
              <w:right w:w="80" w:type="dxa"/>
            </w:tcMar>
          </w:tcPr>
          <w:p>
            <w:r>
              <w:t>GOV-04 GTM/knowledge</w:t>
            </w:r>
          </w:p>
        </w:tc>
        <w:tc>
          <w:tcPr>
            <w:tcW w:type="dxa" w:w="3228"/>
            <w:tcMar>
              <w:top w:w="70" w:type="dxa"/>
              <w:left w:w="80" w:type="dxa"/>
              <w:bottom w:w="70" w:type="dxa"/>
              <w:right w:w="80" w:type="dxa"/>
            </w:tcMar>
          </w:tcPr>
          <w:p>
            <w:r>
              <w:t>Pilot without WHT-01 dependency</w:t>
            </w:r>
          </w:p>
        </w:tc>
        <w:tc>
          <w:tcPr>
            <w:tcW w:type="dxa" w:w="3228"/>
            <w:tcMar>
              <w:top w:w="70" w:type="dxa"/>
              <w:left w:w="80" w:type="dxa"/>
              <w:bottom w:w="70" w:type="dxa"/>
              <w:right w:w="80" w:type="dxa"/>
            </w:tcMar>
          </w:tcPr>
          <w:p>
            <w:r>
              <w:t>Uses content/config and WHT-02 localization; branded app builder is not a Pilot dependency.</w:t>
            </w:r>
          </w:p>
        </w:tc>
      </w:tr>
    </w:tbl>
    <w:p>
      <w:pPr>
        <w:pStyle w:val="Heading1"/>
        <w:keepNext/>
      </w:pPr>
      <w:r>
        <w:t>30. Open Decisions, Spikes &amp; External Validation Gates</w:t>
      </w:r>
    </w:p>
    <w:tbl>
      <w:tblPr>
        <w:tblStyle w:val="TableGrid"/>
        <w:tblW w:type="dxa" w:w="9684"/>
        <w:jc w:val="center"/>
        <w:tblLayout w:type="autofit"/>
        <w:tblLook w:firstColumn="1" w:firstRow="1" w:lastColumn="0" w:lastRow="0" w:noHBand="0" w:noVBand="1" w:val="04A0"/>
      </w:tblPr>
      <w:tblGrid>
        <w:gridCol w:w="3228"/>
        <w:gridCol w:w="3228"/>
        <w:gridCol w:w="3228"/>
      </w:tblGrid>
      <w:tr>
        <w:trPr>
          <w:tblHeader w:val="true"/>
          <w:tblHeader w:val="true"/>
        </w:trPr>
        <w:tc>
          <w:tcPr>
            <w:tcW w:type="dxa" w:w="2837"/>
            <w:shd w:fill="2F5B86"/>
            <w:tcMar>
              <w:top w:w="70" w:type="dxa"/>
              <w:start w:w="90" w:type="dxa"/>
              <w:bottom w:w="70" w:type="dxa"/>
              <w:end w:w="90" w:type="dxa"/>
              <w:left w:w="80" w:type="dxa"/>
              <w:right w:w="80" w:type="dxa"/>
            </w:tcMar>
            <w:vAlign w:val="center"/>
          </w:tcPr>
          <w:p>
            <w:pPr>
              <w:jc w:val="center"/>
            </w:pPr>
            <w:r>
              <w:rPr>
                <w:rFonts w:ascii="Noto Sans" w:hAnsi="Noto Sans"/>
                <w:b/>
                <w:color w:val="FFFFFF"/>
                <w:sz w:val="16"/>
              </w:rPr>
              <w:t>Decision / Gate</w:t>
            </w:r>
          </w:p>
        </w:tc>
        <w:tc>
          <w:tcPr>
            <w:tcW w:type="dxa" w:w="1631"/>
            <w:shd w:fill="2F5B86"/>
            <w:tcMar>
              <w:top w:w="70" w:type="dxa"/>
              <w:start w:w="90" w:type="dxa"/>
              <w:bottom w:w="70" w:type="dxa"/>
              <w:end w:w="90" w:type="dxa"/>
              <w:left w:w="80" w:type="dxa"/>
              <w:right w:w="80" w:type="dxa"/>
            </w:tcMar>
            <w:vAlign w:val="center"/>
          </w:tcPr>
          <w:p>
            <w:pPr>
              <w:jc w:val="center"/>
            </w:pPr>
            <w:r>
              <w:rPr>
                <w:rFonts w:ascii="Noto Sans" w:hAnsi="Noto Sans"/>
                <w:b/>
                <w:color w:val="FFFFFF"/>
                <w:sz w:val="16"/>
              </w:rPr>
              <w:t>Due</w:t>
            </w:r>
          </w:p>
        </w:tc>
        <w:tc>
          <w:tcPr>
            <w:tcW w:type="dxa" w:w="6028"/>
            <w:shd w:fill="2F5B86"/>
            <w:tcMar>
              <w:top w:w="70" w:type="dxa"/>
              <w:start w:w="90" w:type="dxa"/>
              <w:bottom w:w="70" w:type="dxa"/>
              <w:end w:w="90" w:type="dxa"/>
              <w:left w:w="80" w:type="dxa"/>
              <w:right w:w="80" w:type="dxa"/>
            </w:tcMar>
            <w:vAlign w:val="center"/>
          </w:tcPr>
          <w:p>
            <w:pPr>
              <w:jc w:val="center"/>
            </w:pPr>
            <w:r>
              <w:rPr>
                <w:rFonts w:ascii="Noto Sans" w:hAnsi="Noto Sans"/>
                <w:b/>
                <w:color w:val="FFFFFF"/>
                <w:sz w:val="16"/>
              </w:rPr>
              <w:t>Required Validation</w:t>
            </w:r>
          </w:p>
        </w:tc>
      </w:tr>
      <w:tr>
        <w:tc>
          <w:tcPr>
            <w:tcW w:type="dxa" w:w="283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OIDC/Auth provider selection</w:t>
            </w:r>
          </w:p>
        </w:tc>
        <w:tc>
          <w:tcPr>
            <w:tcW w:type="dxa" w:w="163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Foundation</w:t>
            </w:r>
          </w:p>
        </w:tc>
        <w:tc>
          <w:tcPr>
            <w:tcW w:type="dxa" w:w="602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Evaluate passkeys, phone/email OTP, MFA, mobile SDK, enterprise federation cost and regional availability. Architecture remains provider-adapter based.</w:t>
            </w:r>
          </w:p>
        </w:tc>
      </w:tr>
      <w:tr>
        <w:tc>
          <w:tcPr>
            <w:tcW w:type="dxa" w:w="283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Primary payment/acquirer(s) for Jordan</w:t>
            </w:r>
          </w:p>
        </w:tc>
        <w:tc>
          <w:tcPr>
            <w:tcW w:type="dxa" w:w="163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Pilot</w:t>
            </w:r>
          </w:p>
        </w:tc>
        <w:tc>
          <w:tcPr>
            <w:tcW w:type="dxa" w:w="602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Validate tokenization, recurring billing, refunds, webhooks, settlement files, terminal/POS and PCI model.</w:t>
            </w:r>
          </w:p>
        </w:tc>
      </w:tr>
      <w:tr>
        <w:tc>
          <w:tcPr>
            <w:tcW w:type="dxa" w:w="283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JoFotara official integration contract</w:t>
            </w:r>
          </w:p>
        </w:tc>
        <w:tc>
          <w:tcPr>
            <w:tcW w:type="dxa" w:w="163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Pilot</w:t>
            </w:r>
          </w:p>
        </w:tc>
        <w:tc>
          <w:tcPr>
            <w:tcW w:type="dxa" w:w="602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Validate current official schemas, credentials, environment/certification, QR/reference, credit/cancellation semantics and outage policy.</w:t>
            </w:r>
          </w:p>
        </w:tc>
      </w:tr>
      <w:tr>
        <w:tc>
          <w:tcPr>
            <w:tcW w:type="dxa" w:w="283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WhatsApp BSP/provider</w:t>
            </w:r>
          </w:p>
        </w:tc>
        <w:tc>
          <w:tcPr>
            <w:tcW w:type="dxa" w:w="163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Pilot</w:t>
            </w:r>
          </w:p>
        </w:tc>
        <w:tc>
          <w:tcPr>
            <w:tcW w:type="dxa" w:w="602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Validate tenant sender model, template workflow, inbound messages, pricing, delivery callbacks and data residency.</w:t>
            </w:r>
          </w:p>
        </w:tc>
      </w:tr>
      <w:tr>
        <w:tc>
          <w:tcPr>
            <w:tcW w:type="dxa" w:w="283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Access hardware priority list</w:t>
            </w:r>
          </w:p>
        </w:tc>
        <w:tc>
          <w:tcPr>
            <w:tcW w:type="dxa" w:w="163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Pilot/V2</w:t>
            </w:r>
          </w:p>
        </w:tc>
        <w:tc>
          <w:tcPr>
            <w:tcW w:type="dxa" w:w="602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Certify actual ZKTeco/Suprema models/protocols; validate local bridge, anti-passback, offline latency and vendor support.</w:t>
            </w:r>
          </w:p>
        </w:tc>
      </w:tr>
      <w:tr>
        <w:tc>
          <w:tcPr>
            <w:tcW w:type="dxa" w:w="283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Biometric vendor/liveness</w:t>
            </w:r>
          </w:p>
        </w:tc>
        <w:tc>
          <w:tcPr>
            <w:tcW w:type="dxa" w:w="163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V2</w:t>
            </w:r>
          </w:p>
        </w:tc>
        <w:tc>
          <w:tcPr>
            <w:tcW w:type="dxa" w:w="602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Security/privacy/legal review, template portability, deletion, spoof testing, edge/cloud architecture and fallback.</w:t>
            </w:r>
          </w:p>
        </w:tc>
      </w:tr>
      <w:tr>
        <w:tc>
          <w:tcPr>
            <w:tcW w:type="dxa" w:w="2837"/>
            <w:tcMar>
              <w:top w:w="70" w:type="dxa"/>
              <w:start w:w="85" w:type="dxa"/>
              <w:bottom w:w="70" w:type="dxa"/>
              <w:end w:w="85" w:type="dxa"/>
              <w:left w:w="80" w:type="dxa"/>
              <w:right w:w="80" w:type="dxa"/>
            </w:tcMar>
            <w:vAlign w:val="center"/>
          </w:tcPr>
          <w:p>
            <w:r/>
            <w:r>
              <w:rPr>
                <w:b w:val="0"/>
                <w:sz w:val="17"/>
              </w:rPr>
              <w:t>KMP + Compose Multiplatform production qualification</w:t>
            </w:r>
          </w:p>
        </w:tc>
        <w:tc>
          <w:tcPr>
            <w:tcW w:type="dxa" w:w="1631"/>
            <w:tcMar>
              <w:top w:w="70" w:type="dxa"/>
              <w:start w:w="85" w:type="dxa"/>
              <w:bottom w:w="70" w:type="dxa"/>
              <w:end w:w="85" w:type="dxa"/>
              <w:left w:w="80" w:type="dxa"/>
              <w:right w:w="80" w:type="dxa"/>
            </w:tcMar>
            <w:vAlign w:val="center"/>
          </w:tcPr>
          <w:p>
            <w:r/>
            <w:r>
              <w:rPr>
                <w:b w:val="0"/>
                <w:sz w:val="17"/>
              </w:rPr>
              <w:t>Before mobile production freeze</w:t>
            </w:r>
          </w:p>
        </w:tc>
        <w:tc>
          <w:tcPr>
            <w:tcW w:type="dxa" w:w="6028"/>
            <w:tcMar>
              <w:top w:w="70" w:type="dxa"/>
              <w:start w:w="85" w:type="dxa"/>
              <w:bottom w:w="70" w:type="dxa"/>
              <w:end w:w="85" w:type="dxa"/>
              <w:left w:w="80" w:type="dxa"/>
              <w:right w:w="80" w:type="dxa"/>
            </w:tcMar>
            <w:vAlign w:val="center"/>
          </w:tcPr>
          <w:p>
            <w:r/>
            <w:r>
              <w:rPr>
                <w:b w:val="0"/>
                <w:sz w:val="17"/>
              </w:rPr>
              <w:t>Validate the chosen Kotlin/KMP/Compose toolchain on both platforms: Arabic RTL/bidi, TalkBack/VoiceOver and font scaling, startup/jank/memory, offline SQLDelight + background sync, deep links, biometrics/secure storage, push, camera/barcode, NFC, wallet/payment SDKs and health integrations. Any failing capability uses the ADR-017 native interop escape hatch; do not fork the whole application.</w:t>
            </w:r>
          </w:p>
        </w:tc>
      </w:tr>
      <w:tr>
        <w:tc>
          <w:tcPr>
            <w:tcW w:type="dxa" w:w="283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Analytics warehouse implementation</w:t>
            </w:r>
          </w:p>
        </w:tc>
        <w:tc>
          <w:tcPr>
            <w:tcW w:type="dxa" w:w="163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V1.5</w:t>
            </w:r>
          </w:p>
        </w:tc>
        <w:tc>
          <w:tcPr>
            <w:tcW w:type="dxa" w:w="602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Choose ClickHouse/lakehouse/managed warehouse based on event volume, BI needs, team skill and cost.</w:t>
            </w:r>
          </w:p>
        </w:tc>
      </w:tr>
      <w:tr>
        <w:tc>
          <w:tcPr>
            <w:tcW w:type="dxa" w:w="283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Data residency/regional deployment</w:t>
            </w:r>
          </w:p>
        </w:tc>
        <w:tc>
          <w:tcPr>
            <w:tcW w:type="dxa" w:w="163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Enterprise</w:t>
            </w:r>
          </w:p>
        </w:tc>
        <w:tc>
          <w:tcPr>
            <w:tcW w:type="dxa" w:w="602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Define customer demand and legal obligations before provisioning additional regions/dedicated clusters.</w:t>
            </w:r>
          </w:p>
        </w:tc>
      </w:tr>
      <w:tr>
        <w:tc>
          <w:tcPr>
            <w:tcW w:type="dxa" w:w="283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Payroll/labor policy</w:t>
            </w:r>
          </w:p>
        </w:tc>
        <w:tc>
          <w:tcPr>
            <w:tcW w:type="dxa" w:w="163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V1.5/Regional</w:t>
            </w:r>
          </w:p>
        </w:tc>
        <w:tc>
          <w:tcPr>
            <w:tcW w:type="dxa" w:w="602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Regional labor/finance review; architecture supports policy packs but does not hard-code Jordan payroll law.</w:t>
            </w:r>
          </w:p>
        </w:tc>
      </w:tr>
      <w:tr>
        <w:tc>
          <w:tcPr>
            <w:tcW w:type="dxa" w:w="283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Nutrition clinical policy</w:t>
            </w:r>
          </w:p>
        </w:tc>
        <w:tc>
          <w:tcPr>
            <w:tcW w:type="dxa" w:w="163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V1.5/Regional</w:t>
            </w:r>
          </w:p>
        </w:tc>
        <w:tc>
          <w:tcPr>
            <w:tcW w:type="dxa" w:w="602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Clinical/accountable reviewer defines trigger/routing rules; architecture supports review-required/restricted/disabled modes.</w:t>
            </w:r>
          </w:p>
        </w:tc>
      </w:tr>
      <w:tr>
        <w:tc>
          <w:tcPr>
            <w:tcW w:type="dxa" w:w="283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Exact retention schedule</w:t>
            </w:r>
          </w:p>
        </w:tc>
        <w:tc>
          <w:tcPr>
            <w:tcW w:type="dxa" w:w="163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Foundation/Regional</w:t>
            </w:r>
          </w:p>
        </w:tc>
        <w:tc>
          <w:tcPr>
            <w:tcW w:type="dxa" w:w="6028"/>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6"/>
              </w:rPr>
              <w:t>Privacy/legal review by data class and jurisdiction; architecture supports versioned policies and verified deletion.</w:t>
            </w:r>
          </w:p>
        </w:tc>
      </w:tr>
    </w:tbl>
    <w:p>
      <w:pPr>
        <w:spacing w:after="40"/>
      </w:pPr>
    </w:p>
    <w:p>
      <w:pPr>
        <w:sectPr>
          <w:footerReference w:type="default" r:id="rId9"/>
          <w:headerReference w:type="default" r:id="rId17"/>
          <w:pgSz w:w="11906" w:h="16838"/>
          <w:pgMar w:top="936" w:right="1037" w:bottom="936" w:left="1037" w:header="720" w:footer="720" w:gutter="0"/>
          <w:cols w:space="720"/>
          <w:docGrid w:linePitch="360"/>
        </w:sectPr>
      </w:pPr>
    </w:p>
    <w:p>
      <w:pPr>
        <w:pStyle w:val="Heading1"/>
        <w:keepNext/>
      </w:pPr>
      <w:r>
        <w:t>Appendix A. Critical Flow Architecture Matrix</w:t>
      </w:r>
    </w:p>
    <w:p>
      <w:pPr>
        <w:spacing w:after="100" w:line="259" w:lineRule="auto"/>
      </w:pPr>
      <w:r>
        <w:rPr>
          <w:rFonts w:ascii="Noto Sans" w:hAnsi="Noto Sans"/>
        </w:rPr>
        <w:t>All 34 Blueprint critical flows are preserved. Cross-domain flows use authoritative domain commands, transactional outbox events and durable workflow orchestration where an external provider, timer, human approval or multiple domain commits are involved.</w:t>
      </w:r>
    </w:p>
    <w:tbl>
      <w:tblPr>
        <w:tblStyle w:val="TableGrid"/>
        <w:tblW w:type="dxa" w:w="15308"/>
        <w:jc w:val="center"/>
        <w:tblLayout w:type="autofit"/>
        <w:tblLook w:firstColumn="1" w:firstRow="1" w:lastColumn="0" w:lastRow="0" w:noHBand="0" w:noVBand="1" w:val="04A0"/>
      </w:tblPr>
      <w:tblGrid>
        <w:gridCol w:w="2186"/>
        <w:gridCol w:w="2187"/>
        <w:gridCol w:w="2187"/>
        <w:gridCol w:w="2187"/>
        <w:gridCol w:w="2187"/>
        <w:gridCol w:w="2187"/>
        <w:gridCol w:w="2187"/>
      </w:tblGrid>
      <w:tr>
        <w:trPr>
          <w:tblHeader w:val="true"/>
          <w:tblHeader w:val="true"/>
        </w:trPr>
        <w:tc>
          <w:tcPr>
            <w:tcW w:type="dxa" w:w="780"/>
            <w:shd w:fill="2F5B86"/>
            <w:tcMar>
              <w:top w:w="70" w:type="dxa"/>
              <w:start w:w="90" w:type="dxa"/>
              <w:bottom w:w="70" w:type="dxa"/>
              <w:end w:w="90" w:type="dxa"/>
              <w:left w:w="80" w:type="dxa"/>
              <w:right w:w="80" w:type="dxa"/>
            </w:tcMar>
            <w:vAlign w:val="center"/>
          </w:tcPr>
          <w:p>
            <w:pPr>
              <w:jc w:val="center"/>
            </w:pPr>
            <w:r>
              <w:rPr>
                <w:rFonts w:ascii="Noto Sans" w:hAnsi="Noto Sans"/>
                <w:b/>
                <w:color w:val="FFFFFF"/>
                <w:sz w:val="13"/>
              </w:rPr>
              <w:t>ID</w:t>
            </w:r>
          </w:p>
        </w:tc>
        <w:tc>
          <w:tcPr>
            <w:tcW w:type="dxa" w:w="3121"/>
            <w:shd w:fill="2F5B86"/>
            <w:tcMar>
              <w:top w:w="70" w:type="dxa"/>
              <w:start w:w="90" w:type="dxa"/>
              <w:bottom w:w="70" w:type="dxa"/>
              <w:end w:w="90" w:type="dxa"/>
              <w:left w:w="80" w:type="dxa"/>
              <w:right w:w="80" w:type="dxa"/>
            </w:tcMar>
            <w:vAlign w:val="center"/>
          </w:tcPr>
          <w:p>
            <w:pPr>
              <w:jc w:val="center"/>
            </w:pPr>
            <w:r>
              <w:rPr>
                <w:rFonts w:ascii="Noto Sans" w:hAnsi="Noto Sans"/>
                <w:b/>
                <w:color w:val="FFFFFF"/>
                <w:sz w:val="13"/>
              </w:rPr>
              <w:t>Flow</w:t>
            </w:r>
          </w:p>
        </w:tc>
        <w:tc>
          <w:tcPr>
            <w:tcW w:type="dxa" w:w="2199"/>
            <w:shd w:fill="2F5B86"/>
            <w:tcMar>
              <w:top w:w="70" w:type="dxa"/>
              <w:start w:w="90" w:type="dxa"/>
              <w:bottom w:w="70" w:type="dxa"/>
              <w:end w:w="90" w:type="dxa"/>
              <w:left w:w="80" w:type="dxa"/>
              <w:right w:w="80" w:type="dxa"/>
            </w:tcMar>
            <w:vAlign w:val="center"/>
          </w:tcPr>
          <w:p>
            <w:pPr>
              <w:jc w:val="center"/>
            </w:pPr>
            <w:r>
              <w:rPr>
                <w:rFonts w:ascii="Noto Sans" w:hAnsi="Noto Sans"/>
                <w:b/>
                <w:color w:val="FFFFFF"/>
                <w:sz w:val="13"/>
              </w:rPr>
              <w:t>Actors</w:t>
            </w:r>
          </w:p>
        </w:tc>
        <w:tc>
          <w:tcPr>
            <w:tcW w:type="dxa" w:w="2199"/>
            <w:shd w:fill="2F5B86"/>
            <w:tcMar>
              <w:top w:w="70" w:type="dxa"/>
              <w:start w:w="90" w:type="dxa"/>
              <w:bottom w:w="70" w:type="dxa"/>
              <w:end w:w="90" w:type="dxa"/>
              <w:left w:w="80" w:type="dxa"/>
              <w:right w:w="80" w:type="dxa"/>
            </w:tcMar>
            <w:vAlign w:val="center"/>
          </w:tcPr>
          <w:p>
            <w:pPr>
              <w:jc w:val="center"/>
            </w:pPr>
            <w:r>
              <w:rPr>
                <w:rFonts w:ascii="Noto Sans" w:hAnsi="Noto Sans"/>
                <w:b/>
                <w:color w:val="FFFFFF"/>
                <w:sz w:val="13"/>
              </w:rPr>
              <w:t>Pattern</w:t>
            </w:r>
          </w:p>
        </w:tc>
        <w:tc>
          <w:tcPr>
            <w:tcW w:type="dxa" w:w="2837"/>
            <w:shd w:fill="2F5B86"/>
            <w:tcMar>
              <w:top w:w="70" w:type="dxa"/>
              <w:start w:w="90" w:type="dxa"/>
              <w:bottom w:w="70" w:type="dxa"/>
              <w:end w:w="90" w:type="dxa"/>
              <w:left w:w="80" w:type="dxa"/>
              <w:right w:w="80" w:type="dxa"/>
            </w:tcMar>
            <w:vAlign w:val="center"/>
          </w:tcPr>
          <w:p>
            <w:pPr>
              <w:jc w:val="center"/>
            </w:pPr>
            <w:r>
              <w:rPr>
                <w:rFonts w:ascii="Noto Sans" w:hAnsi="Noto Sans"/>
                <w:b/>
                <w:color w:val="FFFFFF"/>
                <w:sz w:val="13"/>
              </w:rPr>
              <w:t>Transaction Boundary</w:t>
            </w:r>
          </w:p>
        </w:tc>
        <w:tc>
          <w:tcPr>
            <w:tcW w:type="dxa" w:w="2979"/>
            <w:shd w:fill="2F5B86"/>
            <w:tcMar>
              <w:top w:w="70" w:type="dxa"/>
              <w:start w:w="90" w:type="dxa"/>
              <w:bottom w:w="70" w:type="dxa"/>
              <w:end w:w="90" w:type="dxa"/>
              <w:left w:w="80" w:type="dxa"/>
              <w:right w:w="80" w:type="dxa"/>
            </w:tcMar>
            <w:vAlign w:val="center"/>
          </w:tcPr>
          <w:p>
            <w:pPr>
              <w:jc w:val="center"/>
            </w:pPr>
            <w:r>
              <w:rPr>
                <w:rFonts w:ascii="Noto Sans" w:hAnsi="Noto Sans"/>
                <w:b/>
                <w:color w:val="FFFFFF"/>
                <w:sz w:val="13"/>
              </w:rPr>
              <w:t>Failure / Recovery</w:t>
            </w:r>
          </w:p>
        </w:tc>
        <w:tc>
          <w:tcPr>
            <w:tcW w:type="dxa" w:w="3546"/>
            <w:shd w:fill="2F5B86"/>
            <w:tcMar>
              <w:top w:w="70" w:type="dxa"/>
              <w:start w:w="90" w:type="dxa"/>
              <w:bottom w:w="70" w:type="dxa"/>
              <w:end w:w="90" w:type="dxa"/>
              <w:left w:w="80" w:type="dxa"/>
              <w:right w:w="80" w:type="dxa"/>
            </w:tcMar>
            <w:vAlign w:val="center"/>
          </w:tcPr>
          <w:p>
            <w:pPr>
              <w:jc w:val="center"/>
            </w:pPr>
            <w:r>
              <w:rPr>
                <w:rFonts w:ascii="Noto Sans" w:hAnsi="Noto Sans"/>
                <w:b/>
                <w:color w:val="FFFFFF"/>
                <w:sz w:val="13"/>
              </w:rPr>
              <w:t>Key Events</w:t>
            </w:r>
          </w:p>
        </w:tc>
      </w:tr>
      <w:tr>
        <w:tc>
          <w:tcPr>
            <w:tcW w:type="dxa" w:w="78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FL-01</w:t>
            </w:r>
          </w:p>
        </w:tc>
        <w:tc>
          <w:tcPr>
            <w:tcW w:type="dxa" w:w="312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Provision a New SaaS Tenant</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Sales/Finance; SaaS Operations; Tenant Owner</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Durable workflow</w:t>
            </w:r>
          </w:p>
        </w:tc>
        <w:tc>
          <w:tcPr>
            <w:tcW w:type="dxa" w:w="2837"/>
            <w:tcMar>
              <w:top w:w="70" w:type="dxa"/>
              <w:start w:w="85" w:type="dxa"/>
              <w:bottom w:w="70" w:type="dxa"/>
              <w:end w:w="85" w:type="dxa"/>
              <w:left w:w="80" w:type="dxa"/>
              <w:right w:w="80" w:type="dxa"/>
            </w:tcMar>
            <w:vAlign w:val="center"/>
          </w:tcPr>
          <w:p>
            <w:r>
              <w:t>Control-plane subscription/tenant/provisioning steps commit independently; workflow state points at every created resource.</w:t>
            </w:r>
          </w:p>
        </w:tc>
        <w:tc>
          <w:tcPr>
            <w:tcW w:type="dxa" w:w="2979"/>
            <w:tcMar>
              <w:top w:w="70" w:type="dxa"/>
              <w:start w:w="85" w:type="dxa"/>
              <w:bottom w:w="70" w:type="dxa"/>
              <w:end w:w="85" w:type="dxa"/>
              <w:left w:w="80" w:type="dxa"/>
              <w:right w:w="80" w:type="dxa"/>
            </w:tcMar>
            <w:vAlign w:val="center"/>
          </w:tcPr>
          <w:p>
            <w:r>
              <w:t>Retry idempotent steps; on failure suspend/quarantine partial tenant, compensate external resources and resume from last verified checkpoint.</w:t>
            </w:r>
          </w:p>
        </w:tc>
        <w:tc>
          <w:tcPr>
            <w:tcW w:type="dxa" w:w="354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saas.subscription.started, tenant.provisioned, implementation.started</w:t>
            </w:r>
          </w:p>
        </w:tc>
      </w:tr>
      <w:tr>
        <w:tc>
          <w:tcPr>
            <w:tcW w:type="dxa" w:w="78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FL-02</w:t>
            </w:r>
          </w:p>
        </w:tc>
        <w:tc>
          <w:tcPr>
            <w:tcW w:type="dxa" w:w="312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Onboard, Migrate and Go Live</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Implementation Manager; Gym Admin; Data Specialist; Operations</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Durable workflow</w:t>
            </w:r>
          </w:p>
        </w:tc>
        <w:tc>
          <w:tcPr>
            <w:tcW w:type="dxa" w:w="2837"/>
            <w:tcMar>
              <w:top w:w="70" w:type="dxa"/>
              <w:start w:w="85" w:type="dxa"/>
              <w:bottom w:w="70" w:type="dxa"/>
              <w:end w:w="85" w:type="dxa"/>
              <w:left w:w="80" w:type="dxa"/>
              <w:right w:w="80" w:type="dxa"/>
            </w:tcMar>
            <w:vAlign w:val="center"/>
          </w:tcPr>
          <w:p>
            <w:r>
              <w:t>Migration writes staging first; canonical import/delta cutover is per-domain transaction with signed reconciliation before route switch.</w:t>
            </w:r>
          </w:p>
        </w:tc>
        <w:tc>
          <w:tcPr>
            <w:tcW w:type="dxa" w:w="2979"/>
            <w:tcMar>
              <w:top w:w="70" w:type="dxa"/>
              <w:start w:w="85" w:type="dxa"/>
              <w:bottom w:w="70" w:type="dxa"/>
              <w:end w:w="85" w:type="dxa"/>
              <w:left w:w="80" w:type="dxa"/>
              <w:right w:w="80" w:type="dxa"/>
            </w:tcMar>
            <w:vAlign w:val="center"/>
          </w:tcPr>
          <w:p>
            <w:r>
              <w:t>Failed validation never mutates canonical data; cutover rollback returns routing to legacy/source until deltas/control totals reconcile.</w:t>
            </w:r>
          </w:p>
        </w:tc>
        <w:tc>
          <w:tcPr>
            <w:tcW w:type="dxa" w:w="354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migration.reconciled, go_live.approved, tenant.went_live</w:t>
            </w:r>
          </w:p>
        </w:tc>
      </w:tr>
      <w:tr>
        <w:tc>
          <w:tcPr>
            <w:tcW w:type="dxa" w:w="78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FL-03</w:t>
            </w:r>
          </w:p>
        </w:tc>
        <w:tc>
          <w:tcPr>
            <w:tcW w:type="dxa" w:w="312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Lead to Trial to Active Member</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Lead; Sales; Reception; System</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CRM conversion</w:t>
            </w:r>
          </w:p>
        </w:tc>
        <w:tc>
          <w:tcPr>
            <w:tcW w:type="dxa" w:w="2837"/>
            <w:tcMar>
              <w:top w:w="70" w:type="dxa"/>
              <w:start w:w="85" w:type="dxa"/>
              <w:bottom w:w="70" w:type="dxa"/>
              <w:end w:w="85" w:type="dxa"/>
              <w:left w:w="80" w:type="dxa"/>
              <w:right w:w="80" w:type="dxa"/>
            </w:tcMar>
            <w:vAlign w:val="center"/>
          </w:tcPr>
          <w:p>
            <w:r>
              <w:t>CRM conversion atomically creates/links Person and conversion record with attribution; membership activation is a separate command after commercial success.</w:t>
            </w:r>
          </w:p>
        </w:tc>
        <w:tc>
          <w:tcPr>
            <w:tcW w:type="dxa" w:w="2979"/>
            <w:tcMar>
              <w:top w:w="70" w:type="dxa"/>
              <w:start w:w="85" w:type="dxa"/>
              <w:bottom w:w="70" w:type="dxa"/>
              <w:end w:w="85" w:type="dxa"/>
              <w:left w:w="80" w:type="dxa"/>
              <w:right w:w="80" w:type="dxa"/>
            </w:tcMar>
            <w:vAlign w:val="center"/>
          </w:tcPr>
          <w:p>
            <w:r>
              <w:t>Conversion idempotency prevents duplicate people/members; failed membership leaves won opportunity linked and recoverable without losing history.</w:t>
            </w:r>
          </w:p>
        </w:tc>
        <w:tc>
          <w:tcPr>
            <w:tcW w:type="dxa" w:w="354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lead.created, trial.attended, opportunity.won, membership.activated</w:t>
            </w:r>
          </w:p>
        </w:tc>
      </w:tr>
      <w:tr>
        <w:tc>
          <w:tcPr>
            <w:tcW w:type="dxa" w:w="78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FL-04</w:t>
            </w:r>
          </w:p>
        </w:tc>
        <w:tc>
          <w:tcPr>
            <w:tcW w:type="dxa" w:w="312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Sell and Activate a Membership</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Sales/Reception; Member; Finance</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Commerce/financial saga</w:t>
            </w:r>
          </w:p>
        </w:tc>
        <w:tc>
          <w:tcPr>
            <w:tcW w:type="dxa" w:w="2837"/>
            <w:tcMar>
              <w:top w:w="70" w:type="dxa"/>
              <w:start w:w="85" w:type="dxa"/>
              <w:bottom w:w="70" w:type="dxa"/>
              <w:end w:w="85" w:type="dxa"/>
              <w:left w:w="80" w:type="dxa"/>
              <w:right w:w="80" w:type="dxa"/>
            </w:tcMar>
            <w:vAlign w:val="center"/>
          </w:tcPr>
          <w:p>
            <w:r>
              <w:t>Order→invoice→payment→ledger→membership/entitlement is a saga; each domain commits its authority, linked by correlation/idempotency keys.</w:t>
            </w:r>
          </w:p>
        </w:tc>
        <w:tc>
          <w:tcPr>
            <w:tcW w:type="dxa" w:w="2979"/>
            <w:tcMar>
              <w:top w:w="70" w:type="dxa"/>
              <w:start w:w="85" w:type="dxa"/>
              <w:bottom w:w="70" w:type="dxa"/>
              <w:end w:w="85" w:type="dxa"/>
              <w:left w:w="80" w:type="dxa"/>
              <w:right w:w="80" w:type="dxa"/>
            </w:tcMar>
            <w:vAlign w:val="center"/>
          </w:tcPr>
          <w:p>
            <w:r>
              <w:t>Payment/fiscal failure prevents activation or leaves explicit pending state; reversal/refund/credit compensation is append-only and reconciled.</w:t>
            </w:r>
          </w:p>
        </w:tc>
        <w:tc>
          <w:tcPr>
            <w:tcW w:type="dxa" w:w="354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order.completed, invoice.issued, payment.succeeded, membership.activated</w:t>
            </w:r>
          </w:p>
        </w:tc>
      </w:tr>
      <w:tr>
        <w:tc>
          <w:tcPr>
            <w:tcW w:type="dxa" w:w="78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FL-05</w:t>
            </w:r>
          </w:p>
        </w:tc>
        <w:tc>
          <w:tcPr>
            <w:tcW w:type="dxa" w:w="312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Recurring Billing and Payment Failure Recovery</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Billing Engine; Member; Finance/Reception</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Commerce/financial saga</w:t>
            </w:r>
          </w:p>
        </w:tc>
        <w:tc>
          <w:tcPr>
            <w:tcW w:type="dxa" w:w="2837"/>
            <w:tcMar>
              <w:top w:w="70" w:type="dxa"/>
              <w:start w:w="85" w:type="dxa"/>
              <w:bottom w:w="70" w:type="dxa"/>
              <w:end w:w="85" w:type="dxa"/>
              <w:left w:w="80" w:type="dxa"/>
              <w:right w:w="80" w:type="dxa"/>
            </w:tcMar>
            <w:vAlign w:val="center"/>
          </w:tcPr>
          <w:p>
            <w:r>
              <w:t>Invoice schedule commits first; provider payment and ledger posting complete asynchronously; dunning state owns retry timing.</w:t>
            </w:r>
          </w:p>
        </w:tc>
        <w:tc>
          <w:tcPr>
            <w:tcW w:type="dxa" w:w="2979"/>
            <w:tcMar>
              <w:top w:w="70" w:type="dxa"/>
              <w:start w:w="85" w:type="dxa"/>
              <w:bottom w:w="70" w:type="dxa"/>
              <w:end w:w="85" w:type="dxa"/>
              <w:left w:w="80" w:type="dxa"/>
              <w:right w:w="80" w:type="dxa"/>
            </w:tcMar>
            <w:vAlign w:val="center"/>
          </w:tcPr>
          <w:p>
            <w:r>
              <w:t>Duplicate callbacks dedupe; provider unknown stays pending; reconciliation may repair local state but never re-charge blindly.</w:t>
            </w:r>
          </w:p>
        </w:tc>
        <w:tc>
          <w:tcPr>
            <w:tcW w:type="dxa" w:w="354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invoice.issued, payment.failed, dunning.started, payment.succeeded</w:t>
            </w:r>
          </w:p>
        </w:tc>
      </w:tr>
      <w:tr>
        <w:tc>
          <w:tcPr>
            <w:tcW w:type="dxa" w:w="78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FL-06</w:t>
            </w:r>
          </w:p>
        </w:tc>
        <w:tc>
          <w:tcPr>
            <w:tcW w:type="dxa" w:w="312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Freeze, Resume, Upgrade, Downgrade or Cancel Membership</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Member; Manager; Billing/Membership Engines</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Commerce/financial saga</w:t>
            </w:r>
          </w:p>
        </w:tc>
        <w:tc>
          <w:tcPr>
            <w:tcW w:type="dxa" w:w="2837"/>
            <w:tcMar>
              <w:top w:w="70" w:type="dxa"/>
              <w:start w:w="85" w:type="dxa"/>
              <w:bottom w:w="70" w:type="dxa"/>
              <w:end w:w="85" w:type="dxa"/>
              <w:left w:w="80" w:type="dxa"/>
              <w:right w:w="80" w:type="dxa"/>
            </w:tcMar>
            <w:vAlign w:val="center"/>
          </w:tcPr>
          <w:p>
            <w:r>
              <w:t>Membership effective-dated transition and proration/recognition calculations are deterministic; financial corrections and entitlement changes commit separately.</w:t>
            </w:r>
          </w:p>
        </w:tc>
        <w:tc>
          <w:tcPr>
            <w:tcW w:type="dxa" w:w="2979"/>
            <w:tcMar>
              <w:top w:w="70" w:type="dxa"/>
              <w:start w:w="85" w:type="dxa"/>
              <w:bottom w:w="70" w:type="dxa"/>
              <w:end w:w="85" w:type="dxa"/>
              <w:left w:w="80" w:type="dxa"/>
              <w:right w:w="80" w:type="dxa"/>
            </w:tcMar>
            <w:vAlign w:val="center"/>
          </w:tcPr>
          <w:p>
            <w:r>
              <w:t>If finance/approval fails, lifecycle remains requested/pending; compensation releases reservations and posts reversals rather than rewriting history.</w:t>
            </w:r>
          </w:p>
        </w:tc>
        <w:tc>
          <w:tcPr>
            <w:tcW w:type="dxa" w:w="354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self_service.requested, approval.completed, membership.changed, entitlement.changed</w:t>
            </w:r>
          </w:p>
        </w:tc>
      </w:tr>
      <w:tr>
        <w:tc>
          <w:tcPr>
            <w:tcW w:type="dxa" w:w="78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FL-07</w:t>
            </w:r>
          </w:p>
        </w:tc>
        <w:tc>
          <w:tcPr>
            <w:tcW w:type="dxa" w:w="312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Book, Waitlist and Attend a Class</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Member; Instructor; Scheduling System</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Operational decision + async projection</w:t>
            </w:r>
          </w:p>
        </w:tc>
        <w:tc>
          <w:tcPr>
            <w:tcW w:type="dxa" w:w="2837"/>
            <w:tcMar>
              <w:top w:w="70" w:type="dxa"/>
              <w:start w:w="85" w:type="dxa"/>
              <w:bottom w:w="70" w:type="dxa"/>
              <w:end w:w="85" w:type="dxa"/>
              <w:left w:w="80" w:type="dxa"/>
              <w:right w:w="80" w:type="dxa"/>
            </w:tcMar>
            <w:vAlign w:val="center"/>
          </w:tcPr>
          <w:p>
            <w:r>
              <w:t>Booking/capacity reservation is atomic against the scheduled instance/version; waitlist promotion reserves before notifying.</w:t>
            </w:r>
          </w:p>
        </w:tc>
        <w:tc>
          <w:tcPr>
            <w:tcW w:type="dxa" w:w="2979"/>
            <w:tcMar>
              <w:top w:w="70" w:type="dxa"/>
              <w:start w:w="85" w:type="dxa"/>
              <w:bottom w:w="70" w:type="dxa"/>
              <w:end w:w="85" w:type="dxa"/>
              <w:left w:w="80" w:type="dxa"/>
              <w:right w:w="80" w:type="dxa"/>
            </w:tcMar>
            <w:vAlign w:val="center"/>
          </w:tcPr>
          <w:p>
            <w:r>
              <w:t>Capacity conflicts return stable denial; expired promotion releases capacity; notification failure does not lose the booking state.</w:t>
            </w:r>
          </w:p>
        </w:tc>
        <w:tc>
          <w:tcPr>
            <w:tcW w:type="dxa" w:w="354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booking.created, waitlist.promoted, booking.checked_in, no_show.recorded</w:t>
            </w:r>
          </w:p>
        </w:tc>
      </w:tr>
      <w:tr>
        <w:tc>
          <w:tcPr>
            <w:tcW w:type="dxa" w:w="78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FL-08</w:t>
            </w:r>
          </w:p>
        </w:tc>
        <w:tc>
          <w:tcPr>
            <w:tcW w:type="dxa" w:w="312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Gym Entry - Online and Offline</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Member; Access Device; Reception</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Operational decision + async projection</w:t>
            </w:r>
          </w:p>
        </w:tc>
        <w:tc>
          <w:tcPr>
            <w:tcW w:type="dxa" w:w="2837"/>
            <w:tcMar>
              <w:top w:w="70" w:type="dxa"/>
              <w:start w:w="85" w:type="dxa"/>
              <w:bottom w:w="70" w:type="dxa"/>
              <w:end w:w="85" w:type="dxa"/>
              <w:left w:w="80" w:type="dxa"/>
              <w:right w:w="80" w:type="dxa"/>
            </w:tcMar>
            <w:vAlign w:val="center"/>
          </w:tcPr>
          <w:p>
            <w:r>
              <w:t>Edge evaluates credential + signed authorization snapshot locally and appends access evidence; cloud reconciliation is asynchronous.</w:t>
            </w:r>
          </w:p>
        </w:tc>
        <w:tc>
          <w:tcPr>
            <w:tcW w:type="dxa" w:w="2979"/>
            <w:tcMar>
              <w:top w:w="70" w:type="dxa"/>
              <w:start w:w="85" w:type="dxa"/>
              <w:bottom w:w="70" w:type="dxa"/>
              <w:end w:w="85" w:type="dxa"/>
              <w:left w:w="80" w:type="dxa"/>
              <w:right w:w="80" w:type="dxa"/>
            </w:tcMar>
            <w:vAlign w:val="center"/>
          </w:tcPr>
          <w:p>
            <w:r>
              <w:t>Stale/invalid snapshot denies or enters supervised mode; queued events dedupe after reconnect; life-safety egress remains hardware-controlled.</w:t>
            </w:r>
          </w:p>
        </w:tc>
        <w:tc>
          <w:tcPr>
            <w:tcW w:type="dxa" w:w="354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access.requested, access.granted, access.denied, sync.reconciled</w:t>
            </w:r>
          </w:p>
        </w:tc>
      </w:tr>
      <w:tr>
        <w:tc>
          <w:tcPr>
            <w:tcW w:type="dxa" w:w="78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FL-09</w:t>
            </w:r>
          </w:p>
        </w:tc>
        <w:tc>
          <w:tcPr>
            <w:tcW w:type="dxa" w:w="312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Enroll and Use Facial Gym Entry</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Member; Front Desk; Biometric Vendor/Edge</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Operational decision + async projection</w:t>
            </w:r>
          </w:p>
        </w:tc>
        <w:tc>
          <w:tcPr>
            <w:tcW w:type="dxa" w:w="2837"/>
            <w:tcMar>
              <w:top w:w="70" w:type="dxa"/>
              <w:start w:w="85" w:type="dxa"/>
              <w:bottom w:w="70" w:type="dxa"/>
              <w:end w:w="85" w:type="dxa"/>
              <w:left w:w="80" w:type="dxa"/>
              <w:right w:w="80" w:type="dxa"/>
            </w:tcMar>
            <w:vAlign w:val="center"/>
          </w:tcPr>
          <w:p>
            <w:r>
              <w:t>Consent/enrollment/template registration is separate from each biometric match; match signal feeds the normal access decision path.</w:t>
            </w:r>
          </w:p>
        </w:tc>
        <w:tc>
          <w:tcPr>
            <w:tcW w:type="dxa" w:w="2979"/>
            <w:tcMar>
              <w:top w:w="70" w:type="dxa"/>
              <w:start w:w="85" w:type="dxa"/>
              <w:bottom w:w="70" w:type="dxa"/>
              <w:end w:w="85" w:type="dxa"/>
              <w:left w:w="80" w:type="dxa"/>
              <w:right w:w="80" w:type="dxa"/>
            </w:tcMar>
            <w:vAlign w:val="center"/>
          </w:tcPr>
          <w:p>
            <w:r>
              <w:t>Enrollment/provider failure preserves alternative credential; low-confidence/spoof result never grants access; deletion revokes vendor and Veyro references.</w:t>
            </w:r>
          </w:p>
        </w:tc>
        <w:tc>
          <w:tcPr>
            <w:tcW w:type="dxa" w:w="354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biometric.enrolled, liveness.failed, access.granted, biometric.revoked</w:t>
            </w:r>
          </w:p>
        </w:tc>
      </w:tr>
      <w:tr>
        <w:tc>
          <w:tcPr>
            <w:tcW w:type="dxa" w:w="78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FL-10</w:t>
            </w:r>
          </w:p>
        </w:tc>
        <w:tc>
          <w:tcPr>
            <w:tcW w:type="dxa" w:w="312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Issue and Redeem a Guest Pass</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Member/Host; Guest; Reception</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Operational decision + async projection</w:t>
            </w:r>
          </w:p>
        </w:tc>
        <w:tc>
          <w:tcPr>
            <w:tcW w:type="dxa" w:w="2837"/>
            <w:tcMar>
              <w:top w:w="70" w:type="dxa"/>
              <w:start w:w="85" w:type="dxa"/>
              <w:bottom w:w="70" w:type="dxa"/>
              <w:end w:w="85" w:type="dxa"/>
              <w:left w:w="80" w:type="dxa"/>
              <w:right w:w="80" w:type="dxa"/>
            </w:tcMar>
            <w:vAlign w:val="center"/>
          </w:tcPr>
          <w:p>
            <w:r>
              <w:t>GuestPass grant issuance and consumption are atomic in entitlement authority with inviter/policy scope.</w:t>
            </w:r>
          </w:p>
        </w:tc>
        <w:tc>
          <w:tcPr>
            <w:tcW w:type="dxa" w:w="2979"/>
            <w:tcMar>
              <w:top w:w="70" w:type="dxa"/>
              <w:start w:w="85" w:type="dxa"/>
              <w:bottom w:w="70" w:type="dxa"/>
              <w:end w:w="85" w:type="dxa"/>
              <w:left w:w="80" w:type="dxa"/>
              <w:right w:w="80" w:type="dxa"/>
            </w:tcMar>
            <w:vAlign w:val="center"/>
          </w:tcPr>
          <w:p>
            <w:r>
              <w:t>Duplicate redemption is rejected; expiry/revocation closes the grant; access can fall back to staffed verification without recreating a pass.</w:t>
            </w:r>
          </w:p>
        </w:tc>
        <w:tc>
          <w:tcPr>
            <w:tcW w:type="dxa" w:w="354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guest_pass.issued, waiver.signed, access.granted, trial.converted</w:t>
            </w:r>
          </w:p>
        </w:tc>
      </w:tr>
      <w:tr>
        <w:tc>
          <w:tcPr>
            <w:tcW w:type="dxa" w:w="78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FL-11</w:t>
            </w:r>
          </w:p>
        </w:tc>
        <w:tc>
          <w:tcPr>
            <w:tcW w:type="dxa" w:w="312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Front Desk Resolve an Access or Account Issue</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Reception; Member; Manager/Finance</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Operational decision + async projection</w:t>
            </w:r>
          </w:p>
        </w:tc>
        <w:tc>
          <w:tcPr>
            <w:tcW w:type="dxa" w:w="2837"/>
            <w:tcMar>
              <w:top w:w="70" w:type="dxa"/>
              <w:start w:w="85" w:type="dxa"/>
              <w:bottom w:w="70" w:type="dxa"/>
              <w:end w:w="85" w:type="dxa"/>
              <w:left w:w="80" w:type="dxa"/>
              <w:right w:w="80" w:type="dxa"/>
            </w:tcMar>
            <w:vAlign w:val="center"/>
          </w:tcPr>
          <w:p>
            <w:r>
              <w:t>Front-desk actions are typed domain commands attached to one case; no “fix all” transaction spans billing/access/membership.</w:t>
            </w:r>
          </w:p>
        </w:tc>
        <w:tc>
          <w:tcPr>
            <w:tcW w:type="dxa" w:w="2979"/>
            <w:tcMar>
              <w:top w:w="70" w:type="dxa"/>
              <w:start w:w="85" w:type="dxa"/>
              <w:bottom w:w="70" w:type="dxa"/>
              <w:end w:w="85" w:type="dxa"/>
              <w:left w:w="80" w:type="dxa"/>
              <w:right w:w="80" w:type="dxa"/>
            </w:tcMar>
            <w:vAlign w:val="center"/>
          </w:tcPr>
          <w:p>
            <w:r>
              <w:t>Each failed action remains reason-coded in case history; unresolved financial/access state escalates instead of being manually overwritten.</w:t>
            </w:r>
          </w:p>
        </w:tc>
        <w:tc>
          <w:tcPr>
            <w:tcW w:type="dxa" w:w="354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access.denied, front_desk.case.resolved, access.granted</w:t>
            </w:r>
          </w:p>
        </w:tc>
      </w:tr>
      <w:tr>
        <w:tc>
          <w:tcPr>
            <w:tcW w:type="dxa" w:w="78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FL-12</w:t>
            </w:r>
          </w:p>
        </w:tc>
        <w:tc>
          <w:tcPr>
            <w:tcW w:type="dxa" w:w="312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Retail POS Sale</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Reception/POS Clerk; Member/Guest</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Commerce/financial saga</w:t>
            </w:r>
          </w:p>
        </w:tc>
        <w:tc>
          <w:tcPr>
            <w:tcW w:type="dxa" w:w="2837"/>
            <w:tcMar>
              <w:top w:w="70" w:type="dxa"/>
              <w:start w:w="85" w:type="dxa"/>
              <w:bottom w:w="70" w:type="dxa"/>
              <w:end w:w="85" w:type="dxa"/>
              <w:left w:w="80" w:type="dxa"/>
              <w:right w:w="80" w:type="dxa"/>
            </w:tcMar>
            <w:vAlign w:val="center"/>
          </w:tcPr>
          <w:p>
            <w:r>
              <w:t>Order/pricing/tender/ledger/inventory/fiscal state commit as coordinated saga; cash-shift journal is independent evidence.</w:t>
            </w:r>
          </w:p>
        </w:tc>
        <w:tc>
          <w:tcPr>
            <w:tcW w:type="dxa" w:w="2979"/>
            <w:tcMar>
              <w:top w:w="70" w:type="dxa"/>
              <w:start w:w="85" w:type="dxa"/>
              <w:bottom w:w="70" w:type="dxa"/>
              <w:end w:w="85" w:type="dxa"/>
              <w:left w:w="80" w:type="dxa"/>
              <w:right w:w="80" w:type="dxa"/>
            </w:tcMar>
            <w:vAlign w:val="center"/>
          </w:tcPr>
          <w:p>
            <w:r>
              <w:t>Offline Jordan sale cannot become fiscal-complete without approved fiscal path; provider failure stays pending; returns use explicit reverse transactions.</w:t>
            </w:r>
          </w:p>
        </w:tc>
        <w:tc>
          <w:tcPr>
            <w:tcW w:type="dxa" w:w="354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order.completed, payment.succeeded, stock.adjusted, receipt.sent</w:t>
            </w:r>
          </w:p>
        </w:tc>
      </w:tr>
      <w:tr>
        <w:tc>
          <w:tcPr>
            <w:tcW w:type="dxa" w:w="78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FL-13</w:t>
            </w:r>
          </w:p>
        </w:tc>
        <w:tc>
          <w:tcPr>
            <w:tcW w:type="dxa" w:w="312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Sell PT or Nutrition Package and Fulfill Credits</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Coach/Reception; Member; Finance</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Commerce/financial saga</w:t>
            </w:r>
          </w:p>
        </w:tc>
        <w:tc>
          <w:tcPr>
            <w:tcW w:type="dxa" w:w="2837"/>
            <w:tcMar>
              <w:top w:w="70" w:type="dxa"/>
              <w:start w:w="85" w:type="dxa"/>
              <w:bottom w:w="70" w:type="dxa"/>
              <w:end w:w="85" w:type="dxa"/>
              <w:left w:w="80" w:type="dxa"/>
              <w:right w:w="80" w:type="dxa"/>
            </w:tcMar>
            <w:vAlign w:val="center"/>
          </w:tcPr>
          <w:p>
            <w:r>
              <w:t>Paid package creates financial service-credit liability plus COM-01 entitlement grant; session booking reserves and fulfillment consumes.</w:t>
            </w:r>
          </w:p>
        </w:tc>
        <w:tc>
          <w:tcPr>
            <w:tcW w:type="dxa" w:w="2979"/>
            <w:tcMar>
              <w:top w:w="70" w:type="dxa"/>
              <w:start w:w="85" w:type="dxa"/>
              <w:bottom w:w="70" w:type="dxa"/>
              <w:end w:w="85" w:type="dxa"/>
              <w:left w:w="80" w:type="dxa"/>
              <w:right w:w="80" w:type="dxa"/>
            </w:tcMar>
            <w:vAlign w:val="center"/>
          </w:tcPr>
          <w:p>
            <w:r>
              <w:t>Reservation timeout releases grant; mismatch between entitlement consumption and liability posting opens reconciliation case; never decrement two balances independently.</w:t>
            </w:r>
          </w:p>
        </w:tc>
        <w:tc>
          <w:tcPr>
            <w:tcW w:type="dxa" w:w="354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payment_request.sent, payment.succeeded, credit.issued, commission.earned</w:t>
            </w:r>
          </w:p>
        </w:tc>
      </w:tr>
      <w:tr>
        <w:tc>
          <w:tcPr>
            <w:tcW w:type="dxa" w:w="78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FL-14</w:t>
            </w:r>
          </w:p>
        </w:tc>
        <w:tc>
          <w:tcPr>
            <w:tcW w:type="dxa" w:w="312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Return, Refund or Void a Sale</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Staff; Manager; Finance</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Commerce/financial saga</w:t>
            </w:r>
          </w:p>
        </w:tc>
        <w:tc>
          <w:tcPr>
            <w:tcW w:type="dxa" w:w="2837"/>
            <w:tcMar>
              <w:top w:w="70" w:type="dxa"/>
              <w:start w:w="85" w:type="dxa"/>
              <w:bottom w:w="70" w:type="dxa"/>
              <w:end w:w="85" w:type="dxa"/>
              <w:left w:w="80" w:type="dxa"/>
              <w:right w:w="80" w:type="dxa"/>
            </w:tcMar>
            <w:vAlign w:val="center"/>
          </w:tcPr>
          <w:p>
            <w:r>
              <w:t>Return authorization references original order; provider refund, contra/ledger entry, fiscal credit note and inventory movement are separate idempotent effects.</w:t>
            </w:r>
          </w:p>
        </w:tc>
        <w:tc>
          <w:tcPr>
            <w:tcW w:type="dxa" w:w="2979"/>
            <w:tcMar>
              <w:top w:w="70" w:type="dxa"/>
              <w:start w:w="85" w:type="dxa"/>
              <w:bottom w:w="70" w:type="dxa"/>
              <w:end w:w="85" w:type="dxa"/>
              <w:left w:w="80" w:type="dxa"/>
              <w:right w:w="80" w:type="dxa"/>
            </w:tcMar>
            <w:vAlign w:val="center"/>
          </w:tcPr>
          <w:p>
            <w:r>
              <w:t>Partial failure stays refund-pending with reconciliation; original payment/order is immutable; repeated request returns original outcome.</w:t>
            </w:r>
          </w:p>
        </w:tc>
        <w:tc>
          <w:tcPr>
            <w:tcW w:type="dxa" w:w="354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approval.requested, refund.completed, ledger.posted, stock.adjusted</w:t>
            </w:r>
          </w:p>
        </w:tc>
      </w:tr>
      <w:tr>
        <w:tc>
          <w:tcPr>
            <w:tcW w:type="dxa" w:w="78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FL-15</w:t>
            </w:r>
          </w:p>
        </w:tc>
        <w:tc>
          <w:tcPr>
            <w:tcW w:type="dxa" w:w="312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Replenish Inventory</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Inventory Manager; Supplier; Finance</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Commerce/financial saga</w:t>
            </w:r>
          </w:p>
        </w:tc>
        <w:tc>
          <w:tcPr>
            <w:tcW w:type="dxa" w:w="2837"/>
            <w:tcMar>
              <w:top w:w="70" w:type="dxa"/>
              <w:start w:w="85" w:type="dxa"/>
              <w:bottom w:w="70" w:type="dxa"/>
              <w:end w:w="85" w:type="dxa"/>
              <w:left w:w="80" w:type="dxa"/>
              <w:right w:w="80" w:type="dxa"/>
            </w:tcMar>
            <w:vAlign w:val="center"/>
          </w:tcPr>
          <w:p>
            <w:r>
              <w:t>PO approval, receipt and stock movement are separate authoritative records; supplier invoice matching posts only after variance policy.</w:t>
            </w:r>
          </w:p>
        </w:tc>
        <w:tc>
          <w:tcPr>
            <w:tcW w:type="dxa" w:w="2979"/>
            <w:tcMar>
              <w:top w:w="70" w:type="dxa"/>
              <w:start w:w="85" w:type="dxa"/>
              <w:bottom w:w="70" w:type="dxa"/>
              <w:end w:w="85" w:type="dxa"/>
              <w:left w:w="80" w:type="dxa"/>
              <w:right w:w="80" w:type="dxa"/>
            </w:tcMar>
            <w:vAlign w:val="center"/>
          </w:tcPr>
          <w:p>
            <w:r>
              <w:t>Receiving variance quarantines discrepancy; retry uses receipt IDs; stock is not fabricated to make supplier totals match.</w:t>
            </w:r>
          </w:p>
        </w:tc>
        <w:tc>
          <w:tcPr>
            <w:tcW w:type="dxa" w:w="354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stock.low, purchase_order.approved, stock.received, reconciliation.mismatch.detected</w:t>
            </w:r>
          </w:p>
        </w:tc>
      </w:tr>
      <w:tr>
        <w:tc>
          <w:tcPr>
            <w:tcW w:type="dxa" w:w="78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FL-16</w:t>
            </w:r>
          </w:p>
        </w:tc>
        <w:tc>
          <w:tcPr>
            <w:tcW w:type="dxa" w:w="312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Plan Staff, Deliver Work and Run Payroll</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Manager; Staff/Coach; Payroll/Finance</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Commerce/financial saga</w:t>
            </w:r>
          </w:p>
        </w:tc>
        <w:tc>
          <w:tcPr>
            <w:tcW w:type="dxa" w:w="2837"/>
            <w:tcMar>
              <w:top w:w="70" w:type="dxa"/>
              <w:start w:w="85" w:type="dxa"/>
              <w:bottom w:w="70" w:type="dxa"/>
              <w:end w:w="85" w:type="dxa"/>
              <w:left w:w="80" w:type="dxa"/>
              <w:right w:w="80" w:type="dxa"/>
            </w:tcMar>
            <w:vAlign w:val="center"/>
          </w:tcPr>
          <w:p>
            <w:r>
              <w:t>Published shift/time entries become verified payroll input snapshot; commission and payroll calculations reference immutable source versions.</w:t>
            </w:r>
          </w:p>
        </w:tc>
        <w:tc>
          <w:tcPr>
            <w:tcW w:type="dxa" w:w="2979"/>
            <w:tcMar>
              <w:top w:w="70" w:type="dxa"/>
              <w:start w:w="85" w:type="dxa"/>
              <w:bottom w:w="70" w:type="dxa"/>
              <w:end w:w="85" w:type="dxa"/>
              <w:left w:w="80" w:type="dxa"/>
              <w:right w:w="80" w:type="dxa"/>
            </w:tcMar>
            <w:vAlign w:val="center"/>
          </w:tcPr>
          <w:p>
            <w:r>
              <w:t>Late corrections create adjustment records/pay-period deltas; never edit paid payroll history; statutory export failure blocks final payroll approval.</w:t>
            </w:r>
          </w:p>
        </w:tc>
        <w:tc>
          <w:tcPr>
            <w:tcW w:type="dxa" w:w="354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shift.started, session.completed, commission.earned, payroll.approved</w:t>
            </w:r>
          </w:p>
        </w:tc>
      </w:tr>
      <w:tr>
        <w:tc>
          <w:tcPr>
            <w:tcW w:type="dxa" w:w="78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FL-17</w:t>
            </w:r>
          </w:p>
        </w:tc>
        <w:tc>
          <w:tcPr>
            <w:tcW w:type="dxa" w:w="312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Coach Assigns a Training Program</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Coach; Member; AI Assistant</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Coaching/engagement workflow</w:t>
            </w:r>
          </w:p>
        </w:tc>
        <w:tc>
          <w:tcPr>
            <w:tcW w:type="dxa" w:w="2837"/>
            <w:tcMar>
              <w:top w:w="70" w:type="dxa"/>
              <w:start w:w="85" w:type="dxa"/>
              <w:bottom w:w="70" w:type="dxa"/>
              <w:end w:w="85" w:type="dxa"/>
              <w:left w:w="80" w:type="dxa"/>
              <w:right w:w="80" w:type="dxa"/>
            </w:tcMar>
            <w:vAlign w:val="center"/>
          </w:tcPr>
          <w:p>
            <w:r>
              <w:t>Program version is immutable when assigned; assignment points to exact version and effective window.</w:t>
            </w:r>
          </w:p>
        </w:tc>
        <w:tc>
          <w:tcPr>
            <w:tcW w:type="dxa" w:w="2979"/>
            <w:tcMar>
              <w:top w:w="70" w:type="dxa"/>
              <w:start w:w="85" w:type="dxa"/>
              <w:bottom w:w="70" w:type="dxa"/>
              <w:end w:w="85" w:type="dxa"/>
              <w:left w:w="80" w:type="dxa"/>
              <w:right w:w="80" w:type="dxa"/>
            </w:tcMar>
            <w:vAlign w:val="center"/>
          </w:tcPr>
          <w:p>
            <w:r>
              <w:t>Offline/stale coach edits create a new draft/version; member retains prior valid assignment until publish succeeds.</w:t>
            </w:r>
          </w:p>
        </w:tc>
        <w:tc>
          <w:tcPr>
            <w:tcW w:type="dxa" w:w="354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program.assigned, notification.sent, workout.started</w:t>
            </w:r>
          </w:p>
        </w:tc>
      </w:tr>
      <w:tr>
        <w:tc>
          <w:tcPr>
            <w:tcW w:type="dxa" w:w="78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FL-18</w:t>
            </w:r>
          </w:p>
        </w:tc>
        <w:tc>
          <w:tcPr>
            <w:tcW w:type="dxa" w:w="312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Member Completes and Logs a Workout</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Member; Coach</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Coaching/engagement workflow</w:t>
            </w:r>
          </w:p>
        </w:tc>
        <w:tc>
          <w:tcPr>
            <w:tcW w:type="dxa" w:w="2837"/>
            <w:tcMar>
              <w:top w:w="70" w:type="dxa"/>
              <w:start w:w="85" w:type="dxa"/>
              <w:bottom w:w="70" w:type="dxa"/>
              <w:end w:w="85" w:type="dxa"/>
              <w:left w:w="80" w:type="dxa"/>
              <w:right w:w="80" w:type="dxa"/>
            </w:tcMar>
            <w:vAlign w:val="center"/>
          </w:tcPr>
          <w:p>
            <w:r>
              <w:t>Set/workout observations use client UUID/idempotency and append/update within active workout; completion freezes executed prescription reference.</w:t>
            </w:r>
          </w:p>
        </w:tc>
        <w:tc>
          <w:tcPr>
            <w:tcW w:type="dxa" w:w="2979"/>
            <w:tcMar>
              <w:top w:w="70" w:type="dxa"/>
              <w:start w:w="85" w:type="dxa"/>
              <w:bottom w:w="70" w:type="dxa"/>
              <w:end w:w="85" w:type="dxa"/>
              <w:left w:w="80" w:type="dxa"/>
              <w:right w:w="80" w:type="dxa"/>
            </w:tcMar>
            <w:vAlign w:val="center"/>
          </w:tcPr>
          <w:p>
            <w:r>
              <w:t>Offline sync preserves both conflicting observations and surfaces review; duplicates dedupe; never last-write-wins completed logs.</w:t>
            </w:r>
          </w:p>
        </w:tc>
        <w:tc>
          <w:tcPr>
            <w:tcW w:type="dxa" w:w="354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workout.started, set.logged, workout.completed, client.attention.required</w:t>
            </w:r>
          </w:p>
        </w:tc>
      </w:tr>
      <w:tr>
        <w:tc>
          <w:tcPr>
            <w:tcW w:type="dxa" w:w="78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FL-19</w:t>
            </w:r>
          </w:p>
        </w:tc>
        <w:tc>
          <w:tcPr>
            <w:tcW w:type="dxa" w:w="312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Coach Creates and Assigns a Nutrition Plan</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Coach/Nutritionist; Member; AI Assistant</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Coaching/engagement workflow</w:t>
            </w:r>
          </w:p>
        </w:tc>
        <w:tc>
          <w:tcPr>
            <w:tcW w:type="dxa" w:w="2837"/>
            <w:tcMar>
              <w:top w:w="70" w:type="dxa"/>
              <w:start w:w="85" w:type="dxa"/>
              <w:bottom w:w="70" w:type="dxa"/>
              <w:end w:w="85" w:type="dxa"/>
              <w:left w:w="80" w:type="dxa"/>
              <w:right w:w="80" w:type="dxa"/>
            </w:tcMar>
            <w:vAlign w:val="center"/>
          </w:tcPr>
          <w:p>
            <w:r>
              <w:t>Nutrition plan remains draft until versioned constraint validation passes; publish then assignment are explicit transitions.</w:t>
            </w:r>
          </w:p>
        </w:tc>
        <w:tc>
          <w:tcPr>
            <w:tcW w:type="dxa" w:w="2979"/>
            <w:tcMar>
              <w:top w:w="70" w:type="dxa"/>
              <w:start w:w="85" w:type="dxa"/>
              <w:bottom w:w="70" w:type="dxa"/>
              <w:end w:w="85" w:type="dxa"/>
              <w:left w:w="80" w:type="dxa"/>
              <w:right w:w="80" w:type="dxa"/>
            </w:tcMar>
            <w:vAlign w:val="center"/>
          </w:tcPr>
          <w:p>
            <w:r>
              <w:t>Allergen/constraint failure blocks publish/AI suggestion; provider/AI failure falls back to template/manual draft; qualified override is audited.</w:t>
            </w:r>
          </w:p>
        </w:tc>
        <w:tc>
          <w:tcPr>
            <w:tcW w:type="dxa" w:w="354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nutrition_plan.assigned, notification.sent, nutrition_checkin.scheduled</w:t>
            </w:r>
          </w:p>
        </w:tc>
      </w:tr>
      <w:tr>
        <w:tc>
          <w:tcPr>
            <w:tcW w:type="dxa" w:w="78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FL-20</w:t>
            </w:r>
          </w:p>
        </w:tc>
        <w:tc>
          <w:tcPr>
            <w:tcW w:type="dxa" w:w="312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Member Follows, Logs and Swaps a Meal</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Member; Coach/Nutritionist</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Coaching/engagement workflow</w:t>
            </w:r>
          </w:p>
        </w:tc>
        <w:tc>
          <w:tcPr>
            <w:tcW w:type="dxa" w:w="2837"/>
            <w:tcMar>
              <w:top w:w="70" w:type="dxa"/>
              <w:start w:w="85" w:type="dxa"/>
              <w:bottom w:w="70" w:type="dxa"/>
              <w:end w:w="85" w:type="dxa"/>
              <w:left w:w="80" w:type="dxa"/>
              <w:right w:w="80" w:type="dxa"/>
            </w:tcMar>
            <w:vAlign w:val="center"/>
          </w:tcPr>
          <w:p>
            <w:r>
              <w:t>Meal log is append-only observation; swap creates a decision referencing plan/constraint versions without rewriting the original plan.</w:t>
            </w:r>
          </w:p>
        </w:tc>
        <w:tc>
          <w:tcPr>
            <w:tcW w:type="dxa" w:w="2979"/>
            <w:tcMar>
              <w:top w:w="70" w:type="dxa"/>
              <w:start w:w="85" w:type="dxa"/>
              <w:bottom w:w="70" w:type="dxa"/>
              <w:end w:w="85" w:type="dxa"/>
              <w:left w:w="80" w:type="dxa"/>
              <w:right w:w="80" w:type="dxa"/>
            </w:tcMar>
            <w:vAlign w:val="center"/>
          </w:tcPr>
          <w:p>
            <w:r>
              <w:t>Offline duplicate logs dedupe; unsafe swap fails closed; photo/barcode estimate failure falls back to manual logging.</w:t>
            </w:r>
          </w:p>
        </w:tc>
        <w:tc>
          <w:tcPr>
            <w:tcW w:type="dxa" w:w="354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meal.logged, meal.swapped, adherence.changed, coach_review.required</w:t>
            </w:r>
          </w:p>
        </w:tc>
      </w:tr>
      <w:tr>
        <w:tc>
          <w:tcPr>
            <w:tcW w:type="dxa" w:w="78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FL-21</w:t>
            </w:r>
          </w:p>
        </w:tc>
        <w:tc>
          <w:tcPr>
            <w:tcW w:type="dxa" w:w="312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Weekly Coaching/Nutrition Check-in and Adjustment</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Member; Coach/Nutritionist; AI Assistant</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Coaching/engagement workflow</w:t>
            </w:r>
          </w:p>
        </w:tc>
        <w:tc>
          <w:tcPr>
            <w:tcW w:type="dxa" w:w="2837"/>
            <w:tcMar>
              <w:top w:w="70" w:type="dxa"/>
              <w:start w:w="85" w:type="dxa"/>
              <w:bottom w:w="70" w:type="dxa"/>
              <w:end w:w="85" w:type="dxa"/>
              <w:left w:w="80" w:type="dxa"/>
              <w:right w:w="80" w:type="dxa"/>
            </w:tcMar>
            <w:vAlign w:val="center"/>
          </w:tcPr>
          <w:p>
            <w:r>
              <w:t>Check-in response is immutable observation; plan/workout/nutrition adjustments are separate proposed/published versions.</w:t>
            </w:r>
          </w:p>
        </w:tc>
        <w:tc>
          <w:tcPr>
            <w:tcW w:type="dxa" w:w="2979"/>
            <w:tcMar>
              <w:top w:w="70" w:type="dxa"/>
              <w:start w:w="85" w:type="dxa"/>
              <w:bottom w:w="70" w:type="dxa"/>
              <w:end w:w="85" w:type="dxa"/>
              <w:left w:w="80" w:type="dxa"/>
              <w:right w:w="80" w:type="dxa"/>
            </w:tcMar>
            <w:vAlign w:val="center"/>
          </w:tcPr>
          <w:p>
            <w:r>
              <w:t>Incomplete check-in remains draft; risky adjustment routes to review; one domain failure does not erase submitted member answers.</w:t>
            </w:r>
          </w:p>
        </w:tc>
        <w:tc>
          <w:tcPr>
            <w:tcW w:type="dxa" w:w="354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nutrition_checkin.submitted, progress_review.required, program.adjusted</w:t>
            </w:r>
          </w:p>
        </w:tc>
      </w:tr>
      <w:tr>
        <w:tc>
          <w:tcPr>
            <w:tcW w:type="dxa" w:w="78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FL-22</w:t>
            </w:r>
          </w:p>
        </w:tc>
        <w:tc>
          <w:tcPr>
            <w:tcW w:type="dxa" w:w="312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Report and Resolve a Health/Safety Incident</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Member/Staff; Manager; Safety/Legal</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Coaching/engagement workflow</w:t>
            </w:r>
          </w:p>
        </w:tc>
        <w:tc>
          <w:tcPr>
            <w:tcW w:type="dxa" w:w="2837"/>
            <w:tcMar>
              <w:top w:w="70" w:type="dxa"/>
              <w:start w:w="85" w:type="dxa"/>
              <w:bottom w:w="70" w:type="dxa"/>
              <w:end w:w="85" w:type="dxa"/>
              <w:left w:w="80" w:type="dxa"/>
              <w:right w:w="80" w:type="dxa"/>
            </w:tcMar>
            <w:vAlign w:val="center"/>
          </w:tcPr>
          <w:p>
            <w:r>
              <w:t>Incident record is immediately durable; escalation/corrective actions append under restricted permissions.</w:t>
            </w:r>
          </w:p>
        </w:tc>
        <w:tc>
          <w:tcPr>
            <w:tcW w:type="dxa" w:w="2979"/>
            <w:tcMar>
              <w:top w:w="70" w:type="dxa"/>
              <w:start w:w="85" w:type="dxa"/>
              <w:bottom w:w="70" w:type="dxa"/>
              <w:end w:w="85" w:type="dxa"/>
              <w:left w:w="80" w:type="dxa"/>
              <w:right w:w="80" w:type="dxa"/>
            </w:tcMar>
            <w:vAlign w:val="center"/>
          </w:tcPr>
          <w:p>
            <w:r>
              <w:t>Notification failure does not lose incident; emergency response does not wait for cloud workflow; post-incident evidence is immutable.</w:t>
            </w:r>
          </w:p>
        </w:tc>
        <w:tc>
          <w:tcPr>
            <w:tcW w:type="dxa" w:w="354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incident.reported, asset.isolated, incident.escalated, corrective_action.closed</w:t>
            </w:r>
          </w:p>
        </w:tc>
      </w:tr>
      <w:tr>
        <w:tc>
          <w:tcPr>
            <w:tcW w:type="dxa" w:w="78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FL-23</w:t>
            </w:r>
          </w:p>
        </w:tc>
        <w:tc>
          <w:tcPr>
            <w:tcW w:type="dxa" w:w="312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Unified Member Conversation and Handoff</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Member; Reception/Sales/Coach</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Coaching/engagement workflow</w:t>
            </w:r>
          </w:p>
        </w:tc>
        <w:tc>
          <w:tcPr>
            <w:tcW w:type="dxa" w:w="2837"/>
            <w:tcMar>
              <w:top w:w="70" w:type="dxa"/>
              <w:start w:w="85" w:type="dxa"/>
              <w:bottom w:w="70" w:type="dxa"/>
              <w:end w:w="85" w:type="dxa"/>
              <w:left w:w="80" w:type="dxa"/>
              <w:right w:w="80" w:type="dxa"/>
            </w:tcMar>
            <w:vAlign w:val="center"/>
          </w:tcPr>
          <w:p>
            <w:r>
              <w:t>Conversation/message commits before provider dispatch; handoff/assignment changes conversation ownership but not message history.</w:t>
            </w:r>
          </w:p>
        </w:tc>
        <w:tc>
          <w:tcPr>
            <w:tcW w:type="dxa" w:w="2979"/>
            <w:tcMar>
              <w:top w:w="70" w:type="dxa"/>
              <w:start w:w="85" w:type="dxa"/>
              <w:bottom w:w="70" w:type="dxa"/>
              <w:end w:w="85" w:type="dxa"/>
              <w:left w:w="80" w:type="dxa"/>
              <w:right w:w="80" w:type="dxa"/>
            </w:tcMar>
            <w:vAlign w:val="center"/>
          </w:tcPr>
          <w:p>
            <w:r>
              <w:t>DispatchGuard prevents duplicate external send; failed provider delivery is visible/retryable; SLA escalation opens task/case.</w:t>
            </w:r>
          </w:p>
        </w:tc>
        <w:tc>
          <w:tcPr>
            <w:tcW w:type="dxa" w:w="354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message.received, conversation.assigned, handoff.created, conversation.resolved</w:t>
            </w:r>
          </w:p>
        </w:tc>
      </w:tr>
      <w:tr>
        <w:tc>
          <w:tcPr>
            <w:tcW w:type="dxa" w:w="78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FL-24</w:t>
            </w:r>
          </w:p>
        </w:tc>
        <w:tc>
          <w:tcPr>
            <w:tcW w:type="dxa" w:w="312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Build and Run a Retention Automation</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Manager; Automation Engine; Coach/Sales</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Durable workflow</w:t>
            </w:r>
          </w:p>
        </w:tc>
        <w:tc>
          <w:tcPr>
            <w:tcW w:type="dxa" w:w="2837"/>
            <w:tcMar>
              <w:top w:w="70" w:type="dxa"/>
              <w:start w:w="85" w:type="dxa"/>
              <w:bottom w:w="70" w:type="dxa"/>
              <w:end w:w="85" w:type="dxa"/>
              <w:left w:w="80" w:type="dxa"/>
              <w:right w:w="80" w:type="dxa"/>
            </w:tcMar>
            <w:vAlign w:val="center"/>
          </w:tcPr>
          <w:p>
            <w:r>
              <w:t>Published workflow version is immutable; each run advances explicit state and invokes typed commands as separate transactions.</w:t>
            </w:r>
          </w:p>
        </w:tc>
        <w:tc>
          <w:tcPr>
            <w:tcW w:type="dxa" w:w="2979"/>
            <w:tcMar>
              <w:top w:w="70" w:type="dxa"/>
              <w:start w:w="85" w:type="dxa"/>
              <w:bottom w:w="70" w:type="dxa"/>
              <w:end w:w="85" w:type="dxa"/>
              <w:left w:w="80" w:type="dxa"/>
              <w:right w:w="80" w:type="dxa"/>
            </w:tcMar>
            <w:vAlign w:val="center"/>
          </w:tcPr>
          <w:p>
            <w:r>
              <w:t>Retry respects command idempotency; external effects use dispatch guard; poisoned run pauses/escalates rather than looping indefinitely.</w:t>
            </w:r>
          </w:p>
        </w:tc>
        <w:tc>
          <w:tcPr>
            <w:tcW w:type="dxa" w:w="354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workflow.published, workflow.started, task.created, workflow.completed</w:t>
            </w:r>
          </w:p>
        </w:tc>
      </w:tr>
      <w:tr>
        <w:tc>
          <w:tcPr>
            <w:tcW w:type="dxa" w:w="78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FL-25</w:t>
            </w:r>
          </w:p>
        </w:tc>
        <w:tc>
          <w:tcPr>
            <w:tcW w:type="dxa" w:w="312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Admin Copilot Explains Performance and Launches an Action</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Owner/Manager; AI Platform; Approver</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AI guarded action</w:t>
            </w:r>
          </w:p>
        </w:tc>
        <w:tc>
          <w:tcPr>
            <w:tcW w:type="dxa" w:w="2837"/>
            <w:tcMar>
              <w:top w:w="70" w:type="dxa"/>
              <w:start w:w="85" w:type="dxa"/>
              <w:bottom w:w="70" w:type="dxa"/>
              <w:end w:w="85" w:type="dxa"/>
              <w:left w:w="80" w:type="dxa"/>
              <w:right w:w="80" w:type="dxa"/>
            </w:tcMar>
            <w:vAlign w:val="center"/>
          </w:tcPr>
          <w:p>
            <w:r>
              <w:t>AI reads authorized projections/evidence; proposed mutation becomes a typed command only after policy/approval.</w:t>
            </w:r>
          </w:p>
        </w:tc>
        <w:tc>
          <w:tcPr>
            <w:tcW w:type="dxa" w:w="2979"/>
            <w:tcMar>
              <w:top w:w="70" w:type="dxa"/>
              <w:start w:w="85" w:type="dxa"/>
              <w:bottom w:w="70" w:type="dxa"/>
              <w:end w:w="85" w:type="dxa"/>
              <w:left w:w="80" w:type="dxa"/>
              <w:right w:w="80" w:type="dxa"/>
            </w:tcMar>
            <w:vAlign w:val="center"/>
          </w:tcPr>
          <w:p>
            <w:r>
              <w:t>Model/tool failure leaves business state unchanged; stale evidence blocks high-risk action; rollback model/prompt bundle is immediate.</w:t>
            </w:r>
          </w:p>
        </w:tc>
        <w:tc>
          <w:tcPr>
            <w:tcW w:type="dxa" w:w="354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ai.requested, ai.response.generated, ai.tool.proposed, ai.tool.executed</w:t>
            </w:r>
          </w:p>
        </w:tc>
      </w:tr>
      <w:tr>
        <w:tc>
          <w:tcPr>
            <w:tcW w:type="dxa" w:w="78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FL-26</w:t>
            </w:r>
          </w:p>
        </w:tc>
        <w:tc>
          <w:tcPr>
            <w:tcW w:type="dxa" w:w="312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Corporate Employee Enrollment</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Employer Admin; Employee; Gym Admin</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Enterprise lifecycle</w:t>
            </w:r>
          </w:p>
        </w:tc>
        <w:tc>
          <w:tcPr>
            <w:tcW w:type="dxa" w:w="2837"/>
            <w:tcMar>
              <w:top w:w="70" w:type="dxa"/>
              <w:start w:w="85" w:type="dxa"/>
              <w:bottom w:w="70" w:type="dxa"/>
              <w:end w:w="85" w:type="dxa"/>
              <w:left w:w="80" w:type="dxa"/>
              <w:right w:w="80" w:type="dxa"/>
            </w:tcMar>
            <w:vAlign w:val="center"/>
          </w:tcPr>
          <w:p>
            <w:r>
              <w:t>Eligibility import and employee enrollment create versioned eligibility/member links; sponsored membership/billing are separate commands.</w:t>
            </w:r>
          </w:p>
        </w:tc>
        <w:tc>
          <w:tcPr>
            <w:tcW w:type="dxa" w:w="2979"/>
            <w:tcMar>
              <w:top w:w="70" w:type="dxa"/>
              <w:start w:w="85" w:type="dxa"/>
              <w:bottom w:w="70" w:type="dxa"/>
              <w:end w:w="85" w:type="dxa"/>
              <w:left w:w="80" w:type="dxa"/>
              <w:right w:w="80" w:type="dxa"/>
            </w:tcMar>
            <w:vAlign w:val="center"/>
          </w:tcPr>
          <w:p>
            <w:r>
              <w:t>Eligibility mismatch suspends new grant but does not delete historical membership; duplicate employee identity routes to merge review.</w:t>
            </w:r>
          </w:p>
        </w:tc>
        <w:tc>
          <w:tcPr>
            <w:tcW w:type="dxa" w:w="354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eligibility.verified, employee.enrolled, membership.activated</w:t>
            </w:r>
          </w:p>
        </w:tc>
      </w:tr>
      <w:tr>
        <w:tc>
          <w:tcPr>
            <w:tcW w:type="dxa" w:w="78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FL-27</w:t>
            </w:r>
          </w:p>
        </w:tc>
        <w:tc>
          <w:tcPr>
            <w:tcW w:type="dxa" w:w="312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Franchise Leader Reviews and Resolves a Location Exception</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Regional Leader; Club Manager</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Enterprise lifecycle</w:t>
            </w:r>
          </w:p>
        </w:tc>
        <w:tc>
          <w:tcPr>
            <w:tcW w:type="dxa" w:w="2837"/>
            <w:tcMar>
              <w:top w:w="70" w:type="dxa"/>
              <w:start w:w="85" w:type="dxa"/>
              <w:bottom w:w="70" w:type="dxa"/>
              <w:end w:w="85" w:type="dxa"/>
              <w:left w:w="80" w:type="dxa"/>
              <w:right w:w="80" w:type="dxa"/>
            </w:tcMar>
            <w:vAlign w:val="center"/>
          </w:tcPr>
          <w:p>
            <w:r>
              <w:t>Franchise dashboard is a projection; any corrective action routes to the owning location/domain command with scope.</w:t>
            </w:r>
          </w:p>
        </w:tc>
        <w:tc>
          <w:tcPr>
            <w:tcW w:type="dxa" w:w="2979"/>
            <w:tcMar>
              <w:top w:w="70" w:type="dxa"/>
              <w:start w:w="85" w:type="dxa"/>
              <w:bottom w:w="70" w:type="dxa"/>
              <w:end w:w="85" w:type="dxa"/>
              <w:left w:w="80" w:type="dxa"/>
              <w:right w:w="80" w:type="dxa"/>
            </w:tcMar>
            <w:vAlign w:val="center"/>
          </w:tcPr>
          <w:p>
            <w:r>
              <w:t>Stale aggregate data is labelled; failed local action stays local and visible; headquarters cannot bypass tenant/location policy.</w:t>
            </w:r>
          </w:p>
        </w:tc>
        <w:tc>
          <w:tcPr>
            <w:tcW w:type="dxa" w:w="354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location.exception.detected, task.created, corrective_action.closed</w:t>
            </w:r>
          </w:p>
        </w:tc>
      </w:tr>
      <w:tr>
        <w:tc>
          <w:tcPr>
            <w:tcW w:type="dxa" w:w="78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FL-28</w:t>
            </w:r>
          </w:p>
        </w:tc>
        <w:tc>
          <w:tcPr>
            <w:tcW w:type="dxa" w:w="312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Install and Operate an Integration</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Tenant Admin; Partner; Veyro Platform</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Integration/API lifecycle</w:t>
            </w:r>
          </w:p>
        </w:tc>
        <w:tc>
          <w:tcPr>
            <w:tcW w:type="dxa" w:w="2837"/>
            <w:tcMar>
              <w:top w:w="70" w:type="dxa"/>
              <w:start w:w="85" w:type="dxa"/>
              <w:bottom w:w="70" w:type="dxa"/>
              <w:end w:w="85" w:type="dxa"/>
              <w:left w:w="80" w:type="dxa"/>
              <w:right w:w="80" w:type="dxa"/>
            </w:tcMar>
            <w:vAlign w:val="center"/>
          </w:tcPr>
          <w:p>
            <w:r>
              <w:t>Integration install stores authorization/secret reference and sync cursor; provider writes occur through adapter activities.</w:t>
            </w:r>
          </w:p>
        </w:tc>
        <w:tc>
          <w:tcPr>
            <w:tcW w:type="dxa" w:w="2979"/>
            <w:tcMar>
              <w:top w:w="70" w:type="dxa"/>
              <w:start w:w="85" w:type="dxa"/>
              <w:bottom w:w="70" w:type="dxa"/>
              <w:end w:w="85" w:type="dxa"/>
              <w:left w:w="80" w:type="dxa"/>
              <w:right w:w="80" w:type="dxa"/>
            </w:tcMar>
            <w:vAlign w:val="center"/>
          </w:tcPr>
          <w:p>
            <w:r>
              <w:t>OAuth/provider failure leaves install disabled; cursor retries idempotently; uninstall revokes access then proves data flow stopped.</w:t>
            </w:r>
          </w:p>
        </w:tc>
        <w:tc>
          <w:tcPr>
            <w:tcW w:type="dxa" w:w="354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integration.installed, integration.connected, integration.sync.failed, integration.uninstalled</w:t>
            </w:r>
          </w:p>
        </w:tc>
      </w:tr>
      <w:tr>
        <w:tc>
          <w:tcPr>
            <w:tcW w:type="dxa" w:w="78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FL-29</w:t>
            </w:r>
          </w:p>
        </w:tc>
        <w:tc>
          <w:tcPr>
            <w:tcW w:type="dxa" w:w="312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Developer Creates an API App and Webhook</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Developer; Tenant Admin</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Integration/API lifecycle</w:t>
            </w:r>
          </w:p>
        </w:tc>
        <w:tc>
          <w:tcPr>
            <w:tcW w:type="dxa" w:w="2837"/>
            <w:tcMar>
              <w:top w:w="70" w:type="dxa"/>
              <w:start w:w="85" w:type="dxa"/>
              <w:bottom w:w="70" w:type="dxa"/>
              <w:end w:w="85" w:type="dxa"/>
              <w:left w:w="80" w:type="dxa"/>
              <w:right w:w="80" w:type="dxa"/>
            </w:tcMar>
            <w:vAlign w:val="center"/>
          </w:tcPr>
          <w:p>
            <w:r>
              <w:t>API app/scopes and webhook endpoint are authoritative control records; webhook deliveries are per-event dispatch records.</w:t>
            </w:r>
          </w:p>
        </w:tc>
        <w:tc>
          <w:tcPr>
            <w:tcW w:type="dxa" w:w="2979"/>
            <w:tcMar>
              <w:top w:w="70" w:type="dxa"/>
              <w:start w:w="85" w:type="dxa"/>
              <w:bottom w:w="70" w:type="dxa"/>
              <w:end w:w="85" w:type="dxa"/>
              <w:left w:w="80" w:type="dxa"/>
              <w:right w:w="80" w:type="dxa"/>
            </w:tcMar>
            <w:vAlign w:val="center"/>
          </w:tcPr>
          <w:p>
            <w:r>
              <w:t>Secret rotation overlaps old/new grace window; failed webhook retries/DLQs; replay uses public event store and stable public_event_id.</w:t>
            </w:r>
          </w:p>
        </w:tc>
        <w:tc>
          <w:tcPr>
            <w:tcW w:type="dxa" w:w="354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developer_app.created, oauth.granted, webhook.delivered</w:t>
            </w:r>
          </w:p>
        </w:tc>
      </w:tr>
      <w:tr>
        <w:tc>
          <w:tcPr>
            <w:tcW w:type="dxa" w:w="78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FL-30</w:t>
            </w:r>
          </w:p>
        </w:tc>
        <w:tc>
          <w:tcPr>
            <w:tcW w:type="dxa" w:w="312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Member Data Export or Deletion Request</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Member; Privacy Team; Tenant Admin</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Privacy workflow</w:t>
            </w:r>
          </w:p>
        </w:tc>
        <w:tc>
          <w:tcPr>
            <w:tcW w:type="dxa" w:w="2837"/>
            <w:tcMar>
              <w:top w:w="70" w:type="dxa"/>
              <w:start w:w="85" w:type="dxa"/>
              <w:bottom w:w="70" w:type="dxa"/>
              <w:end w:w="85" w:type="dxa"/>
              <w:left w:w="80" w:type="dxa"/>
              <w:right w:w="80" w:type="dxa"/>
            </w:tcMar>
            <w:vAlign w:val="center"/>
          </w:tcPr>
          <w:p>
            <w:r>
              <w:t>DSAR case verifies identity/legal holds then orchestrates store-specific export/delete tasks with per-store receipts.</w:t>
            </w:r>
          </w:p>
        </w:tc>
        <w:tc>
          <w:tcPr>
            <w:tcW w:type="dxa" w:w="2979"/>
            <w:tcMar>
              <w:top w:w="70" w:type="dxa"/>
              <w:start w:w="85" w:type="dxa"/>
              <w:bottom w:w="70" w:type="dxa"/>
              <w:end w:w="85" w:type="dxa"/>
              <w:left w:w="80" w:type="dxa"/>
              <w:right w:w="80" w:type="dxa"/>
            </w:tcMar>
            <w:vAlign w:val="center"/>
          </w:tcPr>
          <w:p>
            <w:r>
              <w:t>Unavailable provider/store keeps case open and visible; immutable evidence uses pseudonymization/crypto-shred; no false “complete” certificate.</w:t>
            </w:r>
          </w:p>
        </w:tc>
        <w:tc>
          <w:tcPr>
            <w:tcW w:type="dxa" w:w="354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data_subject_request.created, data_export.ready, data.deleted</w:t>
            </w:r>
          </w:p>
        </w:tc>
      </w:tr>
      <w:tr>
        <w:tc>
          <w:tcPr>
            <w:tcW w:type="dxa" w:w="78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FL-31</w:t>
            </w:r>
          </w:p>
        </w:tc>
        <w:tc>
          <w:tcPr>
            <w:tcW w:type="dxa" w:w="312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Operate a Branded Mobile App Release</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Tenant Brand Admin; Veyro Release Team</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Durable workflow</w:t>
            </w:r>
          </w:p>
        </w:tc>
        <w:tc>
          <w:tcPr>
            <w:tcW w:type="dxa" w:w="2837"/>
            <w:tcMar>
              <w:top w:w="70" w:type="dxa"/>
              <w:start w:w="85" w:type="dxa"/>
              <w:bottom w:w="70" w:type="dxa"/>
              <w:end w:w="85" w:type="dxa"/>
              <w:left w:w="80" w:type="dxa"/>
              <w:right w:w="80" w:type="dxa"/>
            </w:tcMar>
            <w:vAlign w:val="center"/>
          </w:tcPr>
          <w:p>
            <w:r>
              <w:t>Brand config/content version and signed build artifact are immutable; rollout stage references exact app/common-code version.</w:t>
            </w:r>
          </w:p>
        </w:tc>
        <w:tc>
          <w:tcPr>
            <w:tcW w:type="dxa" w:w="2979"/>
            <w:tcMar>
              <w:top w:w="70" w:type="dxa"/>
              <w:start w:w="85" w:type="dxa"/>
              <w:bottom w:w="70" w:type="dxa"/>
              <w:end w:w="85" w:type="dxa"/>
              <w:left w:w="80" w:type="dxa"/>
              <w:right w:w="80" w:type="dxa"/>
            </w:tcMar>
            <w:vAlign w:val="center"/>
          </w:tcPr>
          <w:p>
            <w:r>
              <w:t>Crash/quality threshold pauses rollout and rolls back config/release; certificate/signing failure blocks build, not existing apps.</w:t>
            </w:r>
          </w:p>
        </w:tc>
        <w:tc>
          <w:tcPr>
            <w:tcW w:type="dxa" w:w="354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build.completed, store_release.approved, mobile_version.deprecated</w:t>
            </w:r>
          </w:p>
        </w:tc>
      </w:tr>
      <w:tr>
        <w:tc>
          <w:tcPr>
            <w:tcW w:type="dxa" w:w="78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FL-32</w:t>
            </w:r>
          </w:p>
        </w:tc>
        <w:tc>
          <w:tcPr>
            <w:tcW w:type="dxa" w:w="312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Detect, Communicate and Recover from an Incident</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SRE/Incident Commander; Support; Tenant Admin</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Durable workflow</w:t>
            </w:r>
          </w:p>
        </w:tc>
        <w:tc>
          <w:tcPr>
            <w:tcW w:type="dxa" w:w="2837"/>
            <w:tcMar>
              <w:top w:w="70" w:type="dxa"/>
              <w:start w:w="85" w:type="dxa"/>
              <w:bottom w:w="70" w:type="dxa"/>
              <w:end w:w="85" w:type="dxa"/>
              <w:left w:w="80" w:type="dxa"/>
              <w:right w:w="80" w:type="dxa"/>
            </w:tcMar>
            <w:vAlign w:val="center"/>
          </w:tcPr>
          <w:p>
            <w:r>
              <w:t>Incident declaration and mitigations are audited operational commands; system-of-record data is not rewritten to hide symptoms.</w:t>
            </w:r>
          </w:p>
        </w:tc>
        <w:tc>
          <w:tcPr>
            <w:tcW w:type="dxa" w:w="2979"/>
            <w:tcMar>
              <w:top w:w="70" w:type="dxa"/>
              <w:start w:w="85" w:type="dxa"/>
              <w:bottom w:w="70" w:type="dxa"/>
              <w:end w:w="85" w:type="dxa"/>
              <w:left w:w="80" w:type="dxa"/>
              <w:right w:w="80" w:type="dxa"/>
            </w:tcMar>
            <w:vAlign w:val="center"/>
          </w:tcPr>
          <w:p>
            <w:r>
              <w:t>Failover/degraded mode follows runbook; communication retries separately; recovery closes only after control totals/SLOs verify.</w:t>
            </w:r>
          </w:p>
        </w:tc>
        <w:tc>
          <w:tcPr>
            <w:tcW w:type="dxa" w:w="354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incident.declared, status_update.published, incident.resolved, postmortem.published</w:t>
            </w:r>
          </w:p>
        </w:tc>
      </w:tr>
      <w:tr>
        <w:tc>
          <w:tcPr>
            <w:tcW w:type="dxa" w:w="78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FL-33</w:t>
            </w:r>
          </w:p>
        </w:tc>
        <w:tc>
          <w:tcPr>
            <w:tcW w:type="dxa" w:w="312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Tenant Offboarding and Data Handover</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Tenant Owner; Finance/CS; Security/Data</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Durable workflow</w:t>
            </w:r>
          </w:p>
        </w:tc>
        <w:tc>
          <w:tcPr>
            <w:tcW w:type="dxa" w:w="2837"/>
            <w:tcMar>
              <w:top w:w="70" w:type="dxa"/>
              <w:start w:w="85" w:type="dxa"/>
              <w:bottom w:w="70" w:type="dxa"/>
              <w:end w:w="85" w:type="dxa"/>
              <w:left w:w="80" w:type="dxa"/>
              <w:right w:w="80" w:type="dxa"/>
            </w:tcMar>
            <w:vAlign w:val="center"/>
          </w:tcPr>
          <w:p>
            <w:r>
              <w:t>Offboarding freezes writes, produces canonical exports/control totals, then applies retention/deletion gates per store.</w:t>
            </w:r>
          </w:p>
        </w:tc>
        <w:tc>
          <w:tcPr>
            <w:tcW w:type="dxa" w:w="2979"/>
            <w:tcMar>
              <w:top w:w="70" w:type="dxa"/>
              <w:start w:w="85" w:type="dxa"/>
              <w:bottom w:w="70" w:type="dxa"/>
              <w:end w:w="85" w:type="dxa"/>
              <w:left w:w="80" w:type="dxa"/>
              <w:right w:w="80" w:type="dxa"/>
            </w:tcMar>
            <w:vAlign w:val="center"/>
          </w:tcPr>
          <w:p>
            <w:r>
              <w:t>Handover mismatch prevents deletion; legal hold preserves scoped evidence; deletion jobs remain retryable until every store/provider receipt exists.</w:t>
            </w:r>
          </w:p>
        </w:tc>
        <w:tc>
          <w:tcPr>
            <w:tcW w:type="dxa" w:w="354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tenant.offboarding.started, data_export.ready, credentials.revoked, tenant.archived</w:t>
            </w:r>
          </w:p>
        </w:tc>
      </w:tr>
      <w:tr>
        <w:tc>
          <w:tcPr>
            <w:tcW w:type="dxa" w:w="780"/>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FL-34</w:t>
            </w:r>
          </w:p>
        </w:tc>
        <w:tc>
          <w:tcPr>
            <w:tcW w:type="dxa" w:w="312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Support Investigates a Tenant Issue Safely</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Support Agent; Tenant Admin; Engineering</w:t>
            </w:r>
          </w:p>
        </w:tc>
        <w:tc>
          <w:tcPr>
            <w:tcW w:type="dxa" w:w="2199"/>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Durable workflow</w:t>
            </w:r>
          </w:p>
        </w:tc>
        <w:tc>
          <w:tcPr>
            <w:tcW w:type="dxa" w:w="2837"/>
            <w:tcMar>
              <w:top w:w="70" w:type="dxa"/>
              <w:start w:w="85" w:type="dxa"/>
              <w:bottom w:w="70" w:type="dxa"/>
              <w:end w:w="85" w:type="dxa"/>
              <w:left w:w="80" w:type="dxa"/>
              <w:right w:w="80" w:type="dxa"/>
            </w:tcMar>
            <w:vAlign w:val="center"/>
          </w:tcPr>
          <w:p>
            <w:r>
              <w:t>Support session is a time-bounded delegated actor grant; diagnostics/actions remain normal product commands with original+delegated actor chain.</w:t>
            </w:r>
          </w:p>
        </w:tc>
        <w:tc>
          <w:tcPr>
            <w:tcW w:type="dxa" w:w="2979"/>
            <w:tcMar>
              <w:top w:w="70" w:type="dxa"/>
              <w:start w:w="85" w:type="dxa"/>
              <w:bottom w:w="70" w:type="dxa"/>
              <w:end w:w="85" w:type="dxa"/>
              <w:left w:w="80" w:type="dxa"/>
              <w:right w:w="80" w:type="dxa"/>
            </w:tcMar>
            <w:vAlign w:val="center"/>
          </w:tcPr>
          <w:p>
            <w:r>
              <w:t>Expired/revoked grant immediately denies access; restricted data requires purpose/step-up; session termination is audited even if UI disconnects.</w:t>
            </w:r>
          </w:p>
        </w:tc>
        <w:tc>
          <w:tcPr>
            <w:tcW w:type="dxa" w:w="3546"/>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3"/>
              </w:rPr>
              <w:t>support.session.started, support.ticket.escalated, support.session.ended</w:t>
            </w:r>
          </w:p>
        </w:tc>
      </w:tr>
    </w:tbl>
    <w:p>
      <w:pPr>
        <w:spacing w:after="40"/>
      </w:pPr>
    </w:p>
    <w:p>
      <w:pPr>
        <w:pStyle w:val="Heading1"/>
        <w:keepNext/>
      </w:pPr>
      <w:r>
        <w:t>Appendix B. Blueprint Requirement Traceability (432 Requirements)</w:t>
      </w:r>
    </w:p>
    <w:p>
      <w:pPr>
        <w:spacing w:after="100" w:line="259" w:lineRule="auto"/>
      </w:pPr>
      <w:r>
        <w:rPr>
          <w:rFonts w:ascii="Noto Sans" w:hAnsi="Noto Sans"/>
        </w:rPr>
        <w:t>Coverage is mechanically derived by domain ownership. Every Blueprint requirement remains part of the approved master vision; “implementation phase” controls sequencing, not architectural deletion. Each requirement maps to its domain section in Section 10 plus the relevant cross-cutting architecture sections.</w:t>
      </w:r>
    </w:p>
    <w:tbl>
      <w:tblPr>
        <w:tblStyle w:val="TableGrid"/>
        <w:tblW w:type="dxa" w:w="15308"/>
        <w:jc w:val="center"/>
        <w:tblLayout w:type="autofit"/>
        <w:tblLook w:firstColumn="1" w:firstRow="1" w:lastColumn="0" w:lastRow="0" w:noHBand="0" w:noVBand="1" w:val="04A0"/>
      </w:tblPr>
      <w:tblGrid>
        <w:gridCol w:w="1529"/>
        <w:gridCol w:w="1531"/>
        <w:gridCol w:w="1531"/>
        <w:gridCol w:w="1531"/>
        <w:gridCol w:w="1531"/>
        <w:gridCol w:w="1531"/>
        <w:gridCol w:w="1531"/>
        <w:gridCol w:w="1531"/>
        <w:gridCol w:w="1531"/>
        <w:gridCol w:w="1531"/>
      </w:tblGrid>
      <w:tr>
        <w:trPr>
          <w:tblHeader w:val="true"/>
        </w:trPr>
        <w:tc>
          <w:tcPr>
            <w:tcW w:type="dxa" w:w="1531"/>
            <w:vAlign w:val="center"/>
            <w:tcMar>
              <w:top w:w="70" w:type="dxa"/>
              <w:left w:w="80" w:type="dxa"/>
              <w:bottom w:w="70" w:type="dxa"/>
              <w:right w:w="80" w:type="dxa"/>
            </w:tcMar>
          </w:tcPr>
          <w:p>
            <w:r>
              <w:rPr>
                <w:b/>
                <w:sz w:val="15"/>
              </w:rPr>
              <w:t>Requirement ID</w:t>
            </w:r>
          </w:p>
        </w:tc>
        <w:tc>
          <w:tcPr>
            <w:tcW w:type="dxa" w:w="1531"/>
            <w:vAlign w:val="center"/>
            <w:tcMar>
              <w:top w:w="70" w:type="dxa"/>
              <w:left w:w="80" w:type="dxa"/>
              <w:bottom w:w="70" w:type="dxa"/>
              <w:right w:w="80" w:type="dxa"/>
            </w:tcMar>
          </w:tcPr>
          <w:p>
            <w:r>
              <w:rPr>
                <w:b/>
                <w:sz w:val="15"/>
              </w:rPr>
              <w:t>Domain</w:t>
            </w:r>
          </w:p>
        </w:tc>
        <w:tc>
          <w:tcPr>
            <w:tcW w:type="dxa" w:w="1531"/>
            <w:vAlign w:val="center"/>
            <w:tcMar>
              <w:top w:w="70" w:type="dxa"/>
              <w:left w:w="80" w:type="dxa"/>
              <w:bottom w:w="70" w:type="dxa"/>
              <w:right w:w="80" w:type="dxa"/>
            </w:tcMar>
          </w:tcPr>
          <w:p>
            <w:r>
              <w:rPr>
                <w:b/>
                <w:sz w:val="15"/>
              </w:rPr>
              <w:t>Requirement</w:t>
            </w:r>
          </w:p>
        </w:tc>
        <w:tc>
          <w:tcPr>
            <w:tcW w:type="dxa" w:w="1531"/>
            <w:vAlign w:val="center"/>
            <w:tcMar>
              <w:top w:w="70" w:type="dxa"/>
              <w:left w:w="80" w:type="dxa"/>
              <w:bottom w:w="70" w:type="dxa"/>
              <w:right w:w="80" w:type="dxa"/>
            </w:tcMar>
          </w:tcPr>
          <w:p>
            <w:r>
              <w:rPr>
                <w:b/>
                <w:sz w:val="15"/>
              </w:rPr>
              <w:t>Priority</w:t>
            </w:r>
          </w:p>
        </w:tc>
        <w:tc>
          <w:tcPr>
            <w:tcW w:type="dxa" w:w="1531"/>
            <w:vAlign w:val="center"/>
            <w:tcMar>
              <w:top w:w="70" w:type="dxa"/>
              <w:left w:w="80" w:type="dxa"/>
              <w:bottom w:w="70" w:type="dxa"/>
              <w:right w:w="80" w:type="dxa"/>
            </w:tcMar>
          </w:tcPr>
          <w:p>
            <w:r>
              <w:rPr>
                <w:b/>
                <w:sz w:val="15"/>
              </w:rPr>
              <w:t>Phase</w:t>
            </w:r>
          </w:p>
        </w:tc>
        <w:tc>
          <w:tcPr>
            <w:tcW w:type="dxa" w:w="1531"/>
            <w:vAlign w:val="center"/>
            <w:tcMar>
              <w:top w:w="70" w:type="dxa"/>
              <w:left w:w="80" w:type="dxa"/>
              <w:bottom w:w="70" w:type="dxa"/>
              <w:right w:w="80" w:type="dxa"/>
            </w:tcMar>
          </w:tcPr>
          <w:p>
            <w:r>
              <w:rPr>
                <w:b/>
                <w:sz w:val="15"/>
              </w:rPr>
              <w:t>Owning Module</w:t>
            </w:r>
          </w:p>
        </w:tc>
        <w:tc>
          <w:tcPr>
            <w:tcW w:type="dxa" w:w="1531"/>
            <w:vAlign w:val="center"/>
            <w:tcMar>
              <w:top w:w="70" w:type="dxa"/>
              <w:left w:w="80" w:type="dxa"/>
              <w:bottom w:w="70" w:type="dxa"/>
              <w:right w:w="80" w:type="dxa"/>
            </w:tcMar>
          </w:tcPr>
          <w:p>
            <w:r>
              <w:rPr>
                <w:b/>
                <w:sz w:val="15"/>
              </w:rPr>
              <w:t>Contract / Invariant Evidence</w:t>
            </w:r>
          </w:p>
        </w:tc>
        <w:tc>
          <w:tcPr>
            <w:tcW w:type="dxa" w:w="1531"/>
            <w:vAlign w:val="center"/>
            <w:tcMar>
              <w:top w:w="70" w:type="dxa"/>
              <w:left w:w="80" w:type="dxa"/>
              <w:bottom w:w="70" w:type="dxa"/>
              <w:right w:w="80" w:type="dxa"/>
            </w:tcMar>
          </w:tcPr>
          <w:p>
            <w:r>
              <w:rPr>
                <w:b/>
                <w:sz w:val="15"/>
              </w:rPr>
              <w:t>Test Evidence</w:t>
            </w:r>
          </w:p>
        </w:tc>
        <w:tc>
          <w:tcPr>
            <w:tcW w:type="dxa" w:w="1531"/>
            <w:vAlign w:val="center"/>
            <w:tcMar>
              <w:top w:w="70" w:type="dxa"/>
              <w:left w:w="80" w:type="dxa"/>
              <w:bottom w:w="70" w:type="dxa"/>
              <w:right w:w="80" w:type="dxa"/>
            </w:tcMar>
          </w:tcPr>
          <w:p>
            <w:r>
              <w:rPr>
                <w:b/>
                <w:sz w:val="15"/>
              </w:rPr>
              <w:t>Runbook Evidence</w:t>
            </w:r>
          </w:p>
        </w:tc>
        <w:tc>
          <w:tcPr>
            <w:tcW w:type="dxa" w:w="1531"/>
            <w:vAlign w:val="center"/>
            <w:tcMar>
              <w:top w:w="70" w:type="dxa"/>
              <w:left w:w="80" w:type="dxa"/>
              <w:bottom w:w="70" w:type="dxa"/>
              <w:right w:w="80" w:type="dxa"/>
            </w:tcMar>
          </w:tcPr>
          <w:p>
            <w:r>
              <w:rPr>
                <w:b/>
                <w:sz w:val="15"/>
              </w:rPr>
              <w:t>Status</w:t>
            </w:r>
          </w:p>
        </w:tc>
      </w:tr>
      <w:tr>
        <w:tc>
          <w:tcPr>
            <w:tcW w:type="dxa" w:w="1531"/>
            <w:tcMar>
              <w:top w:w="70" w:type="dxa"/>
              <w:left w:w="80" w:type="dxa"/>
              <w:bottom w:w="70" w:type="dxa"/>
              <w:right w:w="80" w:type="dxa"/>
            </w:tcMar>
          </w:tcPr>
          <w:p>
            <w:r>
              <w:rPr>
                <w:sz w:val="15"/>
              </w:rPr>
              <w:t>PLT-01-R01</w:t>
            </w:r>
          </w:p>
        </w:tc>
        <w:tc>
          <w:tcPr>
            <w:tcW w:type="dxa" w:w="1531"/>
            <w:tcMar>
              <w:top w:w="70" w:type="dxa"/>
              <w:left w:w="80" w:type="dxa"/>
              <w:bottom w:w="70" w:type="dxa"/>
              <w:right w:w="80" w:type="dxa"/>
            </w:tcMar>
          </w:tcPr>
          <w:p>
            <w:r>
              <w:rPr>
                <w:sz w:val="15"/>
              </w:rPr>
              <w:t>Tenant, Organization, Brand &amp; Location Management</w:t>
            </w:r>
          </w:p>
        </w:tc>
        <w:tc>
          <w:tcPr>
            <w:tcW w:type="dxa" w:w="1531"/>
            <w:tcMar>
              <w:top w:w="70" w:type="dxa"/>
              <w:left w:w="80" w:type="dxa"/>
              <w:bottom w:w="70" w:type="dxa"/>
              <w:right w:w="80" w:type="dxa"/>
            </w:tcMar>
          </w:tcPr>
          <w:p>
            <w:r>
              <w:rPr>
                <w:sz w:val="15"/>
              </w:rPr>
              <w:t>Provision, activate, suspend, archive and delete tenants through a controlled lifecycle.</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PLT-01</w:t>
            </w:r>
          </w:p>
        </w:tc>
        <w:tc>
          <w:tcPr>
            <w:tcW w:type="dxa" w:w="1531"/>
            <w:tcMar>
              <w:top w:w="70" w:type="dxa"/>
              <w:left w:w="80" w:type="dxa"/>
              <w:bottom w:w="70" w:type="dxa"/>
              <w:right w:w="80" w:type="dxa"/>
            </w:tcMar>
          </w:tcPr>
          <w:p>
            <w:r>
              <w:rPr>
                <w:sz w:val="15"/>
              </w:rPr>
              <w:t>§10.1 PLT-01 Implementation Contract; §7/§8/§10</w:t>
            </w:r>
          </w:p>
        </w:tc>
        <w:tc>
          <w:tcPr>
            <w:tcW w:type="dxa" w:w="1531"/>
            <w:tcMar>
              <w:top w:w="70" w:type="dxa"/>
              <w:left w:w="80" w:type="dxa"/>
              <w:bottom w:w="70" w:type="dxa"/>
              <w:right w:w="80" w:type="dxa"/>
            </w:tcMar>
          </w:tcPr>
          <w:p>
            <w:r>
              <w:rPr>
                <w:sz w:val="15"/>
              </w:rPr>
              <w:t>§27; INV-PLT-01; API/event contract tests; requirement PLT-01-R01</w:t>
            </w:r>
          </w:p>
        </w:tc>
        <w:tc>
          <w:tcPr>
            <w:tcW w:type="dxa" w:w="1531"/>
            <w:tcMar>
              <w:top w:w="70" w:type="dxa"/>
              <w:left w:w="80" w:type="dxa"/>
              <w:bottom w:w="70" w:type="dxa"/>
              <w:right w:w="80" w:type="dxa"/>
            </w:tcMar>
          </w:tcPr>
          <w:p>
            <w:r>
              <w:rPr>
                <w:sz w:val="15"/>
              </w:rPr>
              <w:t>§28; RB-PLT-01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PLT-01-R02</w:t>
            </w:r>
          </w:p>
        </w:tc>
        <w:tc>
          <w:tcPr>
            <w:tcW w:type="dxa" w:w="1531"/>
            <w:tcMar>
              <w:top w:w="70" w:type="dxa"/>
              <w:left w:w="80" w:type="dxa"/>
              <w:bottom w:w="70" w:type="dxa"/>
              <w:right w:w="80" w:type="dxa"/>
            </w:tcMar>
          </w:tcPr>
          <w:p>
            <w:r>
              <w:rPr>
                <w:sz w:val="15"/>
              </w:rPr>
              <w:t>Tenant, Organization, Brand &amp; Location Management</w:t>
            </w:r>
          </w:p>
        </w:tc>
        <w:tc>
          <w:tcPr>
            <w:tcW w:type="dxa" w:w="1531"/>
            <w:tcMar>
              <w:top w:w="70" w:type="dxa"/>
              <w:left w:w="80" w:type="dxa"/>
              <w:bottom w:w="70" w:type="dxa"/>
              <w:right w:w="80" w:type="dxa"/>
            </w:tcMar>
          </w:tcPr>
          <w:p>
            <w:r>
              <w:rPr>
                <w:sz w:val="15"/>
              </w:rPr>
              <w:t>Model organization, legal entity, brand, region, location, department and cost-center hierarchies.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PLT-01</w:t>
            </w:r>
          </w:p>
        </w:tc>
        <w:tc>
          <w:tcPr>
            <w:tcW w:type="dxa" w:w="1531"/>
            <w:tcMar>
              <w:top w:w="70" w:type="dxa"/>
              <w:left w:w="80" w:type="dxa"/>
              <w:bottom w:w="70" w:type="dxa"/>
              <w:right w:w="80" w:type="dxa"/>
            </w:tcMar>
          </w:tcPr>
          <w:p>
            <w:r>
              <w:rPr>
                <w:sz w:val="15"/>
              </w:rPr>
              <w:t>§10.1 PLT-01 Implementation Contract; §7/§8/§10</w:t>
            </w:r>
          </w:p>
        </w:tc>
        <w:tc>
          <w:tcPr>
            <w:tcW w:type="dxa" w:w="1531"/>
            <w:tcMar>
              <w:top w:w="70" w:type="dxa"/>
              <w:left w:w="80" w:type="dxa"/>
              <w:bottom w:w="70" w:type="dxa"/>
              <w:right w:w="80" w:type="dxa"/>
            </w:tcMar>
          </w:tcPr>
          <w:p>
            <w:r>
              <w:rPr>
                <w:sz w:val="15"/>
              </w:rPr>
              <w:t>§27; INV-PLT-01; API/event contract tests; requirement PLT-01-R02</w:t>
            </w:r>
          </w:p>
        </w:tc>
        <w:tc>
          <w:tcPr>
            <w:tcW w:type="dxa" w:w="1531"/>
            <w:tcMar>
              <w:top w:w="70" w:type="dxa"/>
              <w:left w:w="80" w:type="dxa"/>
              <w:bottom w:w="70" w:type="dxa"/>
              <w:right w:w="80" w:type="dxa"/>
            </w:tcMar>
          </w:tcPr>
          <w:p>
            <w:r>
              <w:rPr>
                <w:sz w:val="15"/>
              </w:rPr>
              <w:t>§28; RB-PLT-01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PLT-01-R03</w:t>
            </w:r>
          </w:p>
        </w:tc>
        <w:tc>
          <w:tcPr>
            <w:tcW w:type="dxa" w:w="1531"/>
            <w:tcMar>
              <w:top w:w="70" w:type="dxa"/>
              <w:left w:w="80" w:type="dxa"/>
              <w:bottom w:w="70" w:type="dxa"/>
              <w:right w:w="80" w:type="dxa"/>
            </w:tcMar>
          </w:tcPr>
          <w:p>
            <w:r>
              <w:rPr>
                <w:sz w:val="15"/>
              </w:rPr>
              <w:t>Tenant, Organization, Brand &amp; Location Management</w:t>
            </w:r>
          </w:p>
        </w:tc>
        <w:tc>
          <w:tcPr>
            <w:tcW w:type="dxa" w:w="1531"/>
            <w:tcMar>
              <w:top w:w="70" w:type="dxa"/>
              <w:left w:w="80" w:type="dxa"/>
              <w:bottom w:w="70" w:type="dxa"/>
              <w:right w:w="80" w:type="dxa"/>
            </w:tcMar>
          </w:tcPr>
          <w:p>
            <w:r>
              <w:rPr>
                <w:sz w:val="15"/>
              </w:rPr>
              <w:t>Enforce tenant-aware identifiers, storage paths, search indexes, events, caches, logs and background jobs.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PLT-01</w:t>
            </w:r>
          </w:p>
        </w:tc>
        <w:tc>
          <w:tcPr>
            <w:tcW w:type="dxa" w:w="1531"/>
            <w:tcMar>
              <w:top w:w="70" w:type="dxa"/>
              <w:left w:w="80" w:type="dxa"/>
              <w:bottom w:w="70" w:type="dxa"/>
              <w:right w:w="80" w:type="dxa"/>
            </w:tcMar>
          </w:tcPr>
          <w:p>
            <w:r>
              <w:rPr>
                <w:sz w:val="15"/>
              </w:rPr>
              <w:t>§10.1 PLT-01 Implementation Contract; §7/§8/§10</w:t>
            </w:r>
          </w:p>
        </w:tc>
        <w:tc>
          <w:tcPr>
            <w:tcW w:type="dxa" w:w="1531"/>
            <w:tcMar>
              <w:top w:w="70" w:type="dxa"/>
              <w:left w:w="80" w:type="dxa"/>
              <w:bottom w:w="70" w:type="dxa"/>
              <w:right w:w="80" w:type="dxa"/>
            </w:tcMar>
          </w:tcPr>
          <w:p>
            <w:r>
              <w:rPr>
                <w:sz w:val="15"/>
              </w:rPr>
              <w:t>§27; INV-PLT-01; API/event contract tests; requirement PLT-01-R03</w:t>
            </w:r>
          </w:p>
        </w:tc>
        <w:tc>
          <w:tcPr>
            <w:tcW w:type="dxa" w:w="1531"/>
            <w:tcMar>
              <w:top w:w="70" w:type="dxa"/>
              <w:left w:w="80" w:type="dxa"/>
              <w:bottom w:w="70" w:type="dxa"/>
              <w:right w:w="80" w:type="dxa"/>
            </w:tcMar>
          </w:tcPr>
          <w:p>
            <w:r>
              <w:rPr>
                <w:sz w:val="15"/>
              </w:rPr>
              <w:t>§28; RB-PLT-01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PLT-01-R04</w:t>
            </w:r>
          </w:p>
        </w:tc>
        <w:tc>
          <w:tcPr>
            <w:tcW w:type="dxa" w:w="1531"/>
            <w:tcMar>
              <w:top w:w="70" w:type="dxa"/>
              <w:left w:w="80" w:type="dxa"/>
              <w:bottom w:w="70" w:type="dxa"/>
              <w:right w:w="80" w:type="dxa"/>
            </w:tcMar>
          </w:tcPr>
          <w:p>
            <w:r>
              <w:rPr>
                <w:sz w:val="15"/>
              </w:rPr>
              <w:t>Tenant, Organization, Brand &amp; Location Management</w:t>
            </w:r>
          </w:p>
        </w:tc>
        <w:tc>
          <w:tcPr>
            <w:tcW w:type="dxa" w:w="1531"/>
            <w:tcMar>
              <w:top w:w="70" w:type="dxa"/>
              <w:left w:w="80" w:type="dxa"/>
              <w:bottom w:w="70" w:type="dxa"/>
              <w:right w:w="80" w:type="dxa"/>
            </w:tcMar>
          </w:tcPr>
          <w:p>
            <w:r>
              <w:rPr>
                <w:sz w:val="15"/>
              </w:rPr>
              <w:t>Support tenant templates, cloning, defaults, regional settings and configuration inheritance.</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PLT-01</w:t>
            </w:r>
          </w:p>
        </w:tc>
        <w:tc>
          <w:tcPr>
            <w:tcW w:type="dxa" w:w="1531"/>
            <w:tcMar>
              <w:top w:w="70" w:type="dxa"/>
              <w:left w:w="80" w:type="dxa"/>
              <w:bottom w:w="70" w:type="dxa"/>
              <w:right w:w="80" w:type="dxa"/>
            </w:tcMar>
          </w:tcPr>
          <w:p>
            <w:r>
              <w:rPr>
                <w:sz w:val="15"/>
              </w:rPr>
              <w:t>§10.1 PLT-01 Implementation Contract; §7/§8/§10</w:t>
            </w:r>
          </w:p>
        </w:tc>
        <w:tc>
          <w:tcPr>
            <w:tcW w:type="dxa" w:w="1531"/>
            <w:tcMar>
              <w:top w:w="70" w:type="dxa"/>
              <w:left w:w="80" w:type="dxa"/>
              <w:bottom w:w="70" w:type="dxa"/>
              <w:right w:w="80" w:type="dxa"/>
            </w:tcMar>
          </w:tcPr>
          <w:p>
            <w:r>
              <w:rPr>
                <w:sz w:val="15"/>
              </w:rPr>
              <w:t>§27; INV-PLT-01; API/event contract tests; requirement PLT-01-R04</w:t>
            </w:r>
          </w:p>
        </w:tc>
        <w:tc>
          <w:tcPr>
            <w:tcW w:type="dxa" w:w="1531"/>
            <w:tcMar>
              <w:top w:w="70" w:type="dxa"/>
              <w:left w:w="80" w:type="dxa"/>
              <w:bottom w:w="70" w:type="dxa"/>
              <w:right w:w="80" w:type="dxa"/>
            </w:tcMar>
          </w:tcPr>
          <w:p>
            <w:r>
              <w:rPr>
                <w:sz w:val="15"/>
              </w:rPr>
              <w:t>§28; RB-PLT-01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PLT-01-R05</w:t>
            </w:r>
          </w:p>
        </w:tc>
        <w:tc>
          <w:tcPr>
            <w:tcW w:type="dxa" w:w="1531"/>
            <w:tcMar>
              <w:top w:w="70" w:type="dxa"/>
              <w:left w:w="80" w:type="dxa"/>
              <w:bottom w:w="70" w:type="dxa"/>
              <w:right w:w="80" w:type="dxa"/>
            </w:tcMar>
          </w:tcPr>
          <w:p>
            <w:r>
              <w:rPr>
                <w:sz w:val="15"/>
              </w:rPr>
              <w:t>Tenant, Organization, Brand &amp; Location Management</w:t>
            </w:r>
          </w:p>
        </w:tc>
        <w:tc>
          <w:tcPr>
            <w:tcW w:type="dxa" w:w="1531"/>
            <w:tcMar>
              <w:top w:w="70" w:type="dxa"/>
              <w:left w:w="80" w:type="dxa"/>
              <w:bottom w:w="70" w:type="dxa"/>
              <w:right w:w="80" w:type="dxa"/>
            </w:tcMar>
          </w:tcPr>
          <w:p>
            <w:r>
              <w:rPr>
                <w:sz w:val="15"/>
              </w:rPr>
              <w:t>Provide data residency, deployment-region and encryption-key assignment policies.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PLT-01</w:t>
            </w:r>
          </w:p>
        </w:tc>
        <w:tc>
          <w:tcPr>
            <w:tcW w:type="dxa" w:w="1531"/>
            <w:tcMar>
              <w:top w:w="70" w:type="dxa"/>
              <w:left w:w="80" w:type="dxa"/>
              <w:bottom w:w="70" w:type="dxa"/>
              <w:right w:w="80" w:type="dxa"/>
            </w:tcMar>
          </w:tcPr>
          <w:p>
            <w:r>
              <w:rPr>
                <w:sz w:val="15"/>
              </w:rPr>
              <w:t>§10.1 PLT-01 Implementation Contract; §7/§8/§10</w:t>
            </w:r>
          </w:p>
        </w:tc>
        <w:tc>
          <w:tcPr>
            <w:tcW w:type="dxa" w:w="1531"/>
            <w:tcMar>
              <w:top w:w="70" w:type="dxa"/>
              <w:left w:w="80" w:type="dxa"/>
              <w:bottom w:w="70" w:type="dxa"/>
              <w:right w:w="80" w:type="dxa"/>
            </w:tcMar>
          </w:tcPr>
          <w:p>
            <w:r>
              <w:rPr>
                <w:sz w:val="15"/>
              </w:rPr>
              <w:t>§27; INV-PLT-01; API/event contract tests; requirement PLT-01-R05</w:t>
            </w:r>
          </w:p>
        </w:tc>
        <w:tc>
          <w:tcPr>
            <w:tcW w:type="dxa" w:w="1531"/>
            <w:tcMar>
              <w:top w:w="70" w:type="dxa"/>
              <w:left w:w="80" w:type="dxa"/>
              <w:bottom w:w="70" w:type="dxa"/>
              <w:right w:w="80" w:type="dxa"/>
            </w:tcMar>
          </w:tcPr>
          <w:p>
            <w:r>
              <w:rPr>
                <w:sz w:val="15"/>
              </w:rPr>
              <w:t>§28; RB-PLT-01</w:t>
            </w:r>
          </w:p>
        </w:tc>
        <w:tc>
          <w:tcPr>
            <w:tcW w:type="dxa" w:w="1531"/>
            <w:tcMar>
              <w:top w:w="70" w:type="dxa"/>
              <w:left w:w="80" w:type="dxa"/>
              <w:bottom w:w="70" w:type="dxa"/>
              <w:right w:w="80" w:type="dxa"/>
            </w:tcMar>
          </w:tcPr>
          <w:p>
            <w:r>
              <w:rPr>
                <w:sz w:val="15"/>
              </w:rPr>
              <w:t>PARTIAL - external validation / later adapter evidence required</w:t>
            </w:r>
          </w:p>
        </w:tc>
      </w:tr>
      <w:tr>
        <w:tc>
          <w:tcPr>
            <w:tcW w:type="dxa" w:w="1531"/>
            <w:tcMar>
              <w:top w:w="70" w:type="dxa"/>
              <w:left w:w="80" w:type="dxa"/>
              <w:bottom w:w="70" w:type="dxa"/>
              <w:right w:w="80" w:type="dxa"/>
            </w:tcMar>
          </w:tcPr>
          <w:p>
            <w:r>
              <w:rPr>
                <w:sz w:val="15"/>
              </w:rPr>
              <w:t>PLT-01-R06</w:t>
            </w:r>
          </w:p>
        </w:tc>
        <w:tc>
          <w:tcPr>
            <w:tcW w:type="dxa" w:w="1531"/>
            <w:tcMar>
              <w:top w:w="70" w:type="dxa"/>
              <w:left w:w="80" w:type="dxa"/>
              <w:bottom w:w="70" w:type="dxa"/>
              <w:right w:w="80" w:type="dxa"/>
            </w:tcMar>
          </w:tcPr>
          <w:p>
            <w:r>
              <w:rPr>
                <w:sz w:val="15"/>
              </w:rPr>
              <w:t>Tenant, Organization, Brand &amp; Location Management</w:t>
            </w:r>
          </w:p>
        </w:tc>
        <w:tc>
          <w:tcPr>
            <w:tcW w:type="dxa" w:w="1531"/>
            <w:tcMar>
              <w:top w:w="70" w:type="dxa"/>
              <w:left w:w="80" w:type="dxa"/>
              <w:bottom w:w="70" w:type="dxa"/>
              <w:right w:w="80" w:type="dxa"/>
            </w:tcMar>
          </w:tcPr>
          <w:p>
            <w:r>
              <w:rPr>
                <w:sz w:val="15"/>
              </w:rPr>
              <w:t>Allow multi-brand ownership with separate branding, catalogs, pricing, domains, applications and policies.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PLT-01</w:t>
            </w:r>
          </w:p>
        </w:tc>
        <w:tc>
          <w:tcPr>
            <w:tcW w:type="dxa" w:w="1531"/>
            <w:tcMar>
              <w:top w:w="70" w:type="dxa"/>
              <w:left w:w="80" w:type="dxa"/>
              <w:bottom w:w="70" w:type="dxa"/>
              <w:right w:w="80" w:type="dxa"/>
            </w:tcMar>
          </w:tcPr>
          <w:p>
            <w:r>
              <w:rPr>
                <w:sz w:val="15"/>
              </w:rPr>
              <w:t>§10.1 PLT-01 Implementation Contract; §7/§8/§10</w:t>
            </w:r>
          </w:p>
        </w:tc>
        <w:tc>
          <w:tcPr>
            <w:tcW w:type="dxa" w:w="1531"/>
            <w:tcMar>
              <w:top w:w="70" w:type="dxa"/>
              <w:left w:w="80" w:type="dxa"/>
              <w:bottom w:w="70" w:type="dxa"/>
              <w:right w:w="80" w:type="dxa"/>
            </w:tcMar>
          </w:tcPr>
          <w:p>
            <w:r>
              <w:rPr>
                <w:sz w:val="15"/>
              </w:rPr>
              <w:t>§27; INV-PLT-01; API/event contract tests; requirement PLT-01-R06</w:t>
            </w:r>
          </w:p>
        </w:tc>
        <w:tc>
          <w:tcPr>
            <w:tcW w:type="dxa" w:w="1531"/>
            <w:tcMar>
              <w:top w:w="70" w:type="dxa"/>
              <w:left w:w="80" w:type="dxa"/>
              <w:bottom w:w="70" w:type="dxa"/>
              <w:right w:w="80" w:type="dxa"/>
            </w:tcMar>
          </w:tcPr>
          <w:p>
            <w:r>
              <w:rPr>
                <w:sz w:val="15"/>
              </w:rPr>
              <w:t>§28; RB-PLT-01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PLT-01-R07</w:t>
            </w:r>
          </w:p>
        </w:tc>
        <w:tc>
          <w:tcPr>
            <w:tcW w:type="dxa" w:w="1531"/>
            <w:tcMar>
              <w:top w:w="70" w:type="dxa"/>
              <w:left w:w="80" w:type="dxa"/>
              <w:bottom w:w="70" w:type="dxa"/>
              <w:right w:w="80" w:type="dxa"/>
            </w:tcMar>
          </w:tcPr>
          <w:p>
            <w:r>
              <w:rPr>
                <w:sz w:val="15"/>
              </w:rPr>
              <w:t>Tenant, Organization, Brand &amp; Location Management</w:t>
            </w:r>
          </w:p>
        </w:tc>
        <w:tc>
          <w:tcPr>
            <w:tcW w:type="dxa" w:w="1531"/>
            <w:tcMar>
              <w:top w:w="70" w:type="dxa"/>
              <w:left w:w="80" w:type="dxa"/>
              <w:bottom w:w="70" w:type="dxa"/>
              <w:right w:w="80" w:type="dxa"/>
            </w:tcMar>
          </w:tcPr>
          <w:p>
            <w:r>
              <w:rPr>
                <w:sz w:val="15"/>
              </w:rPr>
              <w:t>Maintain tenant lifecycle history and prevent hard deletion before legal, billing and retention gates pass.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PLT-01</w:t>
            </w:r>
          </w:p>
        </w:tc>
        <w:tc>
          <w:tcPr>
            <w:tcW w:type="dxa" w:w="1531"/>
            <w:tcMar>
              <w:top w:w="70" w:type="dxa"/>
              <w:left w:w="80" w:type="dxa"/>
              <w:bottom w:w="70" w:type="dxa"/>
              <w:right w:w="80" w:type="dxa"/>
            </w:tcMar>
          </w:tcPr>
          <w:p>
            <w:r>
              <w:rPr>
                <w:sz w:val="15"/>
              </w:rPr>
              <w:t>§10.1 PLT-01 Implementation Contract; §7/§8/§10</w:t>
            </w:r>
          </w:p>
        </w:tc>
        <w:tc>
          <w:tcPr>
            <w:tcW w:type="dxa" w:w="1531"/>
            <w:tcMar>
              <w:top w:w="70" w:type="dxa"/>
              <w:left w:w="80" w:type="dxa"/>
              <w:bottom w:w="70" w:type="dxa"/>
              <w:right w:w="80" w:type="dxa"/>
            </w:tcMar>
          </w:tcPr>
          <w:p>
            <w:r>
              <w:rPr>
                <w:sz w:val="15"/>
              </w:rPr>
              <w:t>§27; INV-PLT-01; API/event contract tests; requirement PLT-01-R07</w:t>
            </w:r>
          </w:p>
        </w:tc>
        <w:tc>
          <w:tcPr>
            <w:tcW w:type="dxa" w:w="1531"/>
            <w:tcMar>
              <w:top w:w="70" w:type="dxa"/>
              <w:left w:w="80" w:type="dxa"/>
              <w:bottom w:w="70" w:type="dxa"/>
              <w:right w:w="80" w:type="dxa"/>
            </w:tcMar>
          </w:tcPr>
          <w:p>
            <w:r>
              <w:rPr>
                <w:sz w:val="15"/>
              </w:rPr>
              <w:t>§28; RB-PLT-01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PLT-02-R01</w:t>
            </w:r>
          </w:p>
        </w:tc>
        <w:tc>
          <w:tcPr>
            <w:tcW w:type="dxa" w:w="1531"/>
            <w:tcMar>
              <w:top w:w="70" w:type="dxa"/>
              <w:left w:w="80" w:type="dxa"/>
              <w:bottom w:w="70" w:type="dxa"/>
              <w:right w:w="80" w:type="dxa"/>
            </w:tcMar>
          </w:tcPr>
          <w:p>
            <w:r>
              <w:rPr>
                <w:sz w:val="15"/>
              </w:rPr>
              <w:t>Configuration, Feature Flags &amp; Experimentation</w:t>
            </w:r>
          </w:p>
        </w:tc>
        <w:tc>
          <w:tcPr>
            <w:tcW w:type="dxa" w:w="1531"/>
            <w:tcMar>
              <w:top w:w="70" w:type="dxa"/>
              <w:left w:w="80" w:type="dxa"/>
              <w:bottom w:w="70" w:type="dxa"/>
              <w:right w:w="80" w:type="dxa"/>
            </w:tcMar>
          </w:tcPr>
          <w:p>
            <w:r>
              <w:rPr>
                <w:sz w:val="15"/>
              </w:rPr>
              <w:t>Typed configuration registry with defaults, validation, ownership, versioning and inheritance.</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PLT-02</w:t>
            </w:r>
          </w:p>
        </w:tc>
        <w:tc>
          <w:tcPr>
            <w:tcW w:type="dxa" w:w="1531"/>
            <w:tcMar>
              <w:top w:w="70" w:type="dxa"/>
              <w:left w:w="80" w:type="dxa"/>
              <w:bottom w:w="70" w:type="dxa"/>
              <w:right w:w="80" w:type="dxa"/>
            </w:tcMar>
          </w:tcPr>
          <w:p>
            <w:r>
              <w:rPr>
                <w:sz w:val="15"/>
              </w:rPr>
              <w:t>§10.2 PLT-02 Implementation Contract; §7/§8/§10</w:t>
            </w:r>
          </w:p>
        </w:tc>
        <w:tc>
          <w:tcPr>
            <w:tcW w:type="dxa" w:w="1531"/>
            <w:tcMar>
              <w:top w:w="70" w:type="dxa"/>
              <w:left w:w="80" w:type="dxa"/>
              <w:bottom w:w="70" w:type="dxa"/>
              <w:right w:w="80" w:type="dxa"/>
            </w:tcMar>
          </w:tcPr>
          <w:p>
            <w:r>
              <w:rPr>
                <w:sz w:val="15"/>
              </w:rPr>
              <w:t>§27; INV-PLT-02; API/event contract tests; requirement PLT-02-R01</w:t>
            </w:r>
          </w:p>
        </w:tc>
        <w:tc>
          <w:tcPr>
            <w:tcW w:type="dxa" w:w="1531"/>
            <w:tcMar>
              <w:top w:w="70" w:type="dxa"/>
              <w:left w:w="80" w:type="dxa"/>
              <w:bottom w:w="70" w:type="dxa"/>
              <w:right w:w="80" w:type="dxa"/>
            </w:tcMar>
          </w:tcPr>
          <w:p>
            <w:r>
              <w:rPr>
                <w:sz w:val="15"/>
              </w:rPr>
              <w:t>§28; RB-PLT-02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PLT-02-R02</w:t>
            </w:r>
          </w:p>
        </w:tc>
        <w:tc>
          <w:tcPr>
            <w:tcW w:type="dxa" w:w="1531"/>
            <w:tcMar>
              <w:top w:w="70" w:type="dxa"/>
              <w:left w:w="80" w:type="dxa"/>
              <w:bottom w:w="70" w:type="dxa"/>
              <w:right w:w="80" w:type="dxa"/>
            </w:tcMar>
          </w:tcPr>
          <w:p>
            <w:r>
              <w:rPr>
                <w:sz w:val="15"/>
              </w:rPr>
              <w:t>Configuration, Feature Flags &amp; Experimentation</w:t>
            </w:r>
          </w:p>
        </w:tc>
        <w:tc>
          <w:tcPr>
            <w:tcW w:type="dxa" w:w="1531"/>
            <w:tcMar>
              <w:top w:w="70" w:type="dxa"/>
              <w:left w:w="80" w:type="dxa"/>
              <w:bottom w:w="70" w:type="dxa"/>
              <w:right w:w="80" w:type="dxa"/>
            </w:tcMar>
          </w:tcPr>
          <w:p>
            <w:r>
              <w:rPr>
                <w:sz w:val="15"/>
              </w:rPr>
              <w:t>Feature flags targeted by environment, tenant, plan, brand, location, user, role and percentage rollout.</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PLT-02</w:t>
            </w:r>
          </w:p>
        </w:tc>
        <w:tc>
          <w:tcPr>
            <w:tcW w:type="dxa" w:w="1531"/>
            <w:tcMar>
              <w:top w:w="70" w:type="dxa"/>
              <w:left w:w="80" w:type="dxa"/>
              <w:bottom w:w="70" w:type="dxa"/>
              <w:right w:w="80" w:type="dxa"/>
            </w:tcMar>
          </w:tcPr>
          <w:p>
            <w:r>
              <w:rPr>
                <w:sz w:val="15"/>
              </w:rPr>
              <w:t>§10.2 PLT-02 Implementation Contract; §7/§8/§10</w:t>
            </w:r>
          </w:p>
        </w:tc>
        <w:tc>
          <w:tcPr>
            <w:tcW w:type="dxa" w:w="1531"/>
            <w:tcMar>
              <w:top w:w="70" w:type="dxa"/>
              <w:left w:w="80" w:type="dxa"/>
              <w:bottom w:w="70" w:type="dxa"/>
              <w:right w:w="80" w:type="dxa"/>
            </w:tcMar>
          </w:tcPr>
          <w:p>
            <w:r>
              <w:rPr>
                <w:sz w:val="15"/>
              </w:rPr>
              <w:t>§27; INV-PLT-02; API/event contract tests; requirement PLT-02-R02</w:t>
            </w:r>
          </w:p>
        </w:tc>
        <w:tc>
          <w:tcPr>
            <w:tcW w:type="dxa" w:w="1531"/>
            <w:tcMar>
              <w:top w:w="70" w:type="dxa"/>
              <w:left w:w="80" w:type="dxa"/>
              <w:bottom w:w="70" w:type="dxa"/>
              <w:right w:w="80" w:type="dxa"/>
            </w:tcMar>
          </w:tcPr>
          <w:p>
            <w:r>
              <w:rPr>
                <w:sz w:val="15"/>
              </w:rPr>
              <w:t>§28; RB-PLT-02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PLT-02-R03</w:t>
            </w:r>
          </w:p>
        </w:tc>
        <w:tc>
          <w:tcPr>
            <w:tcW w:type="dxa" w:w="1531"/>
            <w:tcMar>
              <w:top w:w="70" w:type="dxa"/>
              <w:left w:w="80" w:type="dxa"/>
              <w:bottom w:w="70" w:type="dxa"/>
              <w:right w:w="80" w:type="dxa"/>
            </w:tcMar>
          </w:tcPr>
          <w:p>
            <w:r>
              <w:rPr>
                <w:sz w:val="15"/>
              </w:rPr>
              <w:t>Configuration, Feature Flags &amp; Experimentation</w:t>
            </w:r>
          </w:p>
        </w:tc>
        <w:tc>
          <w:tcPr>
            <w:tcW w:type="dxa" w:w="1531"/>
            <w:tcMar>
              <w:top w:w="70" w:type="dxa"/>
              <w:left w:w="80" w:type="dxa"/>
              <w:bottom w:w="70" w:type="dxa"/>
              <w:right w:w="80" w:type="dxa"/>
            </w:tcMar>
          </w:tcPr>
          <w:p>
            <w:r>
              <w:rPr>
                <w:sz w:val="15"/>
              </w:rPr>
              <w:t>Kill switches for risky integrations, AI actions, payments, hardware and communications.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PLT-02</w:t>
            </w:r>
          </w:p>
        </w:tc>
        <w:tc>
          <w:tcPr>
            <w:tcW w:type="dxa" w:w="1531"/>
            <w:tcMar>
              <w:top w:w="70" w:type="dxa"/>
              <w:left w:w="80" w:type="dxa"/>
              <w:bottom w:w="70" w:type="dxa"/>
              <w:right w:w="80" w:type="dxa"/>
            </w:tcMar>
          </w:tcPr>
          <w:p>
            <w:r>
              <w:rPr>
                <w:sz w:val="15"/>
              </w:rPr>
              <w:t>§10.2 PLT-02 Implementation Contract; §7/§8/§10</w:t>
            </w:r>
          </w:p>
        </w:tc>
        <w:tc>
          <w:tcPr>
            <w:tcW w:type="dxa" w:w="1531"/>
            <w:tcMar>
              <w:top w:w="70" w:type="dxa"/>
              <w:left w:w="80" w:type="dxa"/>
              <w:bottom w:w="70" w:type="dxa"/>
              <w:right w:w="80" w:type="dxa"/>
            </w:tcMar>
          </w:tcPr>
          <w:p>
            <w:r>
              <w:rPr>
                <w:sz w:val="15"/>
              </w:rPr>
              <w:t>§27; INV-PLT-02; API/event contract tests; requirement PLT-02-R03</w:t>
            </w:r>
          </w:p>
        </w:tc>
        <w:tc>
          <w:tcPr>
            <w:tcW w:type="dxa" w:w="1531"/>
            <w:tcMar>
              <w:top w:w="70" w:type="dxa"/>
              <w:left w:w="80" w:type="dxa"/>
              <w:bottom w:w="70" w:type="dxa"/>
              <w:right w:w="80" w:type="dxa"/>
            </w:tcMar>
          </w:tcPr>
          <w:p>
            <w:r>
              <w:rPr>
                <w:sz w:val="15"/>
              </w:rPr>
              <w:t>§28; RB-PLT-02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PLT-02-R04</w:t>
            </w:r>
          </w:p>
        </w:tc>
        <w:tc>
          <w:tcPr>
            <w:tcW w:type="dxa" w:w="1531"/>
            <w:tcMar>
              <w:top w:w="70" w:type="dxa"/>
              <w:left w:w="80" w:type="dxa"/>
              <w:bottom w:w="70" w:type="dxa"/>
              <w:right w:w="80" w:type="dxa"/>
            </w:tcMar>
          </w:tcPr>
          <w:p>
            <w:r>
              <w:rPr>
                <w:sz w:val="15"/>
              </w:rPr>
              <w:t>Configuration, Feature Flags &amp; Experimentation</w:t>
            </w:r>
          </w:p>
        </w:tc>
        <w:tc>
          <w:tcPr>
            <w:tcW w:type="dxa" w:w="1531"/>
            <w:tcMar>
              <w:top w:w="70" w:type="dxa"/>
              <w:left w:w="80" w:type="dxa"/>
              <w:bottom w:w="70" w:type="dxa"/>
              <w:right w:w="80" w:type="dxa"/>
            </w:tcMar>
          </w:tcPr>
          <w:p>
            <w:r>
              <w:rPr>
                <w:sz w:val="15"/>
              </w:rPr>
              <w:t>Experiment assignment, exposure events, metrics, guardrails and statistical decision records.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PLT-02</w:t>
            </w:r>
          </w:p>
        </w:tc>
        <w:tc>
          <w:tcPr>
            <w:tcW w:type="dxa" w:w="1531"/>
            <w:tcMar>
              <w:top w:w="70" w:type="dxa"/>
              <w:left w:w="80" w:type="dxa"/>
              <w:bottom w:w="70" w:type="dxa"/>
              <w:right w:w="80" w:type="dxa"/>
            </w:tcMar>
          </w:tcPr>
          <w:p>
            <w:r>
              <w:rPr>
                <w:sz w:val="15"/>
              </w:rPr>
              <w:t>§10.2 PLT-02 Implementation Contract; §7/§8/§10</w:t>
            </w:r>
          </w:p>
        </w:tc>
        <w:tc>
          <w:tcPr>
            <w:tcW w:type="dxa" w:w="1531"/>
            <w:tcMar>
              <w:top w:w="70" w:type="dxa"/>
              <w:left w:w="80" w:type="dxa"/>
              <w:bottom w:w="70" w:type="dxa"/>
              <w:right w:w="80" w:type="dxa"/>
            </w:tcMar>
          </w:tcPr>
          <w:p>
            <w:r>
              <w:rPr>
                <w:sz w:val="15"/>
              </w:rPr>
              <w:t>§27; INV-PLT-02; API/event contract tests; requirement PLT-02-R04</w:t>
            </w:r>
          </w:p>
        </w:tc>
        <w:tc>
          <w:tcPr>
            <w:tcW w:type="dxa" w:w="1531"/>
            <w:tcMar>
              <w:top w:w="70" w:type="dxa"/>
              <w:left w:w="80" w:type="dxa"/>
              <w:bottom w:w="70" w:type="dxa"/>
              <w:right w:w="80" w:type="dxa"/>
            </w:tcMar>
          </w:tcPr>
          <w:p>
            <w:r>
              <w:rPr>
                <w:sz w:val="15"/>
              </w:rPr>
              <w:t>§28; RB-PLT-02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PLT-02-R05</w:t>
            </w:r>
          </w:p>
        </w:tc>
        <w:tc>
          <w:tcPr>
            <w:tcW w:type="dxa" w:w="1531"/>
            <w:tcMar>
              <w:top w:w="70" w:type="dxa"/>
              <w:left w:w="80" w:type="dxa"/>
              <w:bottom w:w="70" w:type="dxa"/>
              <w:right w:w="80" w:type="dxa"/>
            </w:tcMar>
          </w:tcPr>
          <w:p>
            <w:r>
              <w:rPr>
                <w:sz w:val="15"/>
              </w:rPr>
              <w:t>Configuration, Feature Flags &amp; Experimentation</w:t>
            </w:r>
          </w:p>
        </w:tc>
        <w:tc>
          <w:tcPr>
            <w:tcW w:type="dxa" w:w="1531"/>
            <w:tcMar>
              <w:top w:w="70" w:type="dxa"/>
              <w:left w:w="80" w:type="dxa"/>
              <w:bottom w:w="70" w:type="dxa"/>
              <w:right w:w="80" w:type="dxa"/>
            </w:tcMar>
          </w:tcPr>
          <w:p>
            <w:r>
              <w:rPr>
                <w:sz w:val="15"/>
              </w:rPr>
              <w:t>Configuration preview, impact analysis, approval and rollback.</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PLT-02</w:t>
            </w:r>
          </w:p>
        </w:tc>
        <w:tc>
          <w:tcPr>
            <w:tcW w:type="dxa" w:w="1531"/>
            <w:tcMar>
              <w:top w:w="70" w:type="dxa"/>
              <w:left w:w="80" w:type="dxa"/>
              <w:bottom w:w="70" w:type="dxa"/>
              <w:right w:w="80" w:type="dxa"/>
            </w:tcMar>
          </w:tcPr>
          <w:p>
            <w:r>
              <w:rPr>
                <w:sz w:val="15"/>
              </w:rPr>
              <w:t>§10.2 PLT-02 Implementation Contract; §7/§8/§10</w:t>
            </w:r>
          </w:p>
        </w:tc>
        <w:tc>
          <w:tcPr>
            <w:tcW w:type="dxa" w:w="1531"/>
            <w:tcMar>
              <w:top w:w="70" w:type="dxa"/>
              <w:left w:w="80" w:type="dxa"/>
              <w:bottom w:w="70" w:type="dxa"/>
              <w:right w:w="80" w:type="dxa"/>
            </w:tcMar>
          </w:tcPr>
          <w:p>
            <w:r>
              <w:rPr>
                <w:sz w:val="15"/>
              </w:rPr>
              <w:t>§27; INV-PLT-02; API/event contract tests; requirement PLT-02-R05</w:t>
            </w:r>
          </w:p>
        </w:tc>
        <w:tc>
          <w:tcPr>
            <w:tcW w:type="dxa" w:w="1531"/>
            <w:tcMar>
              <w:top w:w="70" w:type="dxa"/>
              <w:left w:w="80" w:type="dxa"/>
              <w:bottom w:w="70" w:type="dxa"/>
              <w:right w:w="80" w:type="dxa"/>
            </w:tcMar>
          </w:tcPr>
          <w:p>
            <w:r>
              <w:rPr>
                <w:sz w:val="15"/>
              </w:rPr>
              <w:t>§28; RB-PLT-02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PLT-02-R06</w:t>
            </w:r>
          </w:p>
        </w:tc>
        <w:tc>
          <w:tcPr>
            <w:tcW w:type="dxa" w:w="1531"/>
            <w:tcMar>
              <w:top w:w="70" w:type="dxa"/>
              <w:left w:w="80" w:type="dxa"/>
              <w:bottom w:w="70" w:type="dxa"/>
              <w:right w:w="80" w:type="dxa"/>
            </w:tcMar>
          </w:tcPr>
          <w:p>
            <w:r>
              <w:rPr>
                <w:sz w:val="15"/>
              </w:rPr>
              <w:t>Configuration, Feature Flags &amp; Experimentation</w:t>
            </w:r>
          </w:p>
        </w:tc>
        <w:tc>
          <w:tcPr>
            <w:tcW w:type="dxa" w:w="1531"/>
            <w:tcMar>
              <w:top w:w="70" w:type="dxa"/>
              <w:left w:w="80" w:type="dxa"/>
              <w:bottom w:w="70" w:type="dxa"/>
              <w:right w:w="80" w:type="dxa"/>
            </w:tcMar>
          </w:tcPr>
          <w:p>
            <w:r>
              <w:rPr>
                <w:sz w:val="15"/>
              </w:rPr>
              <w:t>Remote configuration for mobile applications, kiosks and managed devices.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PLT-02</w:t>
            </w:r>
          </w:p>
        </w:tc>
        <w:tc>
          <w:tcPr>
            <w:tcW w:type="dxa" w:w="1531"/>
            <w:tcMar>
              <w:top w:w="70" w:type="dxa"/>
              <w:left w:w="80" w:type="dxa"/>
              <w:bottom w:w="70" w:type="dxa"/>
              <w:right w:w="80" w:type="dxa"/>
            </w:tcMar>
          </w:tcPr>
          <w:p>
            <w:r>
              <w:rPr>
                <w:sz w:val="15"/>
              </w:rPr>
              <w:t>§10.2 PLT-02 Implementation Contract; §7/§8/§10</w:t>
            </w:r>
          </w:p>
        </w:tc>
        <w:tc>
          <w:tcPr>
            <w:tcW w:type="dxa" w:w="1531"/>
            <w:tcMar>
              <w:top w:w="70" w:type="dxa"/>
              <w:left w:w="80" w:type="dxa"/>
              <w:bottom w:w="70" w:type="dxa"/>
              <w:right w:w="80" w:type="dxa"/>
            </w:tcMar>
          </w:tcPr>
          <w:p>
            <w:r>
              <w:rPr>
                <w:sz w:val="15"/>
              </w:rPr>
              <w:t>§27; INV-PLT-02; API/event contract tests; requirement PLT-02-R06</w:t>
            </w:r>
          </w:p>
        </w:tc>
        <w:tc>
          <w:tcPr>
            <w:tcW w:type="dxa" w:w="1531"/>
            <w:tcMar>
              <w:top w:w="70" w:type="dxa"/>
              <w:left w:w="80" w:type="dxa"/>
              <w:bottom w:w="70" w:type="dxa"/>
              <w:right w:w="80" w:type="dxa"/>
            </w:tcMar>
          </w:tcPr>
          <w:p>
            <w:r>
              <w:rPr>
                <w:sz w:val="15"/>
              </w:rPr>
              <w:t>§28; RB-PLT-02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PLT-03-R01</w:t>
            </w:r>
          </w:p>
        </w:tc>
        <w:tc>
          <w:tcPr>
            <w:tcW w:type="dxa" w:w="1531"/>
            <w:tcMar>
              <w:top w:w="70" w:type="dxa"/>
              <w:left w:w="80" w:type="dxa"/>
              <w:bottom w:w="70" w:type="dxa"/>
              <w:right w:w="80" w:type="dxa"/>
            </w:tcMar>
          </w:tcPr>
          <w:p>
            <w:r>
              <w:rPr>
                <w:sz w:val="15"/>
              </w:rPr>
              <w:t>SaaS Plans, Subscription Billing, Metering &amp; Entitlements</w:t>
            </w:r>
          </w:p>
        </w:tc>
        <w:tc>
          <w:tcPr>
            <w:tcW w:type="dxa" w:w="1531"/>
            <w:tcMar>
              <w:top w:w="70" w:type="dxa"/>
              <w:left w:w="80" w:type="dxa"/>
              <w:bottom w:w="70" w:type="dxa"/>
              <w:right w:w="80" w:type="dxa"/>
            </w:tcMar>
          </w:tcPr>
          <w:p>
            <w:r>
              <w:rPr>
                <w:sz w:val="15"/>
              </w:rPr>
              <w:t>Plan catalog with editions, add-ons, trial policies, contract terms, currencies and regions.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PLT-03</w:t>
            </w:r>
          </w:p>
        </w:tc>
        <w:tc>
          <w:tcPr>
            <w:tcW w:type="dxa" w:w="1531"/>
            <w:tcMar>
              <w:top w:w="70" w:type="dxa"/>
              <w:left w:w="80" w:type="dxa"/>
              <w:bottom w:w="70" w:type="dxa"/>
              <w:right w:w="80" w:type="dxa"/>
            </w:tcMar>
          </w:tcPr>
          <w:p>
            <w:r>
              <w:rPr>
                <w:sz w:val="15"/>
              </w:rPr>
              <w:t>§10.3 PLT-03 Implementation Contract; §7/§8/§10</w:t>
            </w:r>
          </w:p>
        </w:tc>
        <w:tc>
          <w:tcPr>
            <w:tcW w:type="dxa" w:w="1531"/>
            <w:tcMar>
              <w:top w:w="70" w:type="dxa"/>
              <w:left w:w="80" w:type="dxa"/>
              <w:bottom w:w="70" w:type="dxa"/>
              <w:right w:w="80" w:type="dxa"/>
            </w:tcMar>
          </w:tcPr>
          <w:p>
            <w:r>
              <w:rPr>
                <w:sz w:val="15"/>
              </w:rPr>
              <w:t>§27; INV-PLT-03; API/event contract tests; requirement PLT-03-R01</w:t>
            </w:r>
          </w:p>
        </w:tc>
        <w:tc>
          <w:tcPr>
            <w:tcW w:type="dxa" w:w="1531"/>
            <w:tcMar>
              <w:top w:w="70" w:type="dxa"/>
              <w:left w:w="80" w:type="dxa"/>
              <w:bottom w:w="70" w:type="dxa"/>
              <w:right w:w="80" w:type="dxa"/>
            </w:tcMar>
          </w:tcPr>
          <w:p>
            <w:r>
              <w:rPr>
                <w:sz w:val="15"/>
              </w:rPr>
              <w:t>§28; RB-PLT-03</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PLT-03-R02</w:t>
            </w:r>
          </w:p>
        </w:tc>
        <w:tc>
          <w:tcPr>
            <w:tcW w:type="dxa" w:w="1531"/>
            <w:tcMar>
              <w:top w:w="70" w:type="dxa"/>
              <w:left w:w="80" w:type="dxa"/>
              <w:bottom w:w="70" w:type="dxa"/>
              <w:right w:w="80" w:type="dxa"/>
            </w:tcMar>
          </w:tcPr>
          <w:p>
            <w:r>
              <w:rPr>
                <w:sz w:val="15"/>
              </w:rPr>
              <w:t>SaaS Plans, Subscription Billing, Metering &amp; Entitlements</w:t>
            </w:r>
          </w:p>
        </w:tc>
        <w:tc>
          <w:tcPr>
            <w:tcW w:type="dxa" w:w="1531"/>
            <w:tcMar>
              <w:top w:w="70" w:type="dxa"/>
              <w:left w:w="80" w:type="dxa"/>
              <w:bottom w:w="70" w:type="dxa"/>
              <w:right w:w="80" w:type="dxa"/>
            </w:tcMar>
          </w:tcPr>
          <w:p>
            <w:r>
              <w:rPr>
                <w:sz w:val="15"/>
              </w:rPr>
              <w:t>Monthly, annual and contractual subscriptions with upgrades, downgrades, proration and scheduled changes.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PLT-03</w:t>
            </w:r>
          </w:p>
        </w:tc>
        <w:tc>
          <w:tcPr>
            <w:tcW w:type="dxa" w:w="1531"/>
            <w:tcMar>
              <w:top w:w="70" w:type="dxa"/>
              <w:left w:w="80" w:type="dxa"/>
              <w:bottom w:w="70" w:type="dxa"/>
              <w:right w:w="80" w:type="dxa"/>
            </w:tcMar>
          </w:tcPr>
          <w:p>
            <w:r>
              <w:rPr>
                <w:sz w:val="15"/>
              </w:rPr>
              <w:t>§10.3 PLT-03 Implementation Contract; §7/§8/§10</w:t>
            </w:r>
          </w:p>
        </w:tc>
        <w:tc>
          <w:tcPr>
            <w:tcW w:type="dxa" w:w="1531"/>
            <w:tcMar>
              <w:top w:w="70" w:type="dxa"/>
              <w:left w:w="80" w:type="dxa"/>
              <w:bottom w:w="70" w:type="dxa"/>
              <w:right w:w="80" w:type="dxa"/>
            </w:tcMar>
          </w:tcPr>
          <w:p>
            <w:r>
              <w:rPr>
                <w:sz w:val="15"/>
              </w:rPr>
              <w:t>§27; INV-PLT-03; API/event contract tests; requirement PLT-03-R02</w:t>
            </w:r>
          </w:p>
        </w:tc>
        <w:tc>
          <w:tcPr>
            <w:tcW w:type="dxa" w:w="1531"/>
            <w:tcMar>
              <w:top w:w="70" w:type="dxa"/>
              <w:left w:w="80" w:type="dxa"/>
              <w:bottom w:w="70" w:type="dxa"/>
              <w:right w:w="80" w:type="dxa"/>
            </w:tcMar>
          </w:tcPr>
          <w:p>
            <w:r>
              <w:rPr>
                <w:sz w:val="15"/>
              </w:rPr>
              <w:t>§28; RB-PLT-03</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PLT-03-R03</w:t>
            </w:r>
          </w:p>
        </w:tc>
        <w:tc>
          <w:tcPr>
            <w:tcW w:type="dxa" w:w="1531"/>
            <w:tcMar>
              <w:top w:w="70" w:type="dxa"/>
              <w:left w:w="80" w:type="dxa"/>
              <w:bottom w:w="70" w:type="dxa"/>
              <w:right w:w="80" w:type="dxa"/>
            </w:tcMar>
          </w:tcPr>
          <w:p>
            <w:r>
              <w:rPr>
                <w:sz w:val="15"/>
              </w:rPr>
              <w:t>SaaS Plans, Subscription Billing, Metering &amp; Entitlements</w:t>
            </w:r>
          </w:p>
        </w:tc>
        <w:tc>
          <w:tcPr>
            <w:tcW w:type="dxa" w:w="1531"/>
            <w:tcMar>
              <w:top w:w="70" w:type="dxa"/>
              <w:left w:w="80" w:type="dxa"/>
              <w:bottom w:w="70" w:type="dxa"/>
              <w:right w:w="80" w:type="dxa"/>
            </w:tcMar>
          </w:tcPr>
          <w:p>
            <w:r>
              <w:rPr>
                <w:sz w:val="15"/>
              </w:rPr>
              <w:t>Entitlements for locations, active members, staff, white-label apps, AI, storage, messages, API and integrations.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PLT-03</w:t>
            </w:r>
          </w:p>
        </w:tc>
        <w:tc>
          <w:tcPr>
            <w:tcW w:type="dxa" w:w="1531"/>
            <w:tcMar>
              <w:top w:w="70" w:type="dxa"/>
              <w:left w:w="80" w:type="dxa"/>
              <w:bottom w:w="70" w:type="dxa"/>
              <w:right w:w="80" w:type="dxa"/>
            </w:tcMar>
          </w:tcPr>
          <w:p>
            <w:r>
              <w:rPr>
                <w:sz w:val="15"/>
              </w:rPr>
              <w:t>§10.3 PLT-03 Implementation Contract; §7/§8/§10</w:t>
            </w:r>
          </w:p>
        </w:tc>
        <w:tc>
          <w:tcPr>
            <w:tcW w:type="dxa" w:w="1531"/>
            <w:tcMar>
              <w:top w:w="70" w:type="dxa"/>
              <w:left w:w="80" w:type="dxa"/>
              <w:bottom w:w="70" w:type="dxa"/>
              <w:right w:w="80" w:type="dxa"/>
            </w:tcMar>
          </w:tcPr>
          <w:p>
            <w:r>
              <w:rPr>
                <w:sz w:val="15"/>
              </w:rPr>
              <w:t>§27; INV-PLT-03; API/event contract tests; requirement PLT-03-R03</w:t>
            </w:r>
          </w:p>
        </w:tc>
        <w:tc>
          <w:tcPr>
            <w:tcW w:type="dxa" w:w="1531"/>
            <w:tcMar>
              <w:top w:w="70" w:type="dxa"/>
              <w:left w:w="80" w:type="dxa"/>
              <w:bottom w:w="70" w:type="dxa"/>
              <w:right w:w="80" w:type="dxa"/>
            </w:tcMar>
          </w:tcPr>
          <w:p>
            <w:r>
              <w:rPr>
                <w:sz w:val="15"/>
              </w:rPr>
              <w:t>§28; RB-PLT-03</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PLT-03-R04</w:t>
            </w:r>
          </w:p>
        </w:tc>
        <w:tc>
          <w:tcPr>
            <w:tcW w:type="dxa" w:w="1531"/>
            <w:tcMar>
              <w:top w:w="70" w:type="dxa"/>
              <w:left w:w="80" w:type="dxa"/>
              <w:bottom w:w="70" w:type="dxa"/>
              <w:right w:w="80" w:type="dxa"/>
            </w:tcMar>
          </w:tcPr>
          <w:p>
            <w:r>
              <w:rPr>
                <w:sz w:val="15"/>
              </w:rPr>
              <w:t>SaaS Plans, Subscription Billing, Metering &amp; Entitlements</w:t>
            </w:r>
          </w:p>
        </w:tc>
        <w:tc>
          <w:tcPr>
            <w:tcW w:type="dxa" w:w="1531"/>
            <w:tcMar>
              <w:top w:w="70" w:type="dxa"/>
              <w:left w:w="80" w:type="dxa"/>
              <w:bottom w:w="70" w:type="dxa"/>
              <w:right w:w="80" w:type="dxa"/>
            </w:tcMar>
          </w:tcPr>
          <w:p>
            <w:r>
              <w:rPr>
                <w:sz w:val="15"/>
              </w:rPr>
              <w:t>Usage metering, aggregation, late-event handling, corrections, quotas, overages and fair-use rules.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PLT-03</w:t>
            </w:r>
          </w:p>
        </w:tc>
        <w:tc>
          <w:tcPr>
            <w:tcW w:type="dxa" w:w="1531"/>
            <w:tcMar>
              <w:top w:w="70" w:type="dxa"/>
              <w:left w:w="80" w:type="dxa"/>
              <w:bottom w:w="70" w:type="dxa"/>
              <w:right w:w="80" w:type="dxa"/>
            </w:tcMar>
          </w:tcPr>
          <w:p>
            <w:r>
              <w:rPr>
                <w:sz w:val="15"/>
              </w:rPr>
              <w:t>§10.3 PLT-03 Implementation Contract; §7/§8/§10</w:t>
            </w:r>
          </w:p>
        </w:tc>
        <w:tc>
          <w:tcPr>
            <w:tcW w:type="dxa" w:w="1531"/>
            <w:tcMar>
              <w:top w:w="70" w:type="dxa"/>
              <w:left w:w="80" w:type="dxa"/>
              <w:bottom w:w="70" w:type="dxa"/>
              <w:right w:w="80" w:type="dxa"/>
            </w:tcMar>
          </w:tcPr>
          <w:p>
            <w:r>
              <w:rPr>
                <w:sz w:val="15"/>
              </w:rPr>
              <w:t>§27; INV-PLT-03; API/event contract tests; requirement PLT-03-R04</w:t>
            </w:r>
          </w:p>
        </w:tc>
        <w:tc>
          <w:tcPr>
            <w:tcW w:type="dxa" w:w="1531"/>
            <w:tcMar>
              <w:top w:w="70" w:type="dxa"/>
              <w:left w:w="80" w:type="dxa"/>
              <w:bottom w:w="70" w:type="dxa"/>
              <w:right w:w="80" w:type="dxa"/>
            </w:tcMar>
          </w:tcPr>
          <w:p>
            <w:r>
              <w:rPr>
                <w:sz w:val="15"/>
              </w:rPr>
              <w:t>§28; RB-PLT-03</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PLT-03-R05</w:t>
            </w:r>
          </w:p>
        </w:tc>
        <w:tc>
          <w:tcPr>
            <w:tcW w:type="dxa" w:w="1531"/>
            <w:tcMar>
              <w:top w:w="70" w:type="dxa"/>
              <w:left w:w="80" w:type="dxa"/>
              <w:bottom w:w="70" w:type="dxa"/>
              <w:right w:w="80" w:type="dxa"/>
            </w:tcMar>
          </w:tcPr>
          <w:p>
            <w:r>
              <w:rPr>
                <w:sz w:val="15"/>
              </w:rPr>
              <w:t>SaaS Plans, Subscription Billing, Metering &amp; Entitlements</w:t>
            </w:r>
          </w:p>
        </w:tc>
        <w:tc>
          <w:tcPr>
            <w:tcW w:type="dxa" w:w="1531"/>
            <w:tcMar>
              <w:top w:w="70" w:type="dxa"/>
              <w:left w:w="80" w:type="dxa"/>
              <w:bottom w:w="70" w:type="dxa"/>
              <w:right w:w="80" w:type="dxa"/>
            </w:tcMar>
          </w:tcPr>
          <w:p>
            <w:r>
              <w:rPr>
                <w:sz w:val="15"/>
              </w:rPr>
              <w:t>Trial conversion, dunning, grace periods, suspension, reactivation and offboarding coordination.</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PLT-03</w:t>
            </w:r>
          </w:p>
        </w:tc>
        <w:tc>
          <w:tcPr>
            <w:tcW w:type="dxa" w:w="1531"/>
            <w:tcMar>
              <w:top w:w="70" w:type="dxa"/>
              <w:left w:w="80" w:type="dxa"/>
              <w:bottom w:w="70" w:type="dxa"/>
              <w:right w:w="80" w:type="dxa"/>
            </w:tcMar>
          </w:tcPr>
          <w:p>
            <w:r>
              <w:rPr>
                <w:sz w:val="15"/>
              </w:rPr>
              <w:t>§10.3 PLT-03 Implementation Contract; §7/§8/§10</w:t>
            </w:r>
          </w:p>
        </w:tc>
        <w:tc>
          <w:tcPr>
            <w:tcW w:type="dxa" w:w="1531"/>
            <w:tcMar>
              <w:top w:w="70" w:type="dxa"/>
              <w:left w:w="80" w:type="dxa"/>
              <w:bottom w:w="70" w:type="dxa"/>
              <w:right w:w="80" w:type="dxa"/>
            </w:tcMar>
          </w:tcPr>
          <w:p>
            <w:r>
              <w:rPr>
                <w:sz w:val="15"/>
              </w:rPr>
              <w:t>§27; INV-PLT-03; API/event contract tests; requirement PLT-03-R05</w:t>
            </w:r>
          </w:p>
        </w:tc>
        <w:tc>
          <w:tcPr>
            <w:tcW w:type="dxa" w:w="1531"/>
            <w:tcMar>
              <w:top w:w="70" w:type="dxa"/>
              <w:left w:w="80" w:type="dxa"/>
              <w:bottom w:w="70" w:type="dxa"/>
              <w:right w:w="80" w:type="dxa"/>
            </w:tcMar>
          </w:tcPr>
          <w:p>
            <w:r>
              <w:rPr>
                <w:sz w:val="15"/>
              </w:rPr>
              <w:t>§28; RB-PLT-03</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PLT-03-R06</w:t>
            </w:r>
          </w:p>
        </w:tc>
        <w:tc>
          <w:tcPr>
            <w:tcW w:type="dxa" w:w="1531"/>
            <w:tcMar>
              <w:top w:w="70" w:type="dxa"/>
              <w:left w:w="80" w:type="dxa"/>
              <w:bottom w:w="70" w:type="dxa"/>
              <w:right w:w="80" w:type="dxa"/>
            </w:tcMar>
          </w:tcPr>
          <w:p>
            <w:r>
              <w:rPr>
                <w:sz w:val="15"/>
              </w:rPr>
              <w:t>SaaS Plans, Subscription Billing, Metering &amp; Entitlements</w:t>
            </w:r>
          </w:p>
        </w:tc>
        <w:tc>
          <w:tcPr>
            <w:tcW w:type="dxa" w:w="1531"/>
            <w:tcMar>
              <w:top w:w="70" w:type="dxa"/>
              <w:left w:w="80" w:type="dxa"/>
              <w:bottom w:w="70" w:type="dxa"/>
              <w:right w:w="80" w:type="dxa"/>
            </w:tcMar>
          </w:tcPr>
          <w:p>
            <w:r>
              <w:rPr>
                <w:sz w:val="15"/>
              </w:rPr>
              <w:t>SaaS invoices, tax, credit notes, payment methods, partner/reseller attribution and revenue share.</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PLT-03</w:t>
            </w:r>
          </w:p>
        </w:tc>
        <w:tc>
          <w:tcPr>
            <w:tcW w:type="dxa" w:w="1531"/>
            <w:tcMar>
              <w:top w:w="70" w:type="dxa"/>
              <w:left w:w="80" w:type="dxa"/>
              <w:bottom w:w="70" w:type="dxa"/>
              <w:right w:w="80" w:type="dxa"/>
            </w:tcMar>
          </w:tcPr>
          <w:p>
            <w:r>
              <w:rPr>
                <w:sz w:val="15"/>
              </w:rPr>
              <w:t>§10.3 PLT-03 Implementation Contract; §7/§8/§10</w:t>
            </w:r>
          </w:p>
        </w:tc>
        <w:tc>
          <w:tcPr>
            <w:tcW w:type="dxa" w:w="1531"/>
            <w:tcMar>
              <w:top w:w="70" w:type="dxa"/>
              <w:left w:w="80" w:type="dxa"/>
              <w:bottom w:w="70" w:type="dxa"/>
              <w:right w:w="80" w:type="dxa"/>
            </w:tcMar>
          </w:tcPr>
          <w:p>
            <w:r>
              <w:rPr>
                <w:sz w:val="15"/>
              </w:rPr>
              <w:t>§27; INV-PLT-03; API/event contract tests; requirement PLT-03-R06</w:t>
            </w:r>
          </w:p>
        </w:tc>
        <w:tc>
          <w:tcPr>
            <w:tcW w:type="dxa" w:w="1531"/>
            <w:tcMar>
              <w:top w:w="70" w:type="dxa"/>
              <w:left w:w="80" w:type="dxa"/>
              <w:bottom w:w="70" w:type="dxa"/>
              <w:right w:w="80" w:type="dxa"/>
            </w:tcMar>
          </w:tcPr>
          <w:p>
            <w:r>
              <w:rPr>
                <w:sz w:val="15"/>
              </w:rPr>
              <w:t>§28; RB-PLT-03</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PLT-03-R07</w:t>
            </w:r>
          </w:p>
        </w:tc>
        <w:tc>
          <w:tcPr>
            <w:tcW w:type="dxa" w:w="1531"/>
            <w:tcMar>
              <w:top w:w="70" w:type="dxa"/>
              <w:left w:w="80" w:type="dxa"/>
              <w:bottom w:w="70" w:type="dxa"/>
              <w:right w:w="80" w:type="dxa"/>
            </w:tcMar>
          </w:tcPr>
          <w:p>
            <w:r>
              <w:rPr>
                <w:sz w:val="15"/>
              </w:rPr>
              <w:t>SaaS Plans, Subscription Billing, Metering &amp; Entitlements</w:t>
            </w:r>
          </w:p>
        </w:tc>
        <w:tc>
          <w:tcPr>
            <w:tcW w:type="dxa" w:w="1531"/>
            <w:tcMar>
              <w:top w:w="70" w:type="dxa"/>
              <w:left w:w="80" w:type="dxa"/>
              <w:bottom w:w="70" w:type="dxa"/>
              <w:right w:w="80" w:type="dxa"/>
            </w:tcMar>
          </w:tcPr>
          <w:p>
            <w:r>
              <w:rPr>
                <w:sz w:val="15"/>
              </w:rPr>
              <w:t>Tenant cost and gross-margin view across cloud, AI, messaging, storage, support and third parties.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PLT-03</w:t>
            </w:r>
          </w:p>
        </w:tc>
        <w:tc>
          <w:tcPr>
            <w:tcW w:type="dxa" w:w="1531"/>
            <w:tcMar>
              <w:top w:w="70" w:type="dxa"/>
              <w:left w:w="80" w:type="dxa"/>
              <w:bottom w:w="70" w:type="dxa"/>
              <w:right w:w="80" w:type="dxa"/>
            </w:tcMar>
          </w:tcPr>
          <w:p>
            <w:r>
              <w:rPr>
                <w:sz w:val="15"/>
              </w:rPr>
              <w:t>§10.3 PLT-03 Implementation Contract; §7/§8/§10</w:t>
            </w:r>
          </w:p>
        </w:tc>
        <w:tc>
          <w:tcPr>
            <w:tcW w:type="dxa" w:w="1531"/>
            <w:tcMar>
              <w:top w:w="70" w:type="dxa"/>
              <w:left w:w="80" w:type="dxa"/>
              <w:bottom w:w="70" w:type="dxa"/>
              <w:right w:w="80" w:type="dxa"/>
            </w:tcMar>
          </w:tcPr>
          <w:p>
            <w:r>
              <w:rPr>
                <w:sz w:val="15"/>
              </w:rPr>
              <w:t>§27; INV-PLT-03; API/event contract tests; requirement PLT-03-R07</w:t>
            </w:r>
          </w:p>
        </w:tc>
        <w:tc>
          <w:tcPr>
            <w:tcW w:type="dxa" w:w="1531"/>
            <w:tcMar>
              <w:top w:w="70" w:type="dxa"/>
              <w:left w:w="80" w:type="dxa"/>
              <w:bottom w:w="70" w:type="dxa"/>
              <w:right w:w="80" w:type="dxa"/>
            </w:tcMar>
          </w:tcPr>
          <w:p>
            <w:r>
              <w:rPr>
                <w:sz w:val="15"/>
              </w:rPr>
              <w:t>§28; RB-PLT-03</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PLT-04-R01</w:t>
            </w:r>
          </w:p>
        </w:tc>
        <w:tc>
          <w:tcPr>
            <w:tcW w:type="dxa" w:w="1531"/>
            <w:tcMar>
              <w:top w:w="70" w:type="dxa"/>
              <w:left w:w="80" w:type="dxa"/>
              <w:bottom w:w="70" w:type="dxa"/>
              <w:right w:w="80" w:type="dxa"/>
            </w:tcMar>
          </w:tcPr>
          <w:p>
            <w:r>
              <w:rPr>
                <w:sz w:val="15"/>
              </w:rPr>
              <w:t>Internal Administration, Support &amp; Customer Success</w:t>
            </w:r>
          </w:p>
        </w:tc>
        <w:tc>
          <w:tcPr>
            <w:tcW w:type="dxa" w:w="1531"/>
            <w:tcMar>
              <w:top w:w="70" w:type="dxa"/>
              <w:left w:w="80" w:type="dxa"/>
              <w:bottom w:w="70" w:type="dxa"/>
              <w:right w:w="80" w:type="dxa"/>
            </w:tcMar>
          </w:tcPr>
          <w:p>
            <w:r>
              <w:rPr>
                <w:sz w:val="15"/>
              </w:rPr>
              <w:t>Global tenant search and 360 view covering plan, usage, health, incidents, integrations, adoption and contacts.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Pilot</w:t>
            </w:r>
          </w:p>
        </w:tc>
        <w:tc>
          <w:tcPr>
            <w:tcW w:type="dxa" w:w="1531"/>
            <w:tcMar>
              <w:top w:w="70" w:type="dxa"/>
              <w:left w:w="80" w:type="dxa"/>
              <w:bottom w:w="70" w:type="dxa"/>
              <w:right w:w="80" w:type="dxa"/>
            </w:tcMar>
          </w:tcPr>
          <w:p>
            <w:r>
              <w:rPr>
                <w:sz w:val="15"/>
              </w:rPr>
              <w:t>PLT-04</w:t>
            </w:r>
          </w:p>
        </w:tc>
        <w:tc>
          <w:tcPr>
            <w:tcW w:type="dxa" w:w="1531"/>
            <w:tcMar>
              <w:top w:w="70" w:type="dxa"/>
              <w:left w:w="80" w:type="dxa"/>
              <w:bottom w:w="70" w:type="dxa"/>
              <w:right w:w="80" w:type="dxa"/>
            </w:tcMar>
          </w:tcPr>
          <w:p>
            <w:r>
              <w:rPr>
                <w:sz w:val="15"/>
              </w:rPr>
              <w:t>§10.4 PLT-04 Implementation Contract; §7/§8/§10</w:t>
            </w:r>
          </w:p>
        </w:tc>
        <w:tc>
          <w:tcPr>
            <w:tcW w:type="dxa" w:w="1531"/>
            <w:tcMar>
              <w:top w:w="70" w:type="dxa"/>
              <w:left w:w="80" w:type="dxa"/>
              <w:bottom w:w="70" w:type="dxa"/>
              <w:right w:w="80" w:type="dxa"/>
            </w:tcMar>
          </w:tcPr>
          <w:p>
            <w:r>
              <w:rPr>
                <w:sz w:val="15"/>
              </w:rPr>
              <w:t>§27; INV-PLT-04; API/event contract tests; requirement PLT-04-R01</w:t>
            </w:r>
          </w:p>
        </w:tc>
        <w:tc>
          <w:tcPr>
            <w:tcW w:type="dxa" w:w="1531"/>
            <w:tcMar>
              <w:top w:w="70" w:type="dxa"/>
              <w:left w:w="80" w:type="dxa"/>
              <w:bottom w:w="70" w:type="dxa"/>
              <w:right w:w="80" w:type="dxa"/>
            </w:tcMar>
          </w:tcPr>
          <w:p>
            <w:r>
              <w:rPr>
                <w:sz w:val="15"/>
              </w:rPr>
              <w:t>§28; RB-PLT-04</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PLT-04-R02</w:t>
            </w:r>
          </w:p>
        </w:tc>
        <w:tc>
          <w:tcPr>
            <w:tcW w:type="dxa" w:w="1531"/>
            <w:tcMar>
              <w:top w:w="70" w:type="dxa"/>
              <w:left w:w="80" w:type="dxa"/>
              <w:bottom w:w="70" w:type="dxa"/>
              <w:right w:w="80" w:type="dxa"/>
            </w:tcMar>
          </w:tcPr>
          <w:p>
            <w:r>
              <w:rPr>
                <w:sz w:val="15"/>
              </w:rPr>
              <w:t>Internal Administration, Support &amp; Customer Success</w:t>
            </w:r>
          </w:p>
        </w:tc>
        <w:tc>
          <w:tcPr>
            <w:tcW w:type="dxa" w:w="1531"/>
            <w:tcMar>
              <w:top w:w="70" w:type="dxa"/>
              <w:left w:w="80" w:type="dxa"/>
              <w:bottom w:w="70" w:type="dxa"/>
              <w:right w:w="80" w:type="dxa"/>
            </w:tcMar>
          </w:tcPr>
          <w:p>
            <w:r>
              <w:rPr>
                <w:sz w:val="15"/>
              </w:rPr>
              <w:t>Permission-safe support impersonation with reason, approval, time limit, visible banner and full audit.</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Pilot</w:t>
            </w:r>
          </w:p>
        </w:tc>
        <w:tc>
          <w:tcPr>
            <w:tcW w:type="dxa" w:w="1531"/>
            <w:tcMar>
              <w:top w:w="70" w:type="dxa"/>
              <w:left w:w="80" w:type="dxa"/>
              <w:bottom w:w="70" w:type="dxa"/>
              <w:right w:w="80" w:type="dxa"/>
            </w:tcMar>
          </w:tcPr>
          <w:p>
            <w:r>
              <w:rPr>
                <w:sz w:val="15"/>
              </w:rPr>
              <w:t>PLT-04</w:t>
            </w:r>
          </w:p>
        </w:tc>
        <w:tc>
          <w:tcPr>
            <w:tcW w:type="dxa" w:w="1531"/>
            <w:tcMar>
              <w:top w:w="70" w:type="dxa"/>
              <w:left w:w="80" w:type="dxa"/>
              <w:bottom w:w="70" w:type="dxa"/>
              <w:right w:w="80" w:type="dxa"/>
            </w:tcMar>
          </w:tcPr>
          <w:p>
            <w:r>
              <w:rPr>
                <w:sz w:val="15"/>
              </w:rPr>
              <w:t>§10.4 PLT-04 Implementation Contract; §7/§8/§10</w:t>
            </w:r>
          </w:p>
        </w:tc>
        <w:tc>
          <w:tcPr>
            <w:tcW w:type="dxa" w:w="1531"/>
            <w:tcMar>
              <w:top w:w="70" w:type="dxa"/>
              <w:left w:w="80" w:type="dxa"/>
              <w:bottom w:w="70" w:type="dxa"/>
              <w:right w:w="80" w:type="dxa"/>
            </w:tcMar>
          </w:tcPr>
          <w:p>
            <w:r>
              <w:rPr>
                <w:sz w:val="15"/>
              </w:rPr>
              <w:t>§27; INV-PLT-04; API/event contract tests; requirement PLT-04-R02</w:t>
            </w:r>
          </w:p>
        </w:tc>
        <w:tc>
          <w:tcPr>
            <w:tcW w:type="dxa" w:w="1531"/>
            <w:tcMar>
              <w:top w:w="70" w:type="dxa"/>
              <w:left w:w="80" w:type="dxa"/>
              <w:bottom w:w="70" w:type="dxa"/>
              <w:right w:w="80" w:type="dxa"/>
            </w:tcMar>
          </w:tcPr>
          <w:p>
            <w:r>
              <w:rPr>
                <w:sz w:val="15"/>
              </w:rPr>
              <w:t>§28; RB-PLT-04</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PLT-04-R03</w:t>
            </w:r>
          </w:p>
        </w:tc>
        <w:tc>
          <w:tcPr>
            <w:tcW w:type="dxa" w:w="1531"/>
            <w:tcMar>
              <w:top w:w="70" w:type="dxa"/>
              <w:left w:w="80" w:type="dxa"/>
              <w:bottom w:w="70" w:type="dxa"/>
              <w:right w:w="80" w:type="dxa"/>
            </w:tcMar>
          </w:tcPr>
          <w:p>
            <w:r>
              <w:rPr>
                <w:sz w:val="15"/>
              </w:rPr>
              <w:t>Internal Administration, Support &amp; Customer Success</w:t>
            </w:r>
          </w:p>
        </w:tc>
        <w:tc>
          <w:tcPr>
            <w:tcW w:type="dxa" w:w="1531"/>
            <w:tcMar>
              <w:top w:w="70" w:type="dxa"/>
              <w:left w:w="80" w:type="dxa"/>
              <w:bottom w:w="70" w:type="dxa"/>
              <w:right w:w="80" w:type="dxa"/>
            </w:tcMar>
          </w:tcPr>
          <w:p>
            <w:r>
              <w:rPr>
                <w:sz w:val="15"/>
              </w:rPr>
              <w:t>Tenant diagnostics for jobs, webhooks, devices, payments, messaging, storage, mobile versions and configuration.</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Pilot</w:t>
            </w:r>
          </w:p>
        </w:tc>
        <w:tc>
          <w:tcPr>
            <w:tcW w:type="dxa" w:w="1531"/>
            <w:tcMar>
              <w:top w:w="70" w:type="dxa"/>
              <w:left w:w="80" w:type="dxa"/>
              <w:bottom w:w="70" w:type="dxa"/>
              <w:right w:w="80" w:type="dxa"/>
            </w:tcMar>
          </w:tcPr>
          <w:p>
            <w:r>
              <w:rPr>
                <w:sz w:val="15"/>
              </w:rPr>
              <w:t>PLT-04</w:t>
            </w:r>
          </w:p>
        </w:tc>
        <w:tc>
          <w:tcPr>
            <w:tcW w:type="dxa" w:w="1531"/>
            <w:tcMar>
              <w:top w:w="70" w:type="dxa"/>
              <w:left w:w="80" w:type="dxa"/>
              <w:bottom w:w="70" w:type="dxa"/>
              <w:right w:w="80" w:type="dxa"/>
            </w:tcMar>
          </w:tcPr>
          <w:p>
            <w:r>
              <w:rPr>
                <w:sz w:val="15"/>
              </w:rPr>
              <w:t>§10.4 PLT-04 Implementation Contract; §7/§8/§10</w:t>
            </w:r>
          </w:p>
        </w:tc>
        <w:tc>
          <w:tcPr>
            <w:tcW w:type="dxa" w:w="1531"/>
            <w:tcMar>
              <w:top w:w="70" w:type="dxa"/>
              <w:left w:w="80" w:type="dxa"/>
              <w:bottom w:w="70" w:type="dxa"/>
              <w:right w:w="80" w:type="dxa"/>
            </w:tcMar>
          </w:tcPr>
          <w:p>
            <w:r>
              <w:rPr>
                <w:sz w:val="15"/>
              </w:rPr>
              <w:t>§27; INV-PLT-04; API/event contract tests; requirement PLT-04-R03</w:t>
            </w:r>
          </w:p>
        </w:tc>
        <w:tc>
          <w:tcPr>
            <w:tcW w:type="dxa" w:w="1531"/>
            <w:tcMar>
              <w:top w:w="70" w:type="dxa"/>
              <w:left w:w="80" w:type="dxa"/>
              <w:bottom w:w="70" w:type="dxa"/>
              <w:right w:w="80" w:type="dxa"/>
            </w:tcMar>
          </w:tcPr>
          <w:p>
            <w:r>
              <w:rPr>
                <w:sz w:val="15"/>
              </w:rPr>
              <w:t>§28; RB-PLT-04</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PLT-04-R04</w:t>
            </w:r>
          </w:p>
        </w:tc>
        <w:tc>
          <w:tcPr>
            <w:tcW w:type="dxa" w:w="1531"/>
            <w:tcMar>
              <w:top w:w="70" w:type="dxa"/>
              <w:left w:w="80" w:type="dxa"/>
              <w:bottom w:w="70" w:type="dxa"/>
              <w:right w:w="80" w:type="dxa"/>
            </w:tcMar>
          </w:tcPr>
          <w:p>
            <w:r>
              <w:rPr>
                <w:sz w:val="15"/>
              </w:rPr>
              <w:t>Internal Administration, Support &amp; Customer Success</w:t>
            </w:r>
          </w:p>
        </w:tc>
        <w:tc>
          <w:tcPr>
            <w:tcW w:type="dxa" w:w="1531"/>
            <w:tcMar>
              <w:top w:w="70" w:type="dxa"/>
              <w:left w:w="80" w:type="dxa"/>
              <w:bottom w:w="70" w:type="dxa"/>
              <w:right w:w="80" w:type="dxa"/>
            </w:tcMar>
          </w:tcPr>
          <w:p>
            <w:r>
              <w:rPr>
                <w:sz w:val="15"/>
              </w:rPr>
              <w:t>Customer health score using activation, adoption, support, usage, billing, sentiment and risk signals.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Pilot</w:t>
            </w:r>
          </w:p>
        </w:tc>
        <w:tc>
          <w:tcPr>
            <w:tcW w:type="dxa" w:w="1531"/>
            <w:tcMar>
              <w:top w:w="70" w:type="dxa"/>
              <w:left w:w="80" w:type="dxa"/>
              <w:bottom w:w="70" w:type="dxa"/>
              <w:right w:w="80" w:type="dxa"/>
            </w:tcMar>
          </w:tcPr>
          <w:p>
            <w:r>
              <w:rPr>
                <w:sz w:val="15"/>
              </w:rPr>
              <w:t>PLT-04</w:t>
            </w:r>
          </w:p>
        </w:tc>
        <w:tc>
          <w:tcPr>
            <w:tcW w:type="dxa" w:w="1531"/>
            <w:tcMar>
              <w:top w:w="70" w:type="dxa"/>
              <w:left w:w="80" w:type="dxa"/>
              <w:bottom w:w="70" w:type="dxa"/>
              <w:right w:w="80" w:type="dxa"/>
            </w:tcMar>
          </w:tcPr>
          <w:p>
            <w:r>
              <w:rPr>
                <w:sz w:val="15"/>
              </w:rPr>
              <w:t>§10.4 PLT-04 Implementation Contract; §7/§8/§10</w:t>
            </w:r>
          </w:p>
        </w:tc>
        <w:tc>
          <w:tcPr>
            <w:tcW w:type="dxa" w:w="1531"/>
            <w:tcMar>
              <w:top w:w="70" w:type="dxa"/>
              <w:left w:w="80" w:type="dxa"/>
              <w:bottom w:w="70" w:type="dxa"/>
              <w:right w:w="80" w:type="dxa"/>
            </w:tcMar>
          </w:tcPr>
          <w:p>
            <w:r>
              <w:rPr>
                <w:sz w:val="15"/>
              </w:rPr>
              <w:t>§27; INV-PLT-04; API/event contract tests; requirement PLT-04-R04</w:t>
            </w:r>
          </w:p>
        </w:tc>
        <w:tc>
          <w:tcPr>
            <w:tcW w:type="dxa" w:w="1531"/>
            <w:tcMar>
              <w:top w:w="70" w:type="dxa"/>
              <w:left w:w="80" w:type="dxa"/>
              <w:bottom w:w="70" w:type="dxa"/>
              <w:right w:w="80" w:type="dxa"/>
            </w:tcMar>
          </w:tcPr>
          <w:p>
            <w:r>
              <w:rPr>
                <w:sz w:val="15"/>
              </w:rPr>
              <w:t>§28; RB-PLT-04</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PLT-04-R05</w:t>
            </w:r>
          </w:p>
        </w:tc>
        <w:tc>
          <w:tcPr>
            <w:tcW w:type="dxa" w:w="1531"/>
            <w:tcMar>
              <w:top w:w="70" w:type="dxa"/>
              <w:left w:w="80" w:type="dxa"/>
              <w:bottom w:w="70" w:type="dxa"/>
              <w:right w:w="80" w:type="dxa"/>
            </w:tcMar>
          </w:tcPr>
          <w:p>
            <w:r>
              <w:rPr>
                <w:sz w:val="15"/>
              </w:rPr>
              <w:t>Internal Administration, Support &amp; Customer Success</w:t>
            </w:r>
          </w:p>
        </w:tc>
        <w:tc>
          <w:tcPr>
            <w:tcW w:type="dxa" w:w="1531"/>
            <w:tcMar>
              <w:top w:w="70" w:type="dxa"/>
              <w:left w:w="80" w:type="dxa"/>
              <w:bottom w:w="70" w:type="dxa"/>
              <w:right w:w="80" w:type="dxa"/>
            </w:tcMar>
          </w:tcPr>
          <w:p>
            <w:r>
              <w:rPr>
                <w:sz w:val="15"/>
              </w:rPr>
              <w:t>Implementation, success-plan, renewal, expansion, risk and executive-review workspaces.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Pilot</w:t>
            </w:r>
          </w:p>
        </w:tc>
        <w:tc>
          <w:tcPr>
            <w:tcW w:type="dxa" w:w="1531"/>
            <w:tcMar>
              <w:top w:w="70" w:type="dxa"/>
              <w:left w:w="80" w:type="dxa"/>
              <w:bottom w:w="70" w:type="dxa"/>
              <w:right w:w="80" w:type="dxa"/>
            </w:tcMar>
          </w:tcPr>
          <w:p>
            <w:r>
              <w:rPr>
                <w:sz w:val="15"/>
              </w:rPr>
              <w:t>PLT-04</w:t>
            </w:r>
          </w:p>
        </w:tc>
        <w:tc>
          <w:tcPr>
            <w:tcW w:type="dxa" w:w="1531"/>
            <w:tcMar>
              <w:top w:w="70" w:type="dxa"/>
              <w:left w:w="80" w:type="dxa"/>
              <w:bottom w:w="70" w:type="dxa"/>
              <w:right w:w="80" w:type="dxa"/>
            </w:tcMar>
          </w:tcPr>
          <w:p>
            <w:r>
              <w:rPr>
                <w:sz w:val="15"/>
              </w:rPr>
              <w:t>§10.4 PLT-04 Implementation Contract; §7/§8/§10</w:t>
            </w:r>
          </w:p>
        </w:tc>
        <w:tc>
          <w:tcPr>
            <w:tcW w:type="dxa" w:w="1531"/>
            <w:tcMar>
              <w:top w:w="70" w:type="dxa"/>
              <w:left w:w="80" w:type="dxa"/>
              <w:bottom w:w="70" w:type="dxa"/>
              <w:right w:w="80" w:type="dxa"/>
            </w:tcMar>
          </w:tcPr>
          <w:p>
            <w:r>
              <w:rPr>
                <w:sz w:val="15"/>
              </w:rPr>
              <w:t>§27; INV-PLT-04; API/event contract tests; requirement PLT-04-R05</w:t>
            </w:r>
          </w:p>
        </w:tc>
        <w:tc>
          <w:tcPr>
            <w:tcW w:type="dxa" w:w="1531"/>
            <w:tcMar>
              <w:top w:w="70" w:type="dxa"/>
              <w:left w:w="80" w:type="dxa"/>
              <w:bottom w:w="70" w:type="dxa"/>
              <w:right w:w="80" w:type="dxa"/>
            </w:tcMar>
          </w:tcPr>
          <w:p>
            <w:r>
              <w:rPr>
                <w:sz w:val="15"/>
              </w:rPr>
              <w:t>§28; RB-PLT-04</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PLT-04-R06</w:t>
            </w:r>
          </w:p>
        </w:tc>
        <w:tc>
          <w:tcPr>
            <w:tcW w:type="dxa" w:w="1531"/>
            <w:tcMar>
              <w:top w:w="70" w:type="dxa"/>
              <w:left w:w="80" w:type="dxa"/>
              <w:bottom w:w="70" w:type="dxa"/>
              <w:right w:w="80" w:type="dxa"/>
            </w:tcMar>
          </w:tcPr>
          <w:p>
            <w:r>
              <w:rPr>
                <w:sz w:val="15"/>
              </w:rPr>
              <w:t>Internal Administration, Support &amp; Customer Success</w:t>
            </w:r>
          </w:p>
        </w:tc>
        <w:tc>
          <w:tcPr>
            <w:tcW w:type="dxa" w:w="1531"/>
            <w:tcMar>
              <w:top w:w="70" w:type="dxa"/>
              <w:left w:w="80" w:type="dxa"/>
              <w:bottom w:w="70" w:type="dxa"/>
              <w:right w:w="80" w:type="dxa"/>
            </w:tcMar>
          </w:tcPr>
          <w:p>
            <w:r>
              <w:rPr>
                <w:sz w:val="15"/>
              </w:rPr>
              <w:t>Support tickets, SLAs, escalation, knowledge links, incident linkage and post-resolution feedback.</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Pilot</w:t>
            </w:r>
          </w:p>
        </w:tc>
        <w:tc>
          <w:tcPr>
            <w:tcW w:type="dxa" w:w="1531"/>
            <w:tcMar>
              <w:top w:w="70" w:type="dxa"/>
              <w:left w:w="80" w:type="dxa"/>
              <w:bottom w:w="70" w:type="dxa"/>
              <w:right w:w="80" w:type="dxa"/>
            </w:tcMar>
          </w:tcPr>
          <w:p>
            <w:r>
              <w:rPr>
                <w:sz w:val="15"/>
              </w:rPr>
              <w:t>PLT-04</w:t>
            </w:r>
          </w:p>
        </w:tc>
        <w:tc>
          <w:tcPr>
            <w:tcW w:type="dxa" w:w="1531"/>
            <w:tcMar>
              <w:top w:w="70" w:type="dxa"/>
              <w:left w:w="80" w:type="dxa"/>
              <w:bottom w:w="70" w:type="dxa"/>
              <w:right w:w="80" w:type="dxa"/>
            </w:tcMar>
          </w:tcPr>
          <w:p>
            <w:r>
              <w:rPr>
                <w:sz w:val="15"/>
              </w:rPr>
              <w:t>§10.4 PLT-04 Implementation Contract; §7/§8/§10</w:t>
            </w:r>
          </w:p>
        </w:tc>
        <w:tc>
          <w:tcPr>
            <w:tcW w:type="dxa" w:w="1531"/>
            <w:tcMar>
              <w:top w:w="70" w:type="dxa"/>
              <w:left w:w="80" w:type="dxa"/>
              <w:bottom w:w="70" w:type="dxa"/>
              <w:right w:w="80" w:type="dxa"/>
            </w:tcMar>
          </w:tcPr>
          <w:p>
            <w:r>
              <w:rPr>
                <w:sz w:val="15"/>
              </w:rPr>
              <w:t>§27; INV-PLT-04; API/event contract tests; requirement PLT-04-R06</w:t>
            </w:r>
          </w:p>
        </w:tc>
        <w:tc>
          <w:tcPr>
            <w:tcW w:type="dxa" w:w="1531"/>
            <w:tcMar>
              <w:top w:w="70" w:type="dxa"/>
              <w:left w:w="80" w:type="dxa"/>
              <w:bottom w:w="70" w:type="dxa"/>
              <w:right w:w="80" w:type="dxa"/>
            </w:tcMar>
          </w:tcPr>
          <w:p>
            <w:r>
              <w:rPr>
                <w:sz w:val="15"/>
              </w:rPr>
              <w:t>§28; RB-PLT-04</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PLT-04-R07</w:t>
            </w:r>
          </w:p>
        </w:tc>
        <w:tc>
          <w:tcPr>
            <w:tcW w:type="dxa" w:w="1531"/>
            <w:tcMar>
              <w:top w:w="70" w:type="dxa"/>
              <w:left w:w="80" w:type="dxa"/>
              <w:bottom w:w="70" w:type="dxa"/>
              <w:right w:w="80" w:type="dxa"/>
            </w:tcMar>
          </w:tcPr>
          <w:p>
            <w:r>
              <w:rPr>
                <w:sz w:val="15"/>
              </w:rPr>
              <w:t>Internal Administration, Support &amp; Customer Success</w:t>
            </w:r>
          </w:p>
        </w:tc>
        <w:tc>
          <w:tcPr>
            <w:tcW w:type="dxa" w:w="1531"/>
            <w:tcMar>
              <w:top w:w="70" w:type="dxa"/>
              <w:left w:w="80" w:type="dxa"/>
              <w:bottom w:w="70" w:type="dxa"/>
              <w:right w:w="80" w:type="dxa"/>
            </w:tcMar>
          </w:tcPr>
          <w:p>
            <w:r>
              <w:rPr>
                <w:sz w:val="15"/>
              </w:rPr>
              <w:t>Bulk tenant communication, maintenance notices, release notes and deprecation notices.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Pilot</w:t>
            </w:r>
          </w:p>
        </w:tc>
        <w:tc>
          <w:tcPr>
            <w:tcW w:type="dxa" w:w="1531"/>
            <w:tcMar>
              <w:top w:w="70" w:type="dxa"/>
              <w:left w:w="80" w:type="dxa"/>
              <w:bottom w:w="70" w:type="dxa"/>
              <w:right w:w="80" w:type="dxa"/>
            </w:tcMar>
          </w:tcPr>
          <w:p>
            <w:r>
              <w:rPr>
                <w:sz w:val="15"/>
              </w:rPr>
              <w:t>PLT-04</w:t>
            </w:r>
          </w:p>
        </w:tc>
        <w:tc>
          <w:tcPr>
            <w:tcW w:type="dxa" w:w="1531"/>
            <w:tcMar>
              <w:top w:w="70" w:type="dxa"/>
              <w:left w:w="80" w:type="dxa"/>
              <w:bottom w:w="70" w:type="dxa"/>
              <w:right w:w="80" w:type="dxa"/>
            </w:tcMar>
          </w:tcPr>
          <w:p>
            <w:r>
              <w:rPr>
                <w:sz w:val="15"/>
              </w:rPr>
              <w:t>§10.4 PLT-04 Implementation Contract; §7/§8/§10</w:t>
            </w:r>
          </w:p>
        </w:tc>
        <w:tc>
          <w:tcPr>
            <w:tcW w:type="dxa" w:w="1531"/>
            <w:tcMar>
              <w:top w:w="70" w:type="dxa"/>
              <w:left w:w="80" w:type="dxa"/>
              <w:bottom w:w="70" w:type="dxa"/>
              <w:right w:w="80" w:type="dxa"/>
            </w:tcMar>
          </w:tcPr>
          <w:p>
            <w:r>
              <w:rPr>
                <w:sz w:val="15"/>
              </w:rPr>
              <w:t>§27; INV-PLT-04; API/event contract tests; requirement PLT-04-R07</w:t>
            </w:r>
          </w:p>
        </w:tc>
        <w:tc>
          <w:tcPr>
            <w:tcW w:type="dxa" w:w="1531"/>
            <w:tcMar>
              <w:top w:w="70" w:type="dxa"/>
              <w:left w:w="80" w:type="dxa"/>
              <w:bottom w:w="70" w:type="dxa"/>
              <w:right w:w="80" w:type="dxa"/>
            </w:tcMar>
          </w:tcPr>
          <w:p>
            <w:r>
              <w:rPr>
                <w:sz w:val="15"/>
              </w:rPr>
              <w:t>§28; RB-PLT-04</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IAM-01-R01</w:t>
            </w:r>
          </w:p>
        </w:tc>
        <w:tc>
          <w:tcPr>
            <w:tcW w:type="dxa" w:w="1531"/>
            <w:tcMar>
              <w:top w:w="70" w:type="dxa"/>
              <w:left w:w="80" w:type="dxa"/>
              <w:bottom w:w="70" w:type="dxa"/>
              <w:right w:w="80" w:type="dxa"/>
            </w:tcMar>
          </w:tcPr>
          <w:p>
            <w:r>
              <w:rPr>
                <w:sz w:val="15"/>
              </w:rPr>
              <w:t>Identity, Authentication, Passkeys &amp; Device Sessions</w:t>
            </w:r>
          </w:p>
        </w:tc>
        <w:tc>
          <w:tcPr>
            <w:tcW w:type="dxa" w:w="1531"/>
            <w:tcMar>
              <w:top w:w="70" w:type="dxa"/>
              <w:left w:w="80" w:type="dxa"/>
              <w:bottom w:w="70" w:type="dxa"/>
              <w:right w:w="80" w:type="dxa"/>
            </w:tcMar>
          </w:tcPr>
          <w:p>
            <w:r>
              <w:rPr>
                <w:sz w:val="15"/>
              </w:rPr>
              <w:t>Identity model that can link one person to multiple tenant roles without identity duplication.</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IAM-01</w:t>
            </w:r>
          </w:p>
        </w:tc>
        <w:tc>
          <w:tcPr>
            <w:tcW w:type="dxa" w:w="1531"/>
            <w:tcMar>
              <w:top w:w="70" w:type="dxa"/>
              <w:left w:w="80" w:type="dxa"/>
              <w:bottom w:w="70" w:type="dxa"/>
              <w:right w:w="80" w:type="dxa"/>
            </w:tcMar>
          </w:tcPr>
          <w:p>
            <w:r>
              <w:rPr>
                <w:sz w:val="15"/>
              </w:rPr>
              <w:t>§10.5 IAM-01 Implementation Contract; §8/§16/§21</w:t>
            </w:r>
          </w:p>
        </w:tc>
        <w:tc>
          <w:tcPr>
            <w:tcW w:type="dxa" w:w="1531"/>
            <w:tcMar>
              <w:top w:w="70" w:type="dxa"/>
              <w:left w:w="80" w:type="dxa"/>
              <w:bottom w:w="70" w:type="dxa"/>
              <w:right w:w="80" w:type="dxa"/>
            </w:tcMar>
          </w:tcPr>
          <w:p>
            <w:r>
              <w:rPr>
                <w:sz w:val="15"/>
              </w:rPr>
              <w:t>§27; INV-IAM-01; API/event contract tests; requirement IAM-01-R01</w:t>
            </w:r>
          </w:p>
        </w:tc>
        <w:tc>
          <w:tcPr>
            <w:tcW w:type="dxa" w:w="1531"/>
            <w:tcMar>
              <w:top w:w="70" w:type="dxa"/>
              <w:left w:w="80" w:type="dxa"/>
              <w:bottom w:w="70" w:type="dxa"/>
              <w:right w:w="80" w:type="dxa"/>
            </w:tcMar>
          </w:tcPr>
          <w:p>
            <w:r>
              <w:rPr>
                <w:sz w:val="15"/>
              </w:rPr>
              <w:t>§28; RB-IAM-01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IAM-01-R02</w:t>
            </w:r>
          </w:p>
        </w:tc>
        <w:tc>
          <w:tcPr>
            <w:tcW w:type="dxa" w:w="1531"/>
            <w:tcMar>
              <w:top w:w="70" w:type="dxa"/>
              <w:left w:w="80" w:type="dxa"/>
              <w:bottom w:w="70" w:type="dxa"/>
              <w:right w:w="80" w:type="dxa"/>
            </w:tcMar>
          </w:tcPr>
          <w:p>
            <w:r>
              <w:rPr>
                <w:sz w:val="15"/>
              </w:rPr>
              <w:t>Identity, Authentication, Passkeys &amp; Device Sessions</w:t>
            </w:r>
          </w:p>
        </w:tc>
        <w:tc>
          <w:tcPr>
            <w:tcW w:type="dxa" w:w="1531"/>
            <w:tcMar>
              <w:top w:w="70" w:type="dxa"/>
              <w:left w:w="80" w:type="dxa"/>
              <w:bottom w:w="70" w:type="dxa"/>
              <w:right w:w="80" w:type="dxa"/>
            </w:tcMar>
          </w:tcPr>
          <w:p>
            <w:r>
              <w:rPr>
                <w:sz w:val="15"/>
              </w:rPr>
              <w:t>Email/phone login, OTP, password, passkeys and platform biometric unlock through operating-system APIs.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IAM-01</w:t>
            </w:r>
          </w:p>
        </w:tc>
        <w:tc>
          <w:tcPr>
            <w:tcW w:type="dxa" w:w="1531"/>
            <w:tcMar>
              <w:top w:w="70" w:type="dxa"/>
              <w:left w:w="80" w:type="dxa"/>
              <w:bottom w:w="70" w:type="dxa"/>
              <w:right w:w="80" w:type="dxa"/>
            </w:tcMar>
          </w:tcPr>
          <w:p>
            <w:r>
              <w:rPr>
                <w:sz w:val="15"/>
              </w:rPr>
              <w:t>§10.5 IAM-01 Implementation Contract; §8/§16/§21</w:t>
            </w:r>
          </w:p>
        </w:tc>
        <w:tc>
          <w:tcPr>
            <w:tcW w:type="dxa" w:w="1531"/>
            <w:tcMar>
              <w:top w:w="70" w:type="dxa"/>
              <w:left w:w="80" w:type="dxa"/>
              <w:bottom w:w="70" w:type="dxa"/>
              <w:right w:w="80" w:type="dxa"/>
            </w:tcMar>
          </w:tcPr>
          <w:p>
            <w:r>
              <w:rPr>
                <w:sz w:val="15"/>
              </w:rPr>
              <w:t>§27; INV-IAM-01; API/event contract tests; requirement IAM-01-R02</w:t>
            </w:r>
          </w:p>
        </w:tc>
        <w:tc>
          <w:tcPr>
            <w:tcW w:type="dxa" w:w="1531"/>
            <w:tcMar>
              <w:top w:w="70" w:type="dxa"/>
              <w:left w:w="80" w:type="dxa"/>
              <w:bottom w:w="70" w:type="dxa"/>
              <w:right w:w="80" w:type="dxa"/>
            </w:tcMar>
          </w:tcPr>
          <w:p>
            <w:r>
              <w:rPr>
                <w:sz w:val="15"/>
              </w:rPr>
              <w:t>§28; RB-IAM-01</w:t>
            </w:r>
          </w:p>
        </w:tc>
        <w:tc>
          <w:tcPr>
            <w:tcW w:type="dxa" w:w="1531"/>
            <w:tcMar>
              <w:top w:w="70" w:type="dxa"/>
              <w:left w:w="80" w:type="dxa"/>
              <w:bottom w:w="70" w:type="dxa"/>
              <w:right w:w="80" w:type="dxa"/>
            </w:tcMar>
          </w:tcPr>
          <w:p>
            <w:r>
              <w:rPr>
                <w:sz w:val="15"/>
              </w:rPr>
              <w:t>PARTIAL - external validation / later adapter evidence required</w:t>
            </w:r>
          </w:p>
        </w:tc>
      </w:tr>
      <w:tr>
        <w:tc>
          <w:tcPr>
            <w:tcW w:type="dxa" w:w="1531"/>
            <w:tcMar>
              <w:top w:w="70" w:type="dxa"/>
              <w:left w:w="80" w:type="dxa"/>
              <w:bottom w:w="70" w:type="dxa"/>
              <w:right w:w="80" w:type="dxa"/>
            </w:tcMar>
          </w:tcPr>
          <w:p>
            <w:r>
              <w:rPr>
                <w:sz w:val="15"/>
              </w:rPr>
              <w:t>IAM-01-R03</w:t>
            </w:r>
          </w:p>
        </w:tc>
        <w:tc>
          <w:tcPr>
            <w:tcW w:type="dxa" w:w="1531"/>
            <w:tcMar>
              <w:top w:w="70" w:type="dxa"/>
              <w:left w:w="80" w:type="dxa"/>
              <w:bottom w:w="70" w:type="dxa"/>
              <w:right w:w="80" w:type="dxa"/>
            </w:tcMar>
          </w:tcPr>
          <w:p>
            <w:r>
              <w:rPr>
                <w:sz w:val="15"/>
              </w:rPr>
              <w:t>Identity, Authentication, Passkeys &amp; Device Sessions</w:t>
            </w:r>
          </w:p>
        </w:tc>
        <w:tc>
          <w:tcPr>
            <w:tcW w:type="dxa" w:w="1531"/>
            <w:tcMar>
              <w:top w:w="70" w:type="dxa"/>
              <w:left w:w="80" w:type="dxa"/>
              <w:bottom w:w="70" w:type="dxa"/>
              <w:right w:w="80" w:type="dxa"/>
            </w:tcMar>
          </w:tcPr>
          <w:p>
            <w:r>
              <w:rPr>
                <w:sz w:val="15"/>
              </w:rPr>
              <w:t>MFA, step-up authentication, recovery codes, trusted devices and risk-based challenges.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IAM-01</w:t>
            </w:r>
          </w:p>
        </w:tc>
        <w:tc>
          <w:tcPr>
            <w:tcW w:type="dxa" w:w="1531"/>
            <w:tcMar>
              <w:top w:w="70" w:type="dxa"/>
              <w:left w:w="80" w:type="dxa"/>
              <w:bottom w:w="70" w:type="dxa"/>
              <w:right w:w="80" w:type="dxa"/>
            </w:tcMar>
          </w:tcPr>
          <w:p>
            <w:r>
              <w:rPr>
                <w:sz w:val="15"/>
              </w:rPr>
              <w:t>§10.5 IAM-01 Implementation Contract; §8/§16/§21</w:t>
            </w:r>
          </w:p>
        </w:tc>
        <w:tc>
          <w:tcPr>
            <w:tcW w:type="dxa" w:w="1531"/>
            <w:tcMar>
              <w:top w:w="70" w:type="dxa"/>
              <w:left w:w="80" w:type="dxa"/>
              <w:bottom w:w="70" w:type="dxa"/>
              <w:right w:w="80" w:type="dxa"/>
            </w:tcMar>
          </w:tcPr>
          <w:p>
            <w:r>
              <w:rPr>
                <w:sz w:val="15"/>
              </w:rPr>
              <w:t>§27; INV-IAM-01; API/event contract tests; requirement IAM-01-R03</w:t>
            </w:r>
          </w:p>
        </w:tc>
        <w:tc>
          <w:tcPr>
            <w:tcW w:type="dxa" w:w="1531"/>
            <w:tcMar>
              <w:top w:w="70" w:type="dxa"/>
              <w:left w:w="80" w:type="dxa"/>
              <w:bottom w:w="70" w:type="dxa"/>
              <w:right w:w="80" w:type="dxa"/>
            </w:tcMar>
          </w:tcPr>
          <w:p>
            <w:r>
              <w:rPr>
                <w:sz w:val="15"/>
              </w:rPr>
              <w:t>§28; RB-IAM-01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IAM-01-R04</w:t>
            </w:r>
          </w:p>
        </w:tc>
        <w:tc>
          <w:tcPr>
            <w:tcW w:type="dxa" w:w="1531"/>
            <w:tcMar>
              <w:top w:w="70" w:type="dxa"/>
              <w:left w:w="80" w:type="dxa"/>
              <w:bottom w:w="70" w:type="dxa"/>
              <w:right w:w="80" w:type="dxa"/>
            </w:tcMar>
          </w:tcPr>
          <w:p>
            <w:r>
              <w:rPr>
                <w:sz w:val="15"/>
              </w:rPr>
              <w:t>Identity, Authentication, Passkeys &amp; Device Sessions</w:t>
            </w:r>
          </w:p>
        </w:tc>
        <w:tc>
          <w:tcPr>
            <w:tcW w:type="dxa" w:w="1531"/>
            <w:tcMar>
              <w:top w:w="70" w:type="dxa"/>
              <w:left w:w="80" w:type="dxa"/>
              <w:bottom w:w="70" w:type="dxa"/>
              <w:right w:w="80" w:type="dxa"/>
            </w:tcMar>
          </w:tcPr>
          <w:p>
            <w:r>
              <w:rPr>
                <w:sz w:val="15"/>
              </w:rPr>
              <w:t>Enterprise federation through OIDC/SAML and lifecycle provisioning through SCIM.</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IAM-01</w:t>
            </w:r>
          </w:p>
        </w:tc>
        <w:tc>
          <w:tcPr>
            <w:tcW w:type="dxa" w:w="1531"/>
            <w:tcMar>
              <w:top w:w="70" w:type="dxa"/>
              <w:left w:w="80" w:type="dxa"/>
              <w:bottom w:w="70" w:type="dxa"/>
              <w:right w:w="80" w:type="dxa"/>
            </w:tcMar>
          </w:tcPr>
          <w:p>
            <w:r>
              <w:rPr>
                <w:sz w:val="15"/>
              </w:rPr>
              <w:t>§10.5 IAM-01 Implementation Contract; §8/§16/§21</w:t>
            </w:r>
          </w:p>
        </w:tc>
        <w:tc>
          <w:tcPr>
            <w:tcW w:type="dxa" w:w="1531"/>
            <w:tcMar>
              <w:top w:w="70" w:type="dxa"/>
              <w:left w:w="80" w:type="dxa"/>
              <w:bottom w:w="70" w:type="dxa"/>
              <w:right w:w="80" w:type="dxa"/>
            </w:tcMar>
          </w:tcPr>
          <w:p>
            <w:r>
              <w:rPr>
                <w:sz w:val="15"/>
              </w:rPr>
              <w:t>§27; INV-IAM-01; API/event contract tests; requirement IAM-01-R04</w:t>
            </w:r>
          </w:p>
        </w:tc>
        <w:tc>
          <w:tcPr>
            <w:tcW w:type="dxa" w:w="1531"/>
            <w:tcMar>
              <w:top w:w="70" w:type="dxa"/>
              <w:left w:w="80" w:type="dxa"/>
              <w:bottom w:w="70" w:type="dxa"/>
              <w:right w:w="80" w:type="dxa"/>
            </w:tcMar>
          </w:tcPr>
          <w:p>
            <w:r>
              <w:rPr>
                <w:sz w:val="15"/>
              </w:rPr>
              <w:t>§28; RB-IAM-01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IAM-01-R05</w:t>
            </w:r>
          </w:p>
        </w:tc>
        <w:tc>
          <w:tcPr>
            <w:tcW w:type="dxa" w:w="1531"/>
            <w:tcMar>
              <w:top w:w="70" w:type="dxa"/>
              <w:left w:w="80" w:type="dxa"/>
              <w:bottom w:w="70" w:type="dxa"/>
              <w:right w:w="80" w:type="dxa"/>
            </w:tcMar>
          </w:tcPr>
          <w:p>
            <w:r>
              <w:rPr>
                <w:sz w:val="15"/>
              </w:rPr>
              <w:t>Identity, Authentication, Passkeys &amp; Device Sessions</w:t>
            </w:r>
          </w:p>
        </w:tc>
        <w:tc>
          <w:tcPr>
            <w:tcW w:type="dxa" w:w="1531"/>
            <w:tcMar>
              <w:top w:w="70" w:type="dxa"/>
              <w:left w:w="80" w:type="dxa"/>
              <w:bottom w:w="70" w:type="dxa"/>
              <w:right w:w="80" w:type="dxa"/>
            </w:tcMar>
          </w:tcPr>
          <w:p>
            <w:r>
              <w:rPr>
                <w:sz w:val="15"/>
              </w:rPr>
              <w:t>Session inventory, device binding, remote revocation, token rotation and suspicious-login detection.</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IAM-01</w:t>
            </w:r>
          </w:p>
        </w:tc>
        <w:tc>
          <w:tcPr>
            <w:tcW w:type="dxa" w:w="1531"/>
            <w:tcMar>
              <w:top w:w="70" w:type="dxa"/>
              <w:left w:w="80" w:type="dxa"/>
              <w:bottom w:w="70" w:type="dxa"/>
              <w:right w:w="80" w:type="dxa"/>
            </w:tcMar>
          </w:tcPr>
          <w:p>
            <w:r>
              <w:rPr>
                <w:sz w:val="15"/>
              </w:rPr>
              <w:t>§10.5 IAM-01 Implementation Contract; §8/§16/§21</w:t>
            </w:r>
          </w:p>
        </w:tc>
        <w:tc>
          <w:tcPr>
            <w:tcW w:type="dxa" w:w="1531"/>
            <w:tcMar>
              <w:top w:w="70" w:type="dxa"/>
              <w:left w:w="80" w:type="dxa"/>
              <w:bottom w:w="70" w:type="dxa"/>
              <w:right w:w="80" w:type="dxa"/>
            </w:tcMar>
          </w:tcPr>
          <w:p>
            <w:r>
              <w:rPr>
                <w:sz w:val="15"/>
              </w:rPr>
              <w:t>§27; INV-IAM-01; API/event contract tests; requirement IAM-01-R05</w:t>
            </w:r>
          </w:p>
        </w:tc>
        <w:tc>
          <w:tcPr>
            <w:tcW w:type="dxa" w:w="1531"/>
            <w:tcMar>
              <w:top w:w="70" w:type="dxa"/>
              <w:left w:w="80" w:type="dxa"/>
              <w:bottom w:w="70" w:type="dxa"/>
              <w:right w:w="80" w:type="dxa"/>
            </w:tcMar>
          </w:tcPr>
          <w:p>
            <w:r>
              <w:rPr>
                <w:sz w:val="15"/>
              </w:rPr>
              <w:t>§28; RB-IAM-01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IAM-01-R06</w:t>
            </w:r>
          </w:p>
        </w:tc>
        <w:tc>
          <w:tcPr>
            <w:tcW w:type="dxa" w:w="1531"/>
            <w:tcMar>
              <w:top w:w="70" w:type="dxa"/>
              <w:left w:w="80" w:type="dxa"/>
              <w:bottom w:w="70" w:type="dxa"/>
              <w:right w:w="80" w:type="dxa"/>
            </w:tcMar>
          </w:tcPr>
          <w:p>
            <w:r>
              <w:rPr>
                <w:sz w:val="15"/>
              </w:rPr>
              <w:t>Identity, Authentication, Passkeys &amp; Device Sessions</w:t>
            </w:r>
          </w:p>
        </w:tc>
        <w:tc>
          <w:tcPr>
            <w:tcW w:type="dxa" w:w="1531"/>
            <w:tcMar>
              <w:top w:w="70" w:type="dxa"/>
              <w:left w:w="80" w:type="dxa"/>
              <w:bottom w:w="70" w:type="dxa"/>
              <w:right w:w="80" w:type="dxa"/>
            </w:tcMar>
          </w:tcPr>
          <w:p>
            <w:r>
              <w:rPr>
                <w:sz w:val="15"/>
              </w:rPr>
              <w:t>Separate authentication assurance levels for routine, financial, privileged and biometric-sensitive actions.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IAM-01</w:t>
            </w:r>
          </w:p>
        </w:tc>
        <w:tc>
          <w:tcPr>
            <w:tcW w:type="dxa" w:w="1531"/>
            <w:tcMar>
              <w:top w:w="70" w:type="dxa"/>
              <w:left w:w="80" w:type="dxa"/>
              <w:bottom w:w="70" w:type="dxa"/>
              <w:right w:w="80" w:type="dxa"/>
            </w:tcMar>
          </w:tcPr>
          <w:p>
            <w:r>
              <w:rPr>
                <w:sz w:val="15"/>
              </w:rPr>
              <w:t>§10.5 IAM-01 Implementation Contract; §8/§16/§21</w:t>
            </w:r>
          </w:p>
        </w:tc>
        <w:tc>
          <w:tcPr>
            <w:tcW w:type="dxa" w:w="1531"/>
            <w:tcMar>
              <w:top w:w="70" w:type="dxa"/>
              <w:left w:w="80" w:type="dxa"/>
              <w:bottom w:w="70" w:type="dxa"/>
              <w:right w:w="80" w:type="dxa"/>
            </w:tcMar>
          </w:tcPr>
          <w:p>
            <w:r>
              <w:rPr>
                <w:sz w:val="15"/>
              </w:rPr>
              <w:t>§27; INV-IAM-01; API/event contract tests; requirement IAM-01-R06</w:t>
            </w:r>
          </w:p>
        </w:tc>
        <w:tc>
          <w:tcPr>
            <w:tcW w:type="dxa" w:w="1531"/>
            <w:tcMar>
              <w:top w:w="70" w:type="dxa"/>
              <w:left w:w="80" w:type="dxa"/>
              <w:bottom w:w="70" w:type="dxa"/>
              <w:right w:w="80" w:type="dxa"/>
            </w:tcMar>
          </w:tcPr>
          <w:p>
            <w:r>
              <w:rPr>
                <w:sz w:val="15"/>
              </w:rPr>
              <w:t>§28; RB-IAM-01</w:t>
            </w:r>
          </w:p>
        </w:tc>
        <w:tc>
          <w:tcPr>
            <w:tcW w:type="dxa" w:w="1531"/>
            <w:tcMar>
              <w:top w:w="70" w:type="dxa"/>
              <w:left w:w="80" w:type="dxa"/>
              <w:bottom w:w="70" w:type="dxa"/>
              <w:right w:w="80" w:type="dxa"/>
            </w:tcMar>
          </w:tcPr>
          <w:p>
            <w:r>
              <w:rPr>
                <w:sz w:val="15"/>
              </w:rPr>
              <w:t>PARTIAL - external validation / later adapter evidence required</w:t>
            </w:r>
          </w:p>
        </w:tc>
      </w:tr>
      <w:tr>
        <w:tc>
          <w:tcPr>
            <w:tcW w:type="dxa" w:w="1531"/>
            <w:tcMar>
              <w:top w:w="70" w:type="dxa"/>
              <w:left w:w="80" w:type="dxa"/>
              <w:bottom w:w="70" w:type="dxa"/>
              <w:right w:w="80" w:type="dxa"/>
            </w:tcMar>
          </w:tcPr>
          <w:p>
            <w:r>
              <w:rPr>
                <w:sz w:val="15"/>
              </w:rPr>
              <w:t>IAM-01-R07</w:t>
            </w:r>
          </w:p>
        </w:tc>
        <w:tc>
          <w:tcPr>
            <w:tcW w:type="dxa" w:w="1531"/>
            <w:tcMar>
              <w:top w:w="70" w:type="dxa"/>
              <w:left w:w="80" w:type="dxa"/>
              <w:bottom w:w="70" w:type="dxa"/>
              <w:right w:w="80" w:type="dxa"/>
            </w:tcMar>
          </w:tcPr>
          <w:p>
            <w:r>
              <w:rPr>
                <w:sz w:val="15"/>
              </w:rPr>
              <w:t>Identity, Authentication, Passkeys &amp; Device Sessions</w:t>
            </w:r>
          </w:p>
        </w:tc>
        <w:tc>
          <w:tcPr>
            <w:tcW w:type="dxa" w:w="1531"/>
            <w:tcMar>
              <w:top w:w="70" w:type="dxa"/>
              <w:left w:w="80" w:type="dxa"/>
              <w:bottom w:w="70" w:type="dxa"/>
              <w:right w:w="80" w:type="dxa"/>
            </w:tcMar>
          </w:tcPr>
          <w:p>
            <w:r>
              <w:rPr>
                <w:sz w:val="15"/>
              </w:rPr>
              <w:t>Account linking, duplicate detection, merge review and identity recovery without losing tenant data.</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IAM-01</w:t>
            </w:r>
          </w:p>
        </w:tc>
        <w:tc>
          <w:tcPr>
            <w:tcW w:type="dxa" w:w="1531"/>
            <w:tcMar>
              <w:top w:w="70" w:type="dxa"/>
              <w:left w:w="80" w:type="dxa"/>
              <w:bottom w:w="70" w:type="dxa"/>
              <w:right w:w="80" w:type="dxa"/>
            </w:tcMar>
          </w:tcPr>
          <w:p>
            <w:r>
              <w:rPr>
                <w:sz w:val="15"/>
              </w:rPr>
              <w:t>§10.5 IAM-01 Implementation Contract; §8/§16/§21</w:t>
            </w:r>
          </w:p>
        </w:tc>
        <w:tc>
          <w:tcPr>
            <w:tcW w:type="dxa" w:w="1531"/>
            <w:tcMar>
              <w:top w:w="70" w:type="dxa"/>
              <w:left w:w="80" w:type="dxa"/>
              <w:bottom w:w="70" w:type="dxa"/>
              <w:right w:w="80" w:type="dxa"/>
            </w:tcMar>
          </w:tcPr>
          <w:p>
            <w:r>
              <w:rPr>
                <w:sz w:val="15"/>
              </w:rPr>
              <w:t>§27; INV-IAM-01; API/event contract tests; requirement IAM-01-R07</w:t>
            </w:r>
          </w:p>
        </w:tc>
        <w:tc>
          <w:tcPr>
            <w:tcW w:type="dxa" w:w="1531"/>
            <w:tcMar>
              <w:top w:w="70" w:type="dxa"/>
              <w:left w:w="80" w:type="dxa"/>
              <w:bottom w:w="70" w:type="dxa"/>
              <w:right w:w="80" w:type="dxa"/>
            </w:tcMar>
          </w:tcPr>
          <w:p>
            <w:r>
              <w:rPr>
                <w:sz w:val="15"/>
              </w:rPr>
              <w:t>§28; RB-IAM-01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IAM-02-R01</w:t>
            </w:r>
          </w:p>
        </w:tc>
        <w:tc>
          <w:tcPr>
            <w:tcW w:type="dxa" w:w="1531"/>
            <w:tcMar>
              <w:top w:w="70" w:type="dxa"/>
              <w:left w:w="80" w:type="dxa"/>
              <w:bottom w:w="70" w:type="dxa"/>
              <w:right w:w="80" w:type="dxa"/>
            </w:tcMar>
          </w:tcPr>
          <w:p>
            <w:r>
              <w:rPr>
                <w:sz w:val="15"/>
              </w:rPr>
              <w:t>Biometric Identity &amp; Physical Access Methods</w:t>
            </w:r>
          </w:p>
        </w:tc>
        <w:tc>
          <w:tcPr>
            <w:tcW w:type="dxa" w:w="1531"/>
            <w:tcMar>
              <w:top w:w="70" w:type="dxa"/>
              <w:left w:w="80" w:type="dxa"/>
              <w:bottom w:w="70" w:type="dxa"/>
              <w:right w:w="80" w:type="dxa"/>
            </w:tcMar>
          </w:tcPr>
          <w:p>
            <w:r>
              <w:rPr>
                <w:sz w:val="15"/>
              </w:rPr>
              <w:t>Member-controlled enrollment for facial entry with explicit informed consent and clear alternatives.</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V2 Platform</w:t>
            </w:r>
          </w:p>
        </w:tc>
        <w:tc>
          <w:tcPr>
            <w:tcW w:type="dxa" w:w="1531"/>
            <w:tcMar>
              <w:top w:w="70" w:type="dxa"/>
              <w:left w:w="80" w:type="dxa"/>
              <w:bottom w:w="70" w:type="dxa"/>
              <w:right w:w="80" w:type="dxa"/>
            </w:tcMar>
          </w:tcPr>
          <w:p>
            <w:r>
              <w:rPr>
                <w:sz w:val="15"/>
              </w:rPr>
              <w:t>IAM-02</w:t>
            </w:r>
          </w:p>
        </w:tc>
        <w:tc>
          <w:tcPr>
            <w:tcW w:type="dxa" w:w="1531"/>
            <w:tcMar>
              <w:top w:w="70" w:type="dxa"/>
              <w:left w:w="80" w:type="dxa"/>
              <w:bottom w:w="70" w:type="dxa"/>
              <w:right w:w="80" w:type="dxa"/>
            </w:tcMar>
          </w:tcPr>
          <w:p>
            <w:r>
              <w:rPr>
                <w:sz w:val="15"/>
              </w:rPr>
              <w:t>§10.6 IAM-02 Implementation Contract; §8/§16/§21</w:t>
            </w:r>
          </w:p>
        </w:tc>
        <w:tc>
          <w:tcPr>
            <w:tcW w:type="dxa" w:w="1531"/>
            <w:tcMar>
              <w:top w:w="70" w:type="dxa"/>
              <w:left w:w="80" w:type="dxa"/>
              <w:bottom w:w="70" w:type="dxa"/>
              <w:right w:w="80" w:type="dxa"/>
            </w:tcMar>
          </w:tcPr>
          <w:p>
            <w:r>
              <w:rPr>
                <w:sz w:val="15"/>
              </w:rPr>
              <w:t>§27; INV-IAM-02; API/event contract tests; requirement IAM-02-R01</w:t>
            </w:r>
          </w:p>
        </w:tc>
        <w:tc>
          <w:tcPr>
            <w:tcW w:type="dxa" w:w="1531"/>
            <w:tcMar>
              <w:top w:w="70" w:type="dxa"/>
              <w:left w:w="80" w:type="dxa"/>
              <w:bottom w:w="70" w:type="dxa"/>
              <w:right w:w="80" w:type="dxa"/>
            </w:tcMar>
          </w:tcPr>
          <w:p>
            <w:r>
              <w:rPr>
                <w:sz w:val="15"/>
              </w:rPr>
              <w:t>§28; RB-IAM-02</w:t>
            </w:r>
          </w:p>
        </w:tc>
        <w:tc>
          <w:tcPr>
            <w:tcW w:type="dxa" w:w="1531"/>
            <w:tcMar>
              <w:top w:w="70" w:type="dxa"/>
              <w:left w:w="80" w:type="dxa"/>
              <w:bottom w:w="70" w:type="dxa"/>
              <w:right w:w="80" w:type="dxa"/>
            </w:tcMar>
          </w:tcPr>
          <w:p>
            <w:r>
              <w:rPr>
                <w:sz w:val="15"/>
              </w:rPr>
              <w:t>DEFERRED - V2 Platform</w:t>
            </w:r>
          </w:p>
        </w:tc>
      </w:tr>
      <w:tr>
        <w:tc>
          <w:tcPr>
            <w:tcW w:type="dxa" w:w="1531"/>
            <w:tcMar>
              <w:top w:w="70" w:type="dxa"/>
              <w:left w:w="80" w:type="dxa"/>
              <w:bottom w:w="70" w:type="dxa"/>
              <w:right w:w="80" w:type="dxa"/>
            </w:tcMar>
          </w:tcPr>
          <w:p>
            <w:r>
              <w:rPr>
                <w:sz w:val="15"/>
              </w:rPr>
              <w:t>IAM-02-R02</w:t>
            </w:r>
          </w:p>
        </w:tc>
        <w:tc>
          <w:tcPr>
            <w:tcW w:type="dxa" w:w="1531"/>
            <w:tcMar>
              <w:top w:w="70" w:type="dxa"/>
              <w:left w:w="80" w:type="dxa"/>
              <w:bottom w:w="70" w:type="dxa"/>
              <w:right w:w="80" w:type="dxa"/>
            </w:tcMar>
          </w:tcPr>
          <w:p>
            <w:r>
              <w:rPr>
                <w:sz w:val="15"/>
              </w:rPr>
              <w:t>Biometric Identity &amp; Physical Access Methods</w:t>
            </w:r>
          </w:p>
        </w:tc>
        <w:tc>
          <w:tcPr>
            <w:tcW w:type="dxa" w:w="1531"/>
            <w:tcMar>
              <w:top w:w="70" w:type="dxa"/>
              <w:left w:w="80" w:type="dxa"/>
              <w:bottom w:w="70" w:type="dxa"/>
              <w:right w:w="80" w:type="dxa"/>
            </w:tcMar>
          </w:tcPr>
          <w:p>
            <w:r>
              <w:rPr>
                <w:sz w:val="15"/>
              </w:rPr>
              <w:t>Vendor-neutral biometric templates, encrypted storage, retention policy, revocation and deletion workflow.</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V2 Platform</w:t>
            </w:r>
          </w:p>
        </w:tc>
        <w:tc>
          <w:tcPr>
            <w:tcW w:type="dxa" w:w="1531"/>
            <w:tcMar>
              <w:top w:w="70" w:type="dxa"/>
              <w:left w:w="80" w:type="dxa"/>
              <w:bottom w:w="70" w:type="dxa"/>
              <w:right w:w="80" w:type="dxa"/>
            </w:tcMar>
          </w:tcPr>
          <w:p>
            <w:r>
              <w:rPr>
                <w:sz w:val="15"/>
              </w:rPr>
              <w:t>IAM-02</w:t>
            </w:r>
          </w:p>
        </w:tc>
        <w:tc>
          <w:tcPr>
            <w:tcW w:type="dxa" w:w="1531"/>
            <w:tcMar>
              <w:top w:w="70" w:type="dxa"/>
              <w:left w:w="80" w:type="dxa"/>
              <w:bottom w:w="70" w:type="dxa"/>
              <w:right w:w="80" w:type="dxa"/>
            </w:tcMar>
          </w:tcPr>
          <w:p>
            <w:r>
              <w:rPr>
                <w:sz w:val="15"/>
              </w:rPr>
              <w:t>§10.6 IAM-02 Implementation Contract; §8/§16/§21</w:t>
            </w:r>
          </w:p>
        </w:tc>
        <w:tc>
          <w:tcPr>
            <w:tcW w:type="dxa" w:w="1531"/>
            <w:tcMar>
              <w:top w:w="70" w:type="dxa"/>
              <w:left w:w="80" w:type="dxa"/>
              <w:bottom w:w="70" w:type="dxa"/>
              <w:right w:w="80" w:type="dxa"/>
            </w:tcMar>
          </w:tcPr>
          <w:p>
            <w:r>
              <w:rPr>
                <w:sz w:val="15"/>
              </w:rPr>
              <w:t>§27; INV-IAM-02; API/event contract tests; requirement IAM-02-R02</w:t>
            </w:r>
          </w:p>
        </w:tc>
        <w:tc>
          <w:tcPr>
            <w:tcW w:type="dxa" w:w="1531"/>
            <w:tcMar>
              <w:top w:w="70" w:type="dxa"/>
              <w:left w:w="80" w:type="dxa"/>
              <w:bottom w:w="70" w:type="dxa"/>
              <w:right w:w="80" w:type="dxa"/>
            </w:tcMar>
          </w:tcPr>
          <w:p>
            <w:r>
              <w:rPr>
                <w:sz w:val="15"/>
              </w:rPr>
              <w:t>§28; RB-IAM-02</w:t>
            </w:r>
          </w:p>
        </w:tc>
        <w:tc>
          <w:tcPr>
            <w:tcW w:type="dxa" w:w="1531"/>
            <w:tcMar>
              <w:top w:w="70" w:type="dxa"/>
              <w:left w:w="80" w:type="dxa"/>
              <w:bottom w:w="70" w:type="dxa"/>
              <w:right w:w="80" w:type="dxa"/>
            </w:tcMar>
          </w:tcPr>
          <w:p>
            <w:r>
              <w:rPr>
                <w:sz w:val="15"/>
              </w:rPr>
              <w:t>DEFERRED - V2 Platform</w:t>
            </w:r>
          </w:p>
        </w:tc>
      </w:tr>
      <w:tr>
        <w:tc>
          <w:tcPr>
            <w:tcW w:type="dxa" w:w="1531"/>
            <w:tcMar>
              <w:top w:w="70" w:type="dxa"/>
              <w:left w:w="80" w:type="dxa"/>
              <w:bottom w:w="70" w:type="dxa"/>
              <w:right w:w="80" w:type="dxa"/>
            </w:tcMar>
          </w:tcPr>
          <w:p>
            <w:r>
              <w:rPr>
                <w:sz w:val="15"/>
              </w:rPr>
              <w:t>IAM-02-R03</w:t>
            </w:r>
          </w:p>
        </w:tc>
        <w:tc>
          <w:tcPr>
            <w:tcW w:type="dxa" w:w="1531"/>
            <w:tcMar>
              <w:top w:w="70" w:type="dxa"/>
              <w:left w:w="80" w:type="dxa"/>
              <w:bottom w:w="70" w:type="dxa"/>
              <w:right w:w="80" w:type="dxa"/>
            </w:tcMar>
          </w:tcPr>
          <w:p>
            <w:r>
              <w:rPr>
                <w:sz w:val="15"/>
              </w:rPr>
              <w:t>Biometric Identity &amp; Physical Access Methods</w:t>
            </w:r>
          </w:p>
        </w:tc>
        <w:tc>
          <w:tcPr>
            <w:tcW w:type="dxa" w:w="1531"/>
            <w:tcMar>
              <w:top w:w="70" w:type="dxa"/>
              <w:left w:w="80" w:type="dxa"/>
              <w:bottom w:w="70" w:type="dxa"/>
              <w:right w:w="80" w:type="dxa"/>
            </w:tcMar>
          </w:tcPr>
          <w:p>
            <w:r>
              <w:rPr>
                <w:sz w:val="15"/>
              </w:rPr>
              <w:t>Liveness detection, match thresholds, anti-spoofing, retry limits and manual fallback.</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V2 Platform</w:t>
            </w:r>
          </w:p>
        </w:tc>
        <w:tc>
          <w:tcPr>
            <w:tcW w:type="dxa" w:w="1531"/>
            <w:tcMar>
              <w:top w:w="70" w:type="dxa"/>
              <w:left w:w="80" w:type="dxa"/>
              <w:bottom w:w="70" w:type="dxa"/>
              <w:right w:w="80" w:type="dxa"/>
            </w:tcMar>
          </w:tcPr>
          <w:p>
            <w:r>
              <w:rPr>
                <w:sz w:val="15"/>
              </w:rPr>
              <w:t>IAM-02</w:t>
            </w:r>
          </w:p>
        </w:tc>
        <w:tc>
          <w:tcPr>
            <w:tcW w:type="dxa" w:w="1531"/>
            <w:tcMar>
              <w:top w:w="70" w:type="dxa"/>
              <w:left w:w="80" w:type="dxa"/>
              <w:bottom w:w="70" w:type="dxa"/>
              <w:right w:w="80" w:type="dxa"/>
            </w:tcMar>
          </w:tcPr>
          <w:p>
            <w:r>
              <w:rPr>
                <w:sz w:val="15"/>
              </w:rPr>
              <w:t>§10.6 IAM-02 Implementation Contract; §8/§16/§21</w:t>
            </w:r>
          </w:p>
        </w:tc>
        <w:tc>
          <w:tcPr>
            <w:tcW w:type="dxa" w:w="1531"/>
            <w:tcMar>
              <w:top w:w="70" w:type="dxa"/>
              <w:left w:w="80" w:type="dxa"/>
              <w:bottom w:w="70" w:type="dxa"/>
              <w:right w:w="80" w:type="dxa"/>
            </w:tcMar>
          </w:tcPr>
          <w:p>
            <w:r>
              <w:rPr>
                <w:sz w:val="15"/>
              </w:rPr>
              <w:t>§27; INV-IAM-02; API/event contract tests; requirement IAM-02-R03</w:t>
            </w:r>
          </w:p>
        </w:tc>
        <w:tc>
          <w:tcPr>
            <w:tcW w:type="dxa" w:w="1531"/>
            <w:tcMar>
              <w:top w:w="70" w:type="dxa"/>
              <w:left w:w="80" w:type="dxa"/>
              <w:bottom w:w="70" w:type="dxa"/>
              <w:right w:w="80" w:type="dxa"/>
            </w:tcMar>
          </w:tcPr>
          <w:p>
            <w:r>
              <w:rPr>
                <w:sz w:val="15"/>
              </w:rPr>
              <w:t>§28; RB-IAM-02</w:t>
            </w:r>
          </w:p>
        </w:tc>
        <w:tc>
          <w:tcPr>
            <w:tcW w:type="dxa" w:w="1531"/>
            <w:tcMar>
              <w:top w:w="70" w:type="dxa"/>
              <w:left w:w="80" w:type="dxa"/>
              <w:bottom w:w="70" w:type="dxa"/>
              <w:right w:w="80" w:type="dxa"/>
            </w:tcMar>
          </w:tcPr>
          <w:p>
            <w:r>
              <w:rPr>
                <w:sz w:val="15"/>
              </w:rPr>
              <w:t>DEFERRED - V2 Platform</w:t>
            </w:r>
          </w:p>
        </w:tc>
      </w:tr>
      <w:tr>
        <w:tc>
          <w:tcPr>
            <w:tcW w:type="dxa" w:w="1531"/>
            <w:tcMar>
              <w:top w:w="70" w:type="dxa"/>
              <w:left w:w="80" w:type="dxa"/>
              <w:bottom w:w="70" w:type="dxa"/>
              <w:right w:w="80" w:type="dxa"/>
            </w:tcMar>
          </w:tcPr>
          <w:p>
            <w:r>
              <w:rPr>
                <w:sz w:val="15"/>
              </w:rPr>
              <w:t>IAM-02-R04</w:t>
            </w:r>
          </w:p>
        </w:tc>
        <w:tc>
          <w:tcPr>
            <w:tcW w:type="dxa" w:w="1531"/>
            <w:tcMar>
              <w:top w:w="70" w:type="dxa"/>
              <w:left w:w="80" w:type="dxa"/>
              <w:bottom w:w="70" w:type="dxa"/>
              <w:right w:w="80" w:type="dxa"/>
            </w:tcMar>
          </w:tcPr>
          <w:p>
            <w:r>
              <w:rPr>
                <w:sz w:val="15"/>
              </w:rPr>
              <w:t>Biometric Identity &amp; Physical Access Methods</w:t>
            </w:r>
          </w:p>
        </w:tc>
        <w:tc>
          <w:tcPr>
            <w:tcW w:type="dxa" w:w="1531"/>
            <w:tcMar>
              <w:top w:w="70" w:type="dxa"/>
              <w:left w:w="80" w:type="dxa"/>
              <w:bottom w:w="70" w:type="dxa"/>
              <w:right w:w="80" w:type="dxa"/>
            </w:tcMar>
          </w:tcPr>
          <w:p>
            <w:r>
              <w:rPr>
                <w:sz w:val="15"/>
              </w:rPr>
              <w:t>QR, NFC, Apple Wallet, Google Wallet, physical card and temporary credential support.</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V2 Platform</w:t>
            </w:r>
          </w:p>
        </w:tc>
        <w:tc>
          <w:tcPr>
            <w:tcW w:type="dxa" w:w="1531"/>
            <w:tcMar>
              <w:top w:w="70" w:type="dxa"/>
              <w:left w:w="80" w:type="dxa"/>
              <w:bottom w:w="70" w:type="dxa"/>
              <w:right w:w="80" w:type="dxa"/>
            </w:tcMar>
          </w:tcPr>
          <w:p>
            <w:r>
              <w:rPr>
                <w:sz w:val="15"/>
              </w:rPr>
              <w:t>IAM-02</w:t>
            </w:r>
          </w:p>
        </w:tc>
        <w:tc>
          <w:tcPr>
            <w:tcW w:type="dxa" w:w="1531"/>
            <w:tcMar>
              <w:top w:w="70" w:type="dxa"/>
              <w:left w:w="80" w:type="dxa"/>
              <w:bottom w:w="70" w:type="dxa"/>
              <w:right w:w="80" w:type="dxa"/>
            </w:tcMar>
          </w:tcPr>
          <w:p>
            <w:r>
              <w:rPr>
                <w:sz w:val="15"/>
              </w:rPr>
              <w:t>§10.6 IAM-02 Implementation Contract; §8/§16/§21</w:t>
            </w:r>
          </w:p>
        </w:tc>
        <w:tc>
          <w:tcPr>
            <w:tcW w:type="dxa" w:w="1531"/>
            <w:tcMar>
              <w:top w:w="70" w:type="dxa"/>
              <w:left w:w="80" w:type="dxa"/>
              <w:bottom w:w="70" w:type="dxa"/>
              <w:right w:w="80" w:type="dxa"/>
            </w:tcMar>
          </w:tcPr>
          <w:p>
            <w:r>
              <w:rPr>
                <w:sz w:val="15"/>
              </w:rPr>
              <w:t>§27; INV-IAM-02; API/event contract tests; requirement IAM-02-R04</w:t>
            </w:r>
          </w:p>
        </w:tc>
        <w:tc>
          <w:tcPr>
            <w:tcW w:type="dxa" w:w="1531"/>
            <w:tcMar>
              <w:top w:w="70" w:type="dxa"/>
              <w:left w:w="80" w:type="dxa"/>
              <w:bottom w:w="70" w:type="dxa"/>
              <w:right w:w="80" w:type="dxa"/>
            </w:tcMar>
          </w:tcPr>
          <w:p>
            <w:r>
              <w:rPr>
                <w:sz w:val="15"/>
              </w:rPr>
              <w:t>§28; RB-IAM-02</w:t>
            </w:r>
          </w:p>
        </w:tc>
        <w:tc>
          <w:tcPr>
            <w:tcW w:type="dxa" w:w="1531"/>
            <w:tcMar>
              <w:top w:w="70" w:type="dxa"/>
              <w:left w:w="80" w:type="dxa"/>
              <w:bottom w:w="70" w:type="dxa"/>
              <w:right w:w="80" w:type="dxa"/>
            </w:tcMar>
          </w:tcPr>
          <w:p>
            <w:r>
              <w:rPr>
                <w:sz w:val="15"/>
              </w:rPr>
              <w:t>DEFERRED - V2 Platform</w:t>
            </w:r>
          </w:p>
        </w:tc>
      </w:tr>
      <w:tr>
        <w:tc>
          <w:tcPr>
            <w:tcW w:type="dxa" w:w="1531"/>
            <w:tcMar>
              <w:top w:w="70" w:type="dxa"/>
              <w:left w:w="80" w:type="dxa"/>
              <w:bottom w:w="70" w:type="dxa"/>
              <w:right w:w="80" w:type="dxa"/>
            </w:tcMar>
          </w:tcPr>
          <w:p>
            <w:r>
              <w:rPr>
                <w:sz w:val="15"/>
              </w:rPr>
              <w:t>IAM-02-R05</w:t>
            </w:r>
          </w:p>
        </w:tc>
        <w:tc>
          <w:tcPr>
            <w:tcW w:type="dxa" w:w="1531"/>
            <w:tcMar>
              <w:top w:w="70" w:type="dxa"/>
              <w:left w:w="80" w:type="dxa"/>
              <w:bottom w:w="70" w:type="dxa"/>
              <w:right w:w="80" w:type="dxa"/>
            </w:tcMar>
          </w:tcPr>
          <w:p>
            <w:r>
              <w:rPr>
                <w:sz w:val="15"/>
              </w:rPr>
              <w:t>Biometric Identity &amp; Physical Access Methods</w:t>
            </w:r>
          </w:p>
        </w:tc>
        <w:tc>
          <w:tcPr>
            <w:tcW w:type="dxa" w:w="1531"/>
            <w:tcMar>
              <w:top w:w="70" w:type="dxa"/>
              <w:left w:w="80" w:type="dxa"/>
              <w:bottom w:w="70" w:type="dxa"/>
              <w:right w:w="80" w:type="dxa"/>
            </w:tcMar>
          </w:tcPr>
          <w:p>
            <w:r>
              <w:rPr>
                <w:sz w:val="15"/>
              </w:rPr>
              <w:t>Separate enrollment and policies for member access, staff attendance and high-security zones.</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V2 Platform</w:t>
            </w:r>
          </w:p>
        </w:tc>
        <w:tc>
          <w:tcPr>
            <w:tcW w:type="dxa" w:w="1531"/>
            <w:tcMar>
              <w:top w:w="70" w:type="dxa"/>
              <w:left w:w="80" w:type="dxa"/>
              <w:bottom w:w="70" w:type="dxa"/>
              <w:right w:w="80" w:type="dxa"/>
            </w:tcMar>
          </w:tcPr>
          <w:p>
            <w:r>
              <w:rPr>
                <w:sz w:val="15"/>
              </w:rPr>
              <w:t>IAM-02</w:t>
            </w:r>
          </w:p>
        </w:tc>
        <w:tc>
          <w:tcPr>
            <w:tcW w:type="dxa" w:w="1531"/>
            <w:tcMar>
              <w:top w:w="70" w:type="dxa"/>
              <w:left w:w="80" w:type="dxa"/>
              <w:bottom w:w="70" w:type="dxa"/>
              <w:right w:w="80" w:type="dxa"/>
            </w:tcMar>
          </w:tcPr>
          <w:p>
            <w:r>
              <w:rPr>
                <w:sz w:val="15"/>
              </w:rPr>
              <w:t>§10.6 IAM-02 Implementation Contract; §8/§16/§21</w:t>
            </w:r>
          </w:p>
        </w:tc>
        <w:tc>
          <w:tcPr>
            <w:tcW w:type="dxa" w:w="1531"/>
            <w:tcMar>
              <w:top w:w="70" w:type="dxa"/>
              <w:left w:w="80" w:type="dxa"/>
              <w:bottom w:w="70" w:type="dxa"/>
              <w:right w:w="80" w:type="dxa"/>
            </w:tcMar>
          </w:tcPr>
          <w:p>
            <w:r>
              <w:rPr>
                <w:sz w:val="15"/>
              </w:rPr>
              <w:t>§27; INV-IAM-02; API/event contract tests; requirement IAM-02-R05</w:t>
            </w:r>
          </w:p>
        </w:tc>
        <w:tc>
          <w:tcPr>
            <w:tcW w:type="dxa" w:w="1531"/>
            <w:tcMar>
              <w:top w:w="70" w:type="dxa"/>
              <w:left w:w="80" w:type="dxa"/>
              <w:bottom w:w="70" w:type="dxa"/>
              <w:right w:w="80" w:type="dxa"/>
            </w:tcMar>
          </w:tcPr>
          <w:p>
            <w:r>
              <w:rPr>
                <w:sz w:val="15"/>
              </w:rPr>
              <w:t>§28; RB-IAM-02</w:t>
            </w:r>
          </w:p>
        </w:tc>
        <w:tc>
          <w:tcPr>
            <w:tcW w:type="dxa" w:w="1531"/>
            <w:tcMar>
              <w:top w:w="70" w:type="dxa"/>
              <w:left w:w="80" w:type="dxa"/>
              <w:bottom w:w="70" w:type="dxa"/>
              <w:right w:w="80" w:type="dxa"/>
            </w:tcMar>
          </w:tcPr>
          <w:p>
            <w:r>
              <w:rPr>
                <w:sz w:val="15"/>
              </w:rPr>
              <w:t>DEFERRED - V2 Platform</w:t>
            </w:r>
          </w:p>
        </w:tc>
      </w:tr>
      <w:tr>
        <w:tc>
          <w:tcPr>
            <w:tcW w:type="dxa" w:w="1531"/>
            <w:tcMar>
              <w:top w:w="70" w:type="dxa"/>
              <w:left w:w="80" w:type="dxa"/>
              <w:bottom w:w="70" w:type="dxa"/>
              <w:right w:w="80" w:type="dxa"/>
            </w:tcMar>
          </w:tcPr>
          <w:p>
            <w:r>
              <w:rPr>
                <w:sz w:val="15"/>
              </w:rPr>
              <w:t>IAM-02-R06</w:t>
            </w:r>
          </w:p>
        </w:tc>
        <w:tc>
          <w:tcPr>
            <w:tcW w:type="dxa" w:w="1531"/>
            <w:tcMar>
              <w:top w:w="70" w:type="dxa"/>
              <w:left w:w="80" w:type="dxa"/>
              <w:bottom w:w="70" w:type="dxa"/>
              <w:right w:w="80" w:type="dxa"/>
            </w:tcMar>
          </w:tcPr>
          <w:p>
            <w:r>
              <w:rPr>
                <w:sz w:val="15"/>
              </w:rPr>
              <w:t>Biometric Identity &amp; Physical Access Methods</w:t>
            </w:r>
          </w:p>
        </w:tc>
        <w:tc>
          <w:tcPr>
            <w:tcW w:type="dxa" w:w="1531"/>
            <w:tcMar>
              <w:top w:w="70" w:type="dxa"/>
              <w:left w:w="80" w:type="dxa"/>
              <w:bottom w:w="70" w:type="dxa"/>
              <w:right w:w="80" w:type="dxa"/>
            </w:tcMar>
          </w:tcPr>
          <w:p>
            <w:r>
              <w:rPr>
                <w:sz w:val="15"/>
              </w:rPr>
              <w:t>Identity Center showing methods, devices, consent, recent access and the ability to revoke.</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V2 Platform</w:t>
            </w:r>
          </w:p>
        </w:tc>
        <w:tc>
          <w:tcPr>
            <w:tcW w:type="dxa" w:w="1531"/>
            <w:tcMar>
              <w:top w:w="70" w:type="dxa"/>
              <w:left w:w="80" w:type="dxa"/>
              <w:bottom w:w="70" w:type="dxa"/>
              <w:right w:w="80" w:type="dxa"/>
            </w:tcMar>
          </w:tcPr>
          <w:p>
            <w:r>
              <w:rPr>
                <w:sz w:val="15"/>
              </w:rPr>
              <w:t>IAM-02</w:t>
            </w:r>
          </w:p>
        </w:tc>
        <w:tc>
          <w:tcPr>
            <w:tcW w:type="dxa" w:w="1531"/>
            <w:tcMar>
              <w:top w:w="70" w:type="dxa"/>
              <w:left w:w="80" w:type="dxa"/>
              <w:bottom w:w="70" w:type="dxa"/>
              <w:right w:w="80" w:type="dxa"/>
            </w:tcMar>
          </w:tcPr>
          <w:p>
            <w:r>
              <w:rPr>
                <w:sz w:val="15"/>
              </w:rPr>
              <w:t>§10.6 IAM-02 Implementation Contract; §8/§16/§21</w:t>
            </w:r>
          </w:p>
        </w:tc>
        <w:tc>
          <w:tcPr>
            <w:tcW w:type="dxa" w:w="1531"/>
            <w:tcMar>
              <w:top w:w="70" w:type="dxa"/>
              <w:left w:w="80" w:type="dxa"/>
              <w:bottom w:w="70" w:type="dxa"/>
              <w:right w:w="80" w:type="dxa"/>
            </w:tcMar>
          </w:tcPr>
          <w:p>
            <w:r>
              <w:rPr>
                <w:sz w:val="15"/>
              </w:rPr>
              <w:t>§27; INV-IAM-02; API/event contract tests; requirement IAM-02-R06</w:t>
            </w:r>
          </w:p>
        </w:tc>
        <w:tc>
          <w:tcPr>
            <w:tcW w:type="dxa" w:w="1531"/>
            <w:tcMar>
              <w:top w:w="70" w:type="dxa"/>
              <w:left w:w="80" w:type="dxa"/>
              <w:bottom w:w="70" w:type="dxa"/>
              <w:right w:w="80" w:type="dxa"/>
            </w:tcMar>
          </w:tcPr>
          <w:p>
            <w:r>
              <w:rPr>
                <w:sz w:val="15"/>
              </w:rPr>
              <w:t>§28; RB-IAM-02</w:t>
            </w:r>
          </w:p>
        </w:tc>
        <w:tc>
          <w:tcPr>
            <w:tcW w:type="dxa" w:w="1531"/>
            <w:tcMar>
              <w:top w:w="70" w:type="dxa"/>
              <w:left w:w="80" w:type="dxa"/>
              <w:bottom w:w="70" w:type="dxa"/>
              <w:right w:w="80" w:type="dxa"/>
            </w:tcMar>
          </w:tcPr>
          <w:p>
            <w:r>
              <w:rPr>
                <w:sz w:val="15"/>
              </w:rPr>
              <w:t>DEFERRED - V2 Platform</w:t>
            </w:r>
          </w:p>
        </w:tc>
      </w:tr>
      <w:tr>
        <w:tc>
          <w:tcPr>
            <w:tcW w:type="dxa" w:w="1531"/>
            <w:tcMar>
              <w:top w:w="70" w:type="dxa"/>
              <w:left w:w="80" w:type="dxa"/>
              <w:bottom w:w="70" w:type="dxa"/>
              <w:right w:w="80" w:type="dxa"/>
            </w:tcMar>
          </w:tcPr>
          <w:p>
            <w:r>
              <w:rPr>
                <w:sz w:val="15"/>
              </w:rPr>
              <w:t>IAM-02-R07</w:t>
            </w:r>
          </w:p>
        </w:tc>
        <w:tc>
          <w:tcPr>
            <w:tcW w:type="dxa" w:w="1531"/>
            <w:tcMar>
              <w:top w:w="70" w:type="dxa"/>
              <w:left w:w="80" w:type="dxa"/>
              <w:bottom w:w="70" w:type="dxa"/>
              <w:right w:w="80" w:type="dxa"/>
            </w:tcMar>
          </w:tcPr>
          <w:p>
            <w:r>
              <w:rPr>
                <w:sz w:val="15"/>
              </w:rPr>
              <w:t>Biometric Identity &amp; Physical Access Methods</w:t>
            </w:r>
          </w:p>
        </w:tc>
        <w:tc>
          <w:tcPr>
            <w:tcW w:type="dxa" w:w="1531"/>
            <w:tcMar>
              <w:top w:w="70" w:type="dxa"/>
              <w:left w:w="80" w:type="dxa"/>
              <w:bottom w:w="70" w:type="dxa"/>
              <w:right w:w="80" w:type="dxa"/>
            </w:tcMar>
          </w:tcPr>
          <w:p>
            <w:r>
              <w:rPr>
                <w:sz w:val="15"/>
              </w:rPr>
              <w:t>Edge decision support for low-latency entry with secure synchronization and central policy validation.</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V2 Platform</w:t>
            </w:r>
          </w:p>
        </w:tc>
        <w:tc>
          <w:tcPr>
            <w:tcW w:type="dxa" w:w="1531"/>
            <w:tcMar>
              <w:top w:w="70" w:type="dxa"/>
              <w:left w:w="80" w:type="dxa"/>
              <w:bottom w:w="70" w:type="dxa"/>
              <w:right w:w="80" w:type="dxa"/>
            </w:tcMar>
          </w:tcPr>
          <w:p>
            <w:r>
              <w:rPr>
                <w:sz w:val="15"/>
              </w:rPr>
              <w:t>IAM-02</w:t>
            </w:r>
          </w:p>
        </w:tc>
        <w:tc>
          <w:tcPr>
            <w:tcW w:type="dxa" w:w="1531"/>
            <w:tcMar>
              <w:top w:w="70" w:type="dxa"/>
              <w:left w:w="80" w:type="dxa"/>
              <w:bottom w:w="70" w:type="dxa"/>
              <w:right w:w="80" w:type="dxa"/>
            </w:tcMar>
          </w:tcPr>
          <w:p>
            <w:r>
              <w:rPr>
                <w:sz w:val="15"/>
              </w:rPr>
              <w:t>§10.6 IAM-02 Implementation Contract; §8/§16/§21</w:t>
            </w:r>
          </w:p>
        </w:tc>
        <w:tc>
          <w:tcPr>
            <w:tcW w:type="dxa" w:w="1531"/>
            <w:tcMar>
              <w:top w:w="70" w:type="dxa"/>
              <w:left w:w="80" w:type="dxa"/>
              <w:bottom w:w="70" w:type="dxa"/>
              <w:right w:w="80" w:type="dxa"/>
            </w:tcMar>
          </w:tcPr>
          <w:p>
            <w:r>
              <w:rPr>
                <w:sz w:val="15"/>
              </w:rPr>
              <w:t>§27; INV-IAM-02; API/event contract tests; requirement IAM-02-R07</w:t>
            </w:r>
          </w:p>
        </w:tc>
        <w:tc>
          <w:tcPr>
            <w:tcW w:type="dxa" w:w="1531"/>
            <w:tcMar>
              <w:top w:w="70" w:type="dxa"/>
              <w:left w:w="80" w:type="dxa"/>
              <w:bottom w:w="70" w:type="dxa"/>
              <w:right w:w="80" w:type="dxa"/>
            </w:tcMar>
          </w:tcPr>
          <w:p>
            <w:r>
              <w:rPr>
                <w:sz w:val="15"/>
              </w:rPr>
              <w:t>§28; RB-IAM-02</w:t>
            </w:r>
          </w:p>
        </w:tc>
        <w:tc>
          <w:tcPr>
            <w:tcW w:type="dxa" w:w="1531"/>
            <w:tcMar>
              <w:top w:w="70" w:type="dxa"/>
              <w:left w:w="80" w:type="dxa"/>
              <w:bottom w:w="70" w:type="dxa"/>
              <w:right w:w="80" w:type="dxa"/>
            </w:tcMar>
          </w:tcPr>
          <w:p>
            <w:r>
              <w:rPr>
                <w:sz w:val="15"/>
              </w:rPr>
              <w:t>DEFERRED - V2 Platform</w:t>
            </w:r>
          </w:p>
        </w:tc>
      </w:tr>
      <w:tr>
        <w:tc>
          <w:tcPr>
            <w:tcW w:type="dxa" w:w="1531"/>
            <w:tcMar>
              <w:top w:w="70" w:type="dxa"/>
              <w:left w:w="80" w:type="dxa"/>
              <w:bottom w:w="70" w:type="dxa"/>
              <w:right w:w="80" w:type="dxa"/>
            </w:tcMar>
          </w:tcPr>
          <w:p>
            <w:r>
              <w:rPr>
                <w:sz w:val="15"/>
              </w:rPr>
              <w:t>IAM-03-R01</w:t>
            </w:r>
          </w:p>
        </w:tc>
        <w:tc>
          <w:tcPr>
            <w:tcW w:type="dxa" w:w="1531"/>
            <w:tcMar>
              <w:top w:w="70" w:type="dxa"/>
              <w:left w:w="80" w:type="dxa"/>
              <w:bottom w:w="70" w:type="dxa"/>
              <w:right w:w="80" w:type="dxa"/>
            </w:tcMar>
          </w:tcPr>
          <w:p>
            <w:r>
              <w:rPr>
                <w:sz w:val="15"/>
              </w:rPr>
              <w:t>Authorization, Roles, Permissions, Approvals &amp; Audit</w:t>
            </w:r>
          </w:p>
        </w:tc>
        <w:tc>
          <w:tcPr>
            <w:tcW w:type="dxa" w:w="1531"/>
            <w:tcMar>
              <w:top w:w="70" w:type="dxa"/>
              <w:left w:w="80" w:type="dxa"/>
              <w:bottom w:w="70" w:type="dxa"/>
              <w:right w:w="80" w:type="dxa"/>
            </w:tcMar>
          </w:tcPr>
          <w:p>
            <w:r>
              <w:rPr>
                <w:sz w:val="15"/>
              </w:rPr>
              <w:t>Tenant-scoped RBAC with custom roles, permission bundles and location/brand scope.</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IAM-03</w:t>
            </w:r>
          </w:p>
        </w:tc>
        <w:tc>
          <w:tcPr>
            <w:tcW w:type="dxa" w:w="1531"/>
            <w:tcMar>
              <w:top w:w="70" w:type="dxa"/>
              <w:left w:w="80" w:type="dxa"/>
              <w:bottom w:w="70" w:type="dxa"/>
              <w:right w:w="80" w:type="dxa"/>
            </w:tcMar>
          </w:tcPr>
          <w:p>
            <w:r>
              <w:rPr>
                <w:sz w:val="15"/>
              </w:rPr>
              <w:t>§10.7 IAM-03 Implementation Contract; §8/§16/§21</w:t>
            </w:r>
          </w:p>
        </w:tc>
        <w:tc>
          <w:tcPr>
            <w:tcW w:type="dxa" w:w="1531"/>
            <w:tcMar>
              <w:top w:w="70" w:type="dxa"/>
              <w:left w:w="80" w:type="dxa"/>
              <w:bottom w:w="70" w:type="dxa"/>
              <w:right w:w="80" w:type="dxa"/>
            </w:tcMar>
          </w:tcPr>
          <w:p>
            <w:r>
              <w:rPr>
                <w:sz w:val="15"/>
              </w:rPr>
              <w:t>§27; INV-IAM-03; API/event contract tests; requirement IAM-03-R01</w:t>
            </w:r>
          </w:p>
        </w:tc>
        <w:tc>
          <w:tcPr>
            <w:tcW w:type="dxa" w:w="1531"/>
            <w:tcMar>
              <w:top w:w="70" w:type="dxa"/>
              <w:left w:w="80" w:type="dxa"/>
              <w:bottom w:w="70" w:type="dxa"/>
              <w:right w:w="80" w:type="dxa"/>
            </w:tcMar>
          </w:tcPr>
          <w:p>
            <w:r>
              <w:rPr>
                <w:sz w:val="15"/>
              </w:rPr>
              <w:t>§28; RB-IAM-03</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IAM-03-R02</w:t>
            </w:r>
          </w:p>
        </w:tc>
        <w:tc>
          <w:tcPr>
            <w:tcW w:type="dxa" w:w="1531"/>
            <w:tcMar>
              <w:top w:w="70" w:type="dxa"/>
              <w:left w:w="80" w:type="dxa"/>
              <w:bottom w:w="70" w:type="dxa"/>
              <w:right w:w="80" w:type="dxa"/>
            </w:tcMar>
          </w:tcPr>
          <w:p>
            <w:r>
              <w:rPr>
                <w:sz w:val="15"/>
              </w:rPr>
              <w:t>Authorization, Roles, Permissions, Approvals &amp; Audit</w:t>
            </w:r>
          </w:p>
        </w:tc>
        <w:tc>
          <w:tcPr>
            <w:tcW w:type="dxa" w:w="1531"/>
            <w:tcMar>
              <w:top w:w="70" w:type="dxa"/>
              <w:left w:w="80" w:type="dxa"/>
              <w:bottom w:w="70" w:type="dxa"/>
              <w:right w:w="80" w:type="dxa"/>
            </w:tcMar>
          </w:tcPr>
          <w:p>
            <w:r>
              <w:rPr>
                <w:sz w:val="15"/>
              </w:rPr>
              <w:t>Attribute- and relationship-based policies for assigned clients, sensitive notes, minors and health data.</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IAM-03</w:t>
            </w:r>
          </w:p>
        </w:tc>
        <w:tc>
          <w:tcPr>
            <w:tcW w:type="dxa" w:w="1531"/>
            <w:tcMar>
              <w:top w:w="70" w:type="dxa"/>
              <w:left w:w="80" w:type="dxa"/>
              <w:bottom w:w="70" w:type="dxa"/>
              <w:right w:w="80" w:type="dxa"/>
            </w:tcMar>
          </w:tcPr>
          <w:p>
            <w:r>
              <w:rPr>
                <w:sz w:val="15"/>
              </w:rPr>
              <w:t>§10.7 IAM-03 Implementation Contract; §8/§16/§21</w:t>
            </w:r>
          </w:p>
        </w:tc>
        <w:tc>
          <w:tcPr>
            <w:tcW w:type="dxa" w:w="1531"/>
            <w:tcMar>
              <w:top w:w="70" w:type="dxa"/>
              <w:left w:w="80" w:type="dxa"/>
              <w:bottom w:w="70" w:type="dxa"/>
              <w:right w:w="80" w:type="dxa"/>
            </w:tcMar>
          </w:tcPr>
          <w:p>
            <w:r>
              <w:rPr>
                <w:sz w:val="15"/>
              </w:rPr>
              <w:t>§27; INV-IAM-03; API/event contract tests; requirement IAM-03-R02</w:t>
            </w:r>
          </w:p>
        </w:tc>
        <w:tc>
          <w:tcPr>
            <w:tcW w:type="dxa" w:w="1531"/>
            <w:tcMar>
              <w:top w:w="70" w:type="dxa"/>
              <w:left w:w="80" w:type="dxa"/>
              <w:bottom w:w="70" w:type="dxa"/>
              <w:right w:w="80" w:type="dxa"/>
            </w:tcMar>
          </w:tcPr>
          <w:p>
            <w:r>
              <w:rPr>
                <w:sz w:val="15"/>
              </w:rPr>
              <w:t>§28; RB-IAM-03</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IAM-03-R03</w:t>
            </w:r>
          </w:p>
        </w:tc>
        <w:tc>
          <w:tcPr>
            <w:tcW w:type="dxa" w:w="1531"/>
            <w:tcMar>
              <w:top w:w="70" w:type="dxa"/>
              <w:left w:w="80" w:type="dxa"/>
              <w:bottom w:w="70" w:type="dxa"/>
              <w:right w:w="80" w:type="dxa"/>
            </w:tcMar>
          </w:tcPr>
          <w:p>
            <w:r>
              <w:rPr>
                <w:sz w:val="15"/>
              </w:rPr>
              <w:t>Authorization, Roles, Permissions, Approvals &amp; Audit</w:t>
            </w:r>
          </w:p>
        </w:tc>
        <w:tc>
          <w:tcPr>
            <w:tcW w:type="dxa" w:w="1531"/>
            <w:tcMar>
              <w:top w:w="70" w:type="dxa"/>
              <w:left w:w="80" w:type="dxa"/>
              <w:bottom w:w="70" w:type="dxa"/>
              <w:right w:w="80" w:type="dxa"/>
            </w:tcMar>
          </w:tcPr>
          <w:p>
            <w:r>
              <w:rPr>
                <w:sz w:val="15"/>
              </w:rPr>
              <w:t>Field-level masking for financial, biometric, health, identity and contact attributes.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IAM-03</w:t>
            </w:r>
          </w:p>
        </w:tc>
        <w:tc>
          <w:tcPr>
            <w:tcW w:type="dxa" w:w="1531"/>
            <w:tcMar>
              <w:top w:w="70" w:type="dxa"/>
              <w:left w:w="80" w:type="dxa"/>
              <w:bottom w:w="70" w:type="dxa"/>
              <w:right w:w="80" w:type="dxa"/>
            </w:tcMar>
          </w:tcPr>
          <w:p>
            <w:r>
              <w:rPr>
                <w:sz w:val="15"/>
              </w:rPr>
              <w:t>§10.7 IAM-03 Implementation Contract; §8/§16/§21</w:t>
            </w:r>
          </w:p>
        </w:tc>
        <w:tc>
          <w:tcPr>
            <w:tcW w:type="dxa" w:w="1531"/>
            <w:tcMar>
              <w:top w:w="70" w:type="dxa"/>
              <w:left w:w="80" w:type="dxa"/>
              <w:bottom w:w="70" w:type="dxa"/>
              <w:right w:w="80" w:type="dxa"/>
            </w:tcMar>
          </w:tcPr>
          <w:p>
            <w:r>
              <w:rPr>
                <w:sz w:val="15"/>
              </w:rPr>
              <w:t>§27; INV-IAM-03; API/event contract tests; requirement IAM-03-R03</w:t>
            </w:r>
          </w:p>
        </w:tc>
        <w:tc>
          <w:tcPr>
            <w:tcW w:type="dxa" w:w="1531"/>
            <w:tcMar>
              <w:top w:w="70" w:type="dxa"/>
              <w:left w:w="80" w:type="dxa"/>
              <w:bottom w:w="70" w:type="dxa"/>
              <w:right w:w="80" w:type="dxa"/>
            </w:tcMar>
          </w:tcPr>
          <w:p>
            <w:r>
              <w:rPr>
                <w:sz w:val="15"/>
              </w:rPr>
              <w:t>§28; RB-IAM-03</w:t>
            </w:r>
          </w:p>
        </w:tc>
        <w:tc>
          <w:tcPr>
            <w:tcW w:type="dxa" w:w="1531"/>
            <w:tcMar>
              <w:top w:w="70" w:type="dxa"/>
              <w:left w:w="80" w:type="dxa"/>
              <w:bottom w:w="70" w:type="dxa"/>
              <w:right w:w="80" w:type="dxa"/>
            </w:tcMar>
          </w:tcPr>
          <w:p>
            <w:r>
              <w:rPr>
                <w:sz w:val="15"/>
              </w:rPr>
              <w:t>PARTIAL - external validation / later adapter evidence required</w:t>
            </w:r>
          </w:p>
        </w:tc>
      </w:tr>
      <w:tr>
        <w:tc>
          <w:tcPr>
            <w:tcW w:type="dxa" w:w="1531"/>
            <w:tcMar>
              <w:top w:w="70" w:type="dxa"/>
              <w:left w:w="80" w:type="dxa"/>
              <w:bottom w:w="70" w:type="dxa"/>
              <w:right w:w="80" w:type="dxa"/>
            </w:tcMar>
          </w:tcPr>
          <w:p>
            <w:r>
              <w:rPr>
                <w:sz w:val="15"/>
              </w:rPr>
              <w:t>IAM-03-R04</w:t>
            </w:r>
          </w:p>
        </w:tc>
        <w:tc>
          <w:tcPr>
            <w:tcW w:type="dxa" w:w="1531"/>
            <w:tcMar>
              <w:top w:w="70" w:type="dxa"/>
              <w:left w:w="80" w:type="dxa"/>
              <w:bottom w:w="70" w:type="dxa"/>
              <w:right w:w="80" w:type="dxa"/>
            </w:tcMar>
          </w:tcPr>
          <w:p>
            <w:r>
              <w:rPr>
                <w:sz w:val="15"/>
              </w:rPr>
              <w:t>Authorization, Roles, Permissions, Approvals &amp; Audit</w:t>
            </w:r>
          </w:p>
        </w:tc>
        <w:tc>
          <w:tcPr>
            <w:tcW w:type="dxa" w:w="1531"/>
            <w:tcMar>
              <w:top w:w="70" w:type="dxa"/>
              <w:left w:w="80" w:type="dxa"/>
              <w:bottom w:w="70" w:type="dxa"/>
              <w:right w:w="80" w:type="dxa"/>
            </w:tcMar>
          </w:tcPr>
          <w:p>
            <w:r>
              <w:rPr>
                <w:sz w:val="15"/>
              </w:rPr>
              <w:t>Delegation, temporary access, break-glass access and separation-of-duties policies.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IAM-03</w:t>
            </w:r>
          </w:p>
        </w:tc>
        <w:tc>
          <w:tcPr>
            <w:tcW w:type="dxa" w:w="1531"/>
            <w:tcMar>
              <w:top w:w="70" w:type="dxa"/>
              <w:left w:w="80" w:type="dxa"/>
              <w:bottom w:w="70" w:type="dxa"/>
              <w:right w:w="80" w:type="dxa"/>
            </w:tcMar>
          </w:tcPr>
          <w:p>
            <w:r>
              <w:rPr>
                <w:sz w:val="15"/>
              </w:rPr>
              <w:t>§10.7 IAM-03 Implementation Contract; §8/§16/§21</w:t>
            </w:r>
          </w:p>
        </w:tc>
        <w:tc>
          <w:tcPr>
            <w:tcW w:type="dxa" w:w="1531"/>
            <w:tcMar>
              <w:top w:w="70" w:type="dxa"/>
              <w:left w:w="80" w:type="dxa"/>
              <w:bottom w:w="70" w:type="dxa"/>
              <w:right w:w="80" w:type="dxa"/>
            </w:tcMar>
          </w:tcPr>
          <w:p>
            <w:r>
              <w:rPr>
                <w:sz w:val="15"/>
              </w:rPr>
              <w:t>§27; INV-IAM-03; API/event contract tests; requirement IAM-03-R04</w:t>
            </w:r>
          </w:p>
        </w:tc>
        <w:tc>
          <w:tcPr>
            <w:tcW w:type="dxa" w:w="1531"/>
            <w:tcMar>
              <w:top w:w="70" w:type="dxa"/>
              <w:left w:w="80" w:type="dxa"/>
              <w:bottom w:w="70" w:type="dxa"/>
              <w:right w:w="80" w:type="dxa"/>
            </w:tcMar>
          </w:tcPr>
          <w:p>
            <w:r>
              <w:rPr>
                <w:sz w:val="15"/>
              </w:rPr>
              <w:t>§28; RB-IAM-03</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IAM-03-R05</w:t>
            </w:r>
          </w:p>
        </w:tc>
        <w:tc>
          <w:tcPr>
            <w:tcW w:type="dxa" w:w="1531"/>
            <w:tcMar>
              <w:top w:w="70" w:type="dxa"/>
              <w:left w:w="80" w:type="dxa"/>
              <w:bottom w:w="70" w:type="dxa"/>
              <w:right w:w="80" w:type="dxa"/>
            </w:tcMar>
          </w:tcPr>
          <w:p>
            <w:r>
              <w:rPr>
                <w:sz w:val="15"/>
              </w:rPr>
              <w:t>Authorization, Roles, Permissions, Approvals &amp; Audit</w:t>
            </w:r>
          </w:p>
        </w:tc>
        <w:tc>
          <w:tcPr>
            <w:tcW w:type="dxa" w:w="1531"/>
            <w:tcMar>
              <w:top w:w="70" w:type="dxa"/>
              <w:left w:w="80" w:type="dxa"/>
              <w:bottom w:w="70" w:type="dxa"/>
              <w:right w:w="80" w:type="dxa"/>
            </w:tcMar>
          </w:tcPr>
          <w:p>
            <w:r>
              <w:rPr>
                <w:sz w:val="15"/>
              </w:rPr>
              <w:t>Approval policies by amount, risk, role, location and action type.</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IAM-03</w:t>
            </w:r>
          </w:p>
        </w:tc>
        <w:tc>
          <w:tcPr>
            <w:tcW w:type="dxa" w:w="1531"/>
            <w:tcMar>
              <w:top w:w="70" w:type="dxa"/>
              <w:left w:w="80" w:type="dxa"/>
              <w:bottom w:w="70" w:type="dxa"/>
              <w:right w:w="80" w:type="dxa"/>
            </w:tcMar>
          </w:tcPr>
          <w:p>
            <w:r>
              <w:rPr>
                <w:sz w:val="15"/>
              </w:rPr>
              <w:t>§10.7 IAM-03 Implementation Contract; §8/§16/§21</w:t>
            </w:r>
          </w:p>
        </w:tc>
        <w:tc>
          <w:tcPr>
            <w:tcW w:type="dxa" w:w="1531"/>
            <w:tcMar>
              <w:top w:w="70" w:type="dxa"/>
              <w:left w:w="80" w:type="dxa"/>
              <w:bottom w:w="70" w:type="dxa"/>
              <w:right w:w="80" w:type="dxa"/>
            </w:tcMar>
          </w:tcPr>
          <w:p>
            <w:r>
              <w:rPr>
                <w:sz w:val="15"/>
              </w:rPr>
              <w:t>§27; INV-IAM-03; API/event contract tests; requirement IAM-03-R05</w:t>
            </w:r>
          </w:p>
        </w:tc>
        <w:tc>
          <w:tcPr>
            <w:tcW w:type="dxa" w:w="1531"/>
            <w:tcMar>
              <w:top w:w="70" w:type="dxa"/>
              <w:left w:w="80" w:type="dxa"/>
              <w:bottom w:w="70" w:type="dxa"/>
              <w:right w:w="80" w:type="dxa"/>
            </w:tcMar>
          </w:tcPr>
          <w:p>
            <w:r>
              <w:rPr>
                <w:sz w:val="15"/>
              </w:rPr>
              <w:t>§28; RB-IAM-03</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IAM-03-R06</w:t>
            </w:r>
          </w:p>
        </w:tc>
        <w:tc>
          <w:tcPr>
            <w:tcW w:type="dxa" w:w="1531"/>
            <w:tcMar>
              <w:top w:w="70" w:type="dxa"/>
              <w:left w:w="80" w:type="dxa"/>
              <w:bottom w:w="70" w:type="dxa"/>
              <w:right w:w="80" w:type="dxa"/>
            </w:tcMar>
          </w:tcPr>
          <w:p>
            <w:r>
              <w:rPr>
                <w:sz w:val="15"/>
              </w:rPr>
              <w:t>Authorization, Roles, Permissions, Approvals &amp; Audit</w:t>
            </w:r>
          </w:p>
        </w:tc>
        <w:tc>
          <w:tcPr>
            <w:tcW w:type="dxa" w:w="1531"/>
            <w:tcMar>
              <w:top w:w="70" w:type="dxa"/>
              <w:left w:w="80" w:type="dxa"/>
              <w:bottom w:w="70" w:type="dxa"/>
              <w:right w:w="80" w:type="dxa"/>
            </w:tcMar>
          </w:tcPr>
          <w:p>
            <w:r>
              <w:rPr>
                <w:sz w:val="15"/>
              </w:rPr>
              <w:t>Immutable audit for authentication, data access, configuration, finance, access, AI and support.</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IAM-03</w:t>
            </w:r>
          </w:p>
        </w:tc>
        <w:tc>
          <w:tcPr>
            <w:tcW w:type="dxa" w:w="1531"/>
            <w:tcMar>
              <w:top w:w="70" w:type="dxa"/>
              <w:left w:w="80" w:type="dxa"/>
              <w:bottom w:w="70" w:type="dxa"/>
              <w:right w:w="80" w:type="dxa"/>
            </w:tcMar>
          </w:tcPr>
          <w:p>
            <w:r>
              <w:rPr>
                <w:sz w:val="15"/>
              </w:rPr>
              <w:t>§10.7 IAM-03 Implementation Contract; §8/§16/§21</w:t>
            </w:r>
          </w:p>
        </w:tc>
        <w:tc>
          <w:tcPr>
            <w:tcW w:type="dxa" w:w="1531"/>
            <w:tcMar>
              <w:top w:w="70" w:type="dxa"/>
              <w:left w:w="80" w:type="dxa"/>
              <w:bottom w:w="70" w:type="dxa"/>
              <w:right w:w="80" w:type="dxa"/>
            </w:tcMar>
          </w:tcPr>
          <w:p>
            <w:r>
              <w:rPr>
                <w:sz w:val="15"/>
              </w:rPr>
              <w:t>§27; INV-IAM-03; API/event contract tests; requirement IAM-03-R06</w:t>
            </w:r>
          </w:p>
        </w:tc>
        <w:tc>
          <w:tcPr>
            <w:tcW w:type="dxa" w:w="1531"/>
            <w:tcMar>
              <w:top w:w="70" w:type="dxa"/>
              <w:left w:w="80" w:type="dxa"/>
              <w:bottom w:w="70" w:type="dxa"/>
              <w:right w:w="80" w:type="dxa"/>
            </w:tcMar>
          </w:tcPr>
          <w:p>
            <w:r>
              <w:rPr>
                <w:sz w:val="15"/>
              </w:rPr>
              <w:t>§28; RB-IAM-03</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IAM-03-R07</w:t>
            </w:r>
          </w:p>
        </w:tc>
        <w:tc>
          <w:tcPr>
            <w:tcW w:type="dxa" w:w="1531"/>
            <w:tcMar>
              <w:top w:w="70" w:type="dxa"/>
              <w:left w:w="80" w:type="dxa"/>
              <w:bottom w:w="70" w:type="dxa"/>
              <w:right w:w="80" w:type="dxa"/>
            </w:tcMar>
          </w:tcPr>
          <w:p>
            <w:r>
              <w:rPr>
                <w:sz w:val="15"/>
              </w:rPr>
              <w:t>Authorization, Roles, Permissions, Approvals &amp; Audit</w:t>
            </w:r>
          </w:p>
        </w:tc>
        <w:tc>
          <w:tcPr>
            <w:tcW w:type="dxa" w:w="1531"/>
            <w:tcMar>
              <w:top w:w="70" w:type="dxa"/>
              <w:left w:w="80" w:type="dxa"/>
              <w:bottom w:w="70" w:type="dxa"/>
              <w:right w:w="80" w:type="dxa"/>
            </w:tcMar>
          </w:tcPr>
          <w:p>
            <w:r>
              <w:rPr>
                <w:sz w:val="15"/>
              </w:rPr>
              <w:t>Permission simulator and access review/certification for enterprise administrators.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IAM-03</w:t>
            </w:r>
          </w:p>
        </w:tc>
        <w:tc>
          <w:tcPr>
            <w:tcW w:type="dxa" w:w="1531"/>
            <w:tcMar>
              <w:top w:w="70" w:type="dxa"/>
              <w:left w:w="80" w:type="dxa"/>
              <w:bottom w:w="70" w:type="dxa"/>
              <w:right w:w="80" w:type="dxa"/>
            </w:tcMar>
          </w:tcPr>
          <w:p>
            <w:r>
              <w:rPr>
                <w:sz w:val="15"/>
              </w:rPr>
              <w:t>§10.7 IAM-03 Implementation Contract; §8/§16/§21</w:t>
            </w:r>
          </w:p>
        </w:tc>
        <w:tc>
          <w:tcPr>
            <w:tcW w:type="dxa" w:w="1531"/>
            <w:tcMar>
              <w:top w:w="70" w:type="dxa"/>
              <w:left w:w="80" w:type="dxa"/>
              <w:bottom w:w="70" w:type="dxa"/>
              <w:right w:w="80" w:type="dxa"/>
            </w:tcMar>
          </w:tcPr>
          <w:p>
            <w:r>
              <w:rPr>
                <w:sz w:val="15"/>
              </w:rPr>
              <w:t>§27; INV-IAM-03; API/event contract tests; requirement IAM-03-R07</w:t>
            </w:r>
          </w:p>
        </w:tc>
        <w:tc>
          <w:tcPr>
            <w:tcW w:type="dxa" w:w="1531"/>
            <w:tcMar>
              <w:top w:w="70" w:type="dxa"/>
              <w:left w:w="80" w:type="dxa"/>
              <w:bottom w:w="70" w:type="dxa"/>
              <w:right w:w="80" w:type="dxa"/>
            </w:tcMar>
          </w:tcPr>
          <w:p>
            <w:r>
              <w:rPr>
                <w:sz w:val="15"/>
              </w:rPr>
              <w:t>§28; RB-IAM-03</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PPL-01-R01</w:t>
            </w:r>
          </w:p>
        </w:tc>
        <w:tc>
          <w:tcPr>
            <w:tcW w:type="dxa" w:w="1531"/>
            <w:tcMar>
              <w:top w:w="70" w:type="dxa"/>
              <w:left w:w="80" w:type="dxa"/>
              <w:bottom w:w="70" w:type="dxa"/>
              <w:right w:w="80" w:type="dxa"/>
            </w:tcMar>
          </w:tcPr>
          <w:p>
            <w:r>
              <w:rPr>
                <w:sz w:val="15"/>
              </w:rPr>
              <w:t>People, Profiles &amp; Member 360</w:t>
            </w:r>
          </w:p>
        </w:tc>
        <w:tc>
          <w:tcPr>
            <w:tcW w:type="dxa" w:w="1531"/>
            <w:tcMar>
              <w:top w:w="70" w:type="dxa"/>
              <w:left w:w="80" w:type="dxa"/>
              <w:bottom w:w="70" w:type="dxa"/>
              <w:right w:w="80" w:type="dxa"/>
            </w:tcMar>
          </w:tcPr>
          <w:p>
            <w:r>
              <w:rPr>
                <w:sz w:val="15"/>
              </w:rPr>
              <w:t>Canonical person record with tenant-specific profiles and role relationships.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PPL-01</w:t>
            </w:r>
          </w:p>
        </w:tc>
        <w:tc>
          <w:tcPr>
            <w:tcW w:type="dxa" w:w="1531"/>
            <w:tcMar>
              <w:top w:w="70" w:type="dxa"/>
              <w:left w:w="80" w:type="dxa"/>
              <w:bottom w:w="70" w:type="dxa"/>
              <w:right w:w="80" w:type="dxa"/>
            </w:tcMar>
          </w:tcPr>
          <w:p>
            <w:r>
              <w:rPr>
                <w:sz w:val="15"/>
              </w:rPr>
              <w:t>§10.8 PPL-01 Implementation Contract; §9/§18</w:t>
            </w:r>
          </w:p>
        </w:tc>
        <w:tc>
          <w:tcPr>
            <w:tcW w:type="dxa" w:w="1531"/>
            <w:tcMar>
              <w:top w:w="70" w:type="dxa"/>
              <w:left w:w="80" w:type="dxa"/>
              <w:bottom w:w="70" w:type="dxa"/>
              <w:right w:w="80" w:type="dxa"/>
            </w:tcMar>
          </w:tcPr>
          <w:p>
            <w:r>
              <w:rPr>
                <w:sz w:val="15"/>
              </w:rPr>
              <w:t>§27; INV-PPL-01; API/event contract tests; requirement PPL-01-R01</w:t>
            </w:r>
          </w:p>
        </w:tc>
        <w:tc>
          <w:tcPr>
            <w:tcW w:type="dxa" w:w="1531"/>
            <w:tcMar>
              <w:top w:w="70" w:type="dxa"/>
              <w:left w:w="80" w:type="dxa"/>
              <w:bottom w:w="70" w:type="dxa"/>
              <w:right w:w="80" w:type="dxa"/>
            </w:tcMar>
          </w:tcPr>
          <w:p>
            <w:r>
              <w:rPr>
                <w:sz w:val="15"/>
              </w:rPr>
              <w:t>§28; RB-PPL-01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PPL-01-R02</w:t>
            </w:r>
          </w:p>
        </w:tc>
        <w:tc>
          <w:tcPr>
            <w:tcW w:type="dxa" w:w="1531"/>
            <w:tcMar>
              <w:top w:w="70" w:type="dxa"/>
              <w:left w:w="80" w:type="dxa"/>
              <w:bottom w:w="70" w:type="dxa"/>
              <w:right w:w="80" w:type="dxa"/>
            </w:tcMar>
          </w:tcPr>
          <w:p>
            <w:r>
              <w:rPr>
                <w:sz w:val="15"/>
              </w:rPr>
              <w:t>People, Profiles &amp; Member 360</w:t>
            </w:r>
          </w:p>
        </w:tc>
        <w:tc>
          <w:tcPr>
            <w:tcW w:type="dxa" w:w="1531"/>
            <w:tcMar>
              <w:top w:w="70" w:type="dxa"/>
              <w:left w:w="80" w:type="dxa"/>
              <w:bottom w:w="70" w:type="dxa"/>
              <w:right w:w="80" w:type="dxa"/>
            </w:tcMar>
          </w:tcPr>
          <w:p>
            <w:r>
              <w:rPr>
                <w:sz w:val="15"/>
              </w:rPr>
              <w:t>Member 360 covering lifecycle, membership, entitlements, attendance, bookings, coaching, nutrition, progress, finance, messages, consent and support.</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PPL-01</w:t>
            </w:r>
          </w:p>
        </w:tc>
        <w:tc>
          <w:tcPr>
            <w:tcW w:type="dxa" w:w="1531"/>
            <w:tcMar>
              <w:top w:w="70" w:type="dxa"/>
              <w:left w:w="80" w:type="dxa"/>
              <w:bottom w:w="70" w:type="dxa"/>
              <w:right w:w="80" w:type="dxa"/>
            </w:tcMar>
          </w:tcPr>
          <w:p>
            <w:r>
              <w:rPr>
                <w:sz w:val="15"/>
              </w:rPr>
              <w:t>§10.8 PPL-01 Implementation Contract; §9/§18</w:t>
            </w:r>
          </w:p>
        </w:tc>
        <w:tc>
          <w:tcPr>
            <w:tcW w:type="dxa" w:w="1531"/>
            <w:tcMar>
              <w:top w:w="70" w:type="dxa"/>
              <w:left w:w="80" w:type="dxa"/>
              <w:bottom w:w="70" w:type="dxa"/>
              <w:right w:w="80" w:type="dxa"/>
            </w:tcMar>
          </w:tcPr>
          <w:p>
            <w:r>
              <w:rPr>
                <w:sz w:val="15"/>
              </w:rPr>
              <w:t>§27; INV-PPL-01; API/event contract tests; requirement PPL-01-R02</w:t>
            </w:r>
          </w:p>
        </w:tc>
        <w:tc>
          <w:tcPr>
            <w:tcW w:type="dxa" w:w="1531"/>
            <w:tcMar>
              <w:top w:w="70" w:type="dxa"/>
              <w:left w:w="80" w:type="dxa"/>
              <w:bottom w:w="70" w:type="dxa"/>
              <w:right w:w="80" w:type="dxa"/>
            </w:tcMar>
          </w:tcPr>
          <w:p>
            <w:r>
              <w:rPr>
                <w:sz w:val="15"/>
              </w:rPr>
              <w:t>§28; RB-PPL-01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PPL-01-R03</w:t>
            </w:r>
          </w:p>
        </w:tc>
        <w:tc>
          <w:tcPr>
            <w:tcW w:type="dxa" w:w="1531"/>
            <w:tcMar>
              <w:top w:w="70" w:type="dxa"/>
              <w:left w:w="80" w:type="dxa"/>
              <w:bottom w:w="70" w:type="dxa"/>
              <w:right w:w="80" w:type="dxa"/>
            </w:tcMar>
          </w:tcPr>
          <w:p>
            <w:r>
              <w:rPr>
                <w:sz w:val="15"/>
              </w:rPr>
              <w:t>People, Profiles &amp; Member 360</w:t>
            </w:r>
          </w:p>
        </w:tc>
        <w:tc>
          <w:tcPr>
            <w:tcW w:type="dxa" w:w="1531"/>
            <w:tcMar>
              <w:top w:w="70" w:type="dxa"/>
              <w:left w:w="80" w:type="dxa"/>
              <w:bottom w:w="70" w:type="dxa"/>
              <w:right w:w="80" w:type="dxa"/>
            </w:tcMar>
          </w:tcPr>
          <w:p>
            <w:r>
              <w:rPr>
                <w:sz w:val="15"/>
              </w:rPr>
              <w:t>Unified chronological timeline built from domain events with permission-aware visibility.</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PPL-01</w:t>
            </w:r>
          </w:p>
        </w:tc>
        <w:tc>
          <w:tcPr>
            <w:tcW w:type="dxa" w:w="1531"/>
            <w:tcMar>
              <w:top w:w="70" w:type="dxa"/>
              <w:left w:w="80" w:type="dxa"/>
              <w:bottom w:w="70" w:type="dxa"/>
              <w:right w:w="80" w:type="dxa"/>
            </w:tcMar>
          </w:tcPr>
          <w:p>
            <w:r>
              <w:rPr>
                <w:sz w:val="15"/>
              </w:rPr>
              <w:t>§10.8 PPL-01 Implementation Contract; §9/§18</w:t>
            </w:r>
          </w:p>
        </w:tc>
        <w:tc>
          <w:tcPr>
            <w:tcW w:type="dxa" w:w="1531"/>
            <w:tcMar>
              <w:top w:w="70" w:type="dxa"/>
              <w:left w:w="80" w:type="dxa"/>
              <w:bottom w:w="70" w:type="dxa"/>
              <w:right w:w="80" w:type="dxa"/>
            </w:tcMar>
          </w:tcPr>
          <w:p>
            <w:r>
              <w:rPr>
                <w:sz w:val="15"/>
              </w:rPr>
              <w:t>§27; INV-PPL-01; API/event contract tests; requirement PPL-01-R03</w:t>
            </w:r>
          </w:p>
        </w:tc>
        <w:tc>
          <w:tcPr>
            <w:tcW w:type="dxa" w:w="1531"/>
            <w:tcMar>
              <w:top w:w="70" w:type="dxa"/>
              <w:left w:w="80" w:type="dxa"/>
              <w:bottom w:w="70" w:type="dxa"/>
              <w:right w:w="80" w:type="dxa"/>
            </w:tcMar>
          </w:tcPr>
          <w:p>
            <w:r>
              <w:rPr>
                <w:sz w:val="15"/>
              </w:rPr>
              <w:t>§28; RB-PPL-01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PPL-01-R04</w:t>
            </w:r>
          </w:p>
        </w:tc>
        <w:tc>
          <w:tcPr>
            <w:tcW w:type="dxa" w:w="1531"/>
            <w:tcMar>
              <w:top w:w="70" w:type="dxa"/>
              <w:left w:w="80" w:type="dxa"/>
              <w:bottom w:w="70" w:type="dxa"/>
              <w:right w:w="80" w:type="dxa"/>
            </w:tcMar>
          </w:tcPr>
          <w:p>
            <w:r>
              <w:rPr>
                <w:sz w:val="15"/>
              </w:rPr>
              <w:t>People, Profiles &amp; Member 360</w:t>
            </w:r>
          </w:p>
        </w:tc>
        <w:tc>
          <w:tcPr>
            <w:tcW w:type="dxa" w:w="1531"/>
            <w:tcMar>
              <w:top w:w="70" w:type="dxa"/>
              <w:left w:w="80" w:type="dxa"/>
              <w:bottom w:w="70" w:type="dxa"/>
              <w:right w:w="80" w:type="dxa"/>
            </w:tcMar>
          </w:tcPr>
          <w:p>
            <w:r>
              <w:rPr>
                <w:sz w:val="15"/>
              </w:rPr>
              <w:t>Duplicate detection and merge workflow using identity, contact and contextual signals.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PPL-01</w:t>
            </w:r>
          </w:p>
        </w:tc>
        <w:tc>
          <w:tcPr>
            <w:tcW w:type="dxa" w:w="1531"/>
            <w:tcMar>
              <w:top w:w="70" w:type="dxa"/>
              <w:left w:w="80" w:type="dxa"/>
              <w:bottom w:w="70" w:type="dxa"/>
              <w:right w:w="80" w:type="dxa"/>
            </w:tcMar>
          </w:tcPr>
          <w:p>
            <w:r>
              <w:rPr>
                <w:sz w:val="15"/>
              </w:rPr>
              <w:t>§10.8 PPL-01 Implementation Contract; §9/§18</w:t>
            </w:r>
          </w:p>
        </w:tc>
        <w:tc>
          <w:tcPr>
            <w:tcW w:type="dxa" w:w="1531"/>
            <w:tcMar>
              <w:top w:w="70" w:type="dxa"/>
              <w:left w:w="80" w:type="dxa"/>
              <w:bottom w:w="70" w:type="dxa"/>
              <w:right w:w="80" w:type="dxa"/>
            </w:tcMar>
          </w:tcPr>
          <w:p>
            <w:r>
              <w:rPr>
                <w:sz w:val="15"/>
              </w:rPr>
              <w:t>§27; INV-PPL-01; API/event contract tests; requirement PPL-01-R04</w:t>
            </w:r>
          </w:p>
        </w:tc>
        <w:tc>
          <w:tcPr>
            <w:tcW w:type="dxa" w:w="1531"/>
            <w:tcMar>
              <w:top w:w="70" w:type="dxa"/>
              <w:left w:w="80" w:type="dxa"/>
              <w:bottom w:w="70" w:type="dxa"/>
              <w:right w:w="80" w:type="dxa"/>
            </w:tcMar>
          </w:tcPr>
          <w:p>
            <w:r>
              <w:rPr>
                <w:sz w:val="15"/>
              </w:rPr>
              <w:t>§28; RB-PPL-01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PPL-01-R05</w:t>
            </w:r>
          </w:p>
        </w:tc>
        <w:tc>
          <w:tcPr>
            <w:tcW w:type="dxa" w:w="1531"/>
            <w:tcMar>
              <w:top w:w="70" w:type="dxa"/>
              <w:left w:w="80" w:type="dxa"/>
              <w:bottom w:w="70" w:type="dxa"/>
              <w:right w:w="80" w:type="dxa"/>
            </w:tcMar>
          </w:tcPr>
          <w:p>
            <w:r>
              <w:rPr>
                <w:sz w:val="15"/>
              </w:rPr>
              <w:t>People, Profiles &amp; Member 360</w:t>
            </w:r>
          </w:p>
        </w:tc>
        <w:tc>
          <w:tcPr>
            <w:tcW w:type="dxa" w:w="1531"/>
            <w:tcMar>
              <w:top w:w="70" w:type="dxa"/>
              <w:left w:w="80" w:type="dxa"/>
              <w:bottom w:w="70" w:type="dxa"/>
              <w:right w:w="80" w:type="dxa"/>
            </w:tcMar>
          </w:tcPr>
          <w:p>
            <w:r>
              <w:rPr>
                <w:sz w:val="15"/>
              </w:rPr>
              <w:t>Tags, segments, custom fields and data-quality indicators governed by schema and permissions.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PPL-01</w:t>
            </w:r>
          </w:p>
        </w:tc>
        <w:tc>
          <w:tcPr>
            <w:tcW w:type="dxa" w:w="1531"/>
            <w:tcMar>
              <w:top w:w="70" w:type="dxa"/>
              <w:left w:w="80" w:type="dxa"/>
              <w:bottom w:w="70" w:type="dxa"/>
              <w:right w:w="80" w:type="dxa"/>
            </w:tcMar>
          </w:tcPr>
          <w:p>
            <w:r>
              <w:rPr>
                <w:sz w:val="15"/>
              </w:rPr>
              <w:t>§10.8 PPL-01 Implementation Contract; §9/§18</w:t>
            </w:r>
          </w:p>
        </w:tc>
        <w:tc>
          <w:tcPr>
            <w:tcW w:type="dxa" w:w="1531"/>
            <w:tcMar>
              <w:top w:w="70" w:type="dxa"/>
              <w:left w:w="80" w:type="dxa"/>
              <w:bottom w:w="70" w:type="dxa"/>
              <w:right w:w="80" w:type="dxa"/>
            </w:tcMar>
          </w:tcPr>
          <w:p>
            <w:r>
              <w:rPr>
                <w:sz w:val="15"/>
              </w:rPr>
              <w:t>§27; INV-PPL-01; API/event contract tests; requirement PPL-01-R05</w:t>
            </w:r>
          </w:p>
        </w:tc>
        <w:tc>
          <w:tcPr>
            <w:tcW w:type="dxa" w:w="1531"/>
            <w:tcMar>
              <w:top w:w="70" w:type="dxa"/>
              <w:left w:w="80" w:type="dxa"/>
              <w:bottom w:w="70" w:type="dxa"/>
              <w:right w:w="80" w:type="dxa"/>
            </w:tcMar>
          </w:tcPr>
          <w:p>
            <w:r>
              <w:rPr>
                <w:sz w:val="15"/>
              </w:rPr>
              <w:t>§28; RB-PPL-01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PPL-01-R06</w:t>
            </w:r>
          </w:p>
        </w:tc>
        <w:tc>
          <w:tcPr>
            <w:tcW w:type="dxa" w:w="1531"/>
            <w:tcMar>
              <w:top w:w="70" w:type="dxa"/>
              <w:left w:w="80" w:type="dxa"/>
              <w:bottom w:w="70" w:type="dxa"/>
              <w:right w:w="80" w:type="dxa"/>
            </w:tcMar>
          </w:tcPr>
          <w:p>
            <w:r>
              <w:rPr>
                <w:sz w:val="15"/>
              </w:rPr>
              <w:t>People, Profiles &amp; Member 360</w:t>
            </w:r>
          </w:p>
        </w:tc>
        <w:tc>
          <w:tcPr>
            <w:tcW w:type="dxa" w:w="1531"/>
            <w:tcMar>
              <w:top w:w="70" w:type="dxa"/>
              <w:left w:w="80" w:type="dxa"/>
              <w:bottom w:w="70" w:type="dxa"/>
              <w:right w:w="80" w:type="dxa"/>
            </w:tcMar>
          </w:tcPr>
          <w:p>
            <w:r>
              <w:rPr>
                <w:sz w:val="15"/>
              </w:rPr>
              <w:t>Relationship graph for coach-client, guardian-dependent, company-employee, referrer-referred and household.</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PPL-01</w:t>
            </w:r>
          </w:p>
        </w:tc>
        <w:tc>
          <w:tcPr>
            <w:tcW w:type="dxa" w:w="1531"/>
            <w:tcMar>
              <w:top w:w="70" w:type="dxa"/>
              <w:left w:w="80" w:type="dxa"/>
              <w:bottom w:w="70" w:type="dxa"/>
              <w:right w:w="80" w:type="dxa"/>
            </w:tcMar>
          </w:tcPr>
          <w:p>
            <w:r>
              <w:rPr>
                <w:sz w:val="15"/>
              </w:rPr>
              <w:t>§10.8 PPL-01 Implementation Contract; §9/§18</w:t>
            </w:r>
          </w:p>
        </w:tc>
        <w:tc>
          <w:tcPr>
            <w:tcW w:type="dxa" w:w="1531"/>
            <w:tcMar>
              <w:top w:w="70" w:type="dxa"/>
              <w:left w:w="80" w:type="dxa"/>
              <w:bottom w:w="70" w:type="dxa"/>
              <w:right w:w="80" w:type="dxa"/>
            </w:tcMar>
          </w:tcPr>
          <w:p>
            <w:r>
              <w:rPr>
                <w:sz w:val="15"/>
              </w:rPr>
              <w:t>§27; INV-PPL-01; API/event contract tests; requirement PPL-01-R06</w:t>
            </w:r>
          </w:p>
        </w:tc>
        <w:tc>
          <w:tcPr>
            <w:tcW w:type="dxa" w:w="1531"/>
            <w:tcMar>
              <w:top w:w="70" w:type="dxa"/>
              <w:left w:w="80" w:type="dxa"/>
              <w:bottom w:w="70" w:type="dxa"/>
              <w:right w:w="80" w:type="dxa"/>
            </w:tcMar>
          </w:tcPr>
          <w:p>
            <w:r>
              <w:rPr>
                <w:sz w:val="15"/>
              </w:rPr>
              <w:t>§28; RB-PPL-01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PPL-01-R07</w:t>
            </w:r>
          </w:p>
        </w:tc>
        <w:tc>
          <w:tcPr>
            <w:tcW w:type="dxa" w:w="1531"/>
            <w:tcMar>
              <w:top w:w="70" w:type="dxa"/>
              <w:left w:w="80" w:type="dxa"/>
              <w:bottom w:w="70" w:type="dxa"/>
              <w:right w:w="80" w:type="dxa"/>
            </w:tcMar>
          </w:tcPr>
          <w:p>
            <w:r>
              <w:rPr>
                <w:sz w:val="15"/>
              </w:rPr>
              <w:t>People, Profiles &amp; Member 360</w:t>
            </w:r>
          </w:p>
        </w:tc>
        <w:tc>
          <w:tcPr>
            <w:tcW w:type="dxa" w:w="1531"/>
            <w:tcMar>
              <w:top w:w="70" w:type="dxa"/>
              <w:left w:w="80" w:type="dxa"/>
              <w:bottom w:w="70" w:type="dxa"/>
              <w:right w:w="80" w:type="dxa"/>
            </w:tcMar>
          </w:tcPr>
          <w:p>
            <w:r>
              <w:rPr>
                <w:sz w:val="15"/>
              </w:rPr>
              <w:t>Privacy controls for preferred name, contact channels, sensitive notes, progress media and minors.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PPL-01</w:t>
            </w:r>
          </w:p>
        </w:tc>
        <w:tc>
          <w:tcPr>
            <w:tcW w:type="dxa" w:w="1531"/>
            <w:tcMar>
              <w:top w:w="70" w:type="dxa"/>
              <w:left w:w="80" w:type="dxa"/>
              <w:bottom w:w="70" w:type="dxa"/>
              <w:right w:w="80" w:type="dxa"/>
            </w:tcMar>
          </w:tcPr>
          <w:p>
            <w:r>
              <w:rPr>
                <w:sz w:val="15"/>
              </w:rPr>
              <w:t>§10.8 PPL-01 Implementation Contract; §9/§18</w:t>
            </w:r>
          </w:p>
        </w:tc>
        <w:tc>
          <w:tcPr>
            <w:tcW w:type="dxa" w:w="1531"/>
            <w:tcMar>
              <w:top w:w="70" w:type="dxa"/>
              <w:left w:w="80" w:type="dxa"/>
              <w:bottom w:w="70" w:type="dxa"/>
              <w:right w:w="80" w:type="dxa"/>
            </w:tcMar>
          </w:tcPr>
          <w:p>
            <w:r>
              <w:rPr>
                <w:sz w:val="15"/>
              </w:rPr>
              <w:t>§27; INV-PPL-01; API/event contract tests; requirement PPL-01-R07</w:t>
            </w:r>
          </w:p>
        </w:tc>
        <w:tc>
          <w:tcPr>
            <w:tcW w:type="dxa" w:w="1531"/>
            <w:tcMar>
              <w:top w:w="70" w:type="dxa"/>
              <w:left w:w="80" w:type="dxa"/>
              <w:bottom w:w="70" w:type="dxa"/>
              <w:right w:w="80" w:type="dxa"/>
            </w:tcMar>
          </w:tcPr>
          <w:p>
            <w:r>
              <w:rPr>
                <w:sz w:val="15"/>
              </w:rPr>
              <w:t>§28; RB-PPL-01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PPL-02-R01</w:t>
            </w:r>
          </w:p>
        </w:tc>
        <w:tc>
          <w:tcPr>
            <w:tcW w:type="dxa" w:w="1531"/>
            <w:tcMar>
              <w:top w:w="70" w:type="dxa"/>
              <w:left w:w="80" w:type="dxa"/>
              <w:bottom w:w="70" w:type="dxa"/>
              <w:right w:w="80" w:type="dxa"/>
            </w:tcMar>
          </w:tcPr>
          <w:p>
            <w:r>
              <w:rPr>
                <w:sz w:val="15"/>
              </w:rPr>
              <w:t>Households, Dependents, Guests &amp; Eligibility</w:t>
            </w:r>
          </w:p>
        </w:tc>
        <w:tc>
          <w:tcPr>
            <w:tcW w:type="dxa" w:w="1531"/>
            <w:tcMar>
              <w:top w:w="70" w:type="dxa"/>
              <w:left w:w="80" w:type="dxa"/>
              <w:bottom w:w="70" w:type="dxa"/>
              <w:right w:w="80" w:type="dxa"/>
            </w:tcMar>
          </w:tcPr>
          <w:p>
            <w:r>
              <w:rPr>
                <w:sz w:val="15"/>
              </w:rPr>
              <w:t>Household account with shared payment methods, wallet rules, family plan and consolidated statements.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PPL-02</w:t>
            </w:r>
          </w:p>
        </w:tc>
        <w:tc>
          <w:tcPr>
            <w:tcW w:type="dxa" w:w="1531"/>
            <w:tcMar>
              <w:top w:w="70" w:type="dxa"/>
              <w:left w:w="80" w:type="dxa"/>
              <w:bottom w:w="70" w:type="dxa"/>
              <w:right w:w="80" w:type="dxa"/>
            </w:tcMar>
          </w:tcPr>
          <w:p>
            <w:r>
              <w:rPr>
                <w:sz w:val="15"/>
              </w:rPr>
              <w:t>§10.9 PPL-02 Implementation Contract; §9/§18</w:t>
            </w:r>
          </w:p>
        </w:tc>
        <w:tc>
          <w:tcPr>
            <w:tcW w:type="dxa" w:w="1531"/>
            <w:tcMar>
              <w:top w:w="70" w:type="dxa"/>
              <w:left w:w="80" w:type="dxa"/>
              <w:bottom w:w="70" w:type="dxa"/>
              <w:right w:w="80" w:type="dxa"/>
            </w:tcMar>
          </w:tcPr>
          <w:p>
            <w:r>
              <w:rPr>
                <w:sz w:val="15"/>
              </w:rPr>
              <w:t>§27; INV-PPL-02; API/event contract tests; requirement PPL-02-R01</w:t>
            </w:r>
          </w:p>
        </w:tc>
        <w:tc>
          <w:tcPr>
            <w:tcW w:type="dxa" w:w="1531"/>
            <w:tcMar>
              <w:top w:w="70" w:type="dxa"/>
              <w:left w:w="80" w:type="dxa"/>
              <w:bottom w:w="70" w:type="dxa"/>
              <w:right w:w="80" w:type="dxa"/>
            </w:tcMar>
          </w:tcPr>
          <w:p>
            <w:r>
              <w:rPr>
                <w:sz w:val="15"/>
              </w:rPr>
              <w:t>§28; RB-PPL-02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PPL-02-R02</w:t>
            </w:r>
          </w:p>
        </w:tc>
        <w:tc>
          <w:tcPr>
            <w:tcW w:type="dxa" w:w="1531"/>
            <w:tcMar>
              <w:top w:w="70" w:type="dxa"/>
              <w:left w:w="80" w:type="dxa"/>
              <w:bottom w:w="70" w:type="dxa"/>
              <w:right w:w="80" w:type="dxa"/>
            </w:tcMar>
          </w:tcPr>
          <w:p>
            <w:r>
              <w:rPr>
                <w:sz w:val="15"/>
              </w:rPr>
              <w:t>Households, Dependents, Guests &amp; Eligibility</w:t>
            </w:r>
          </w:p>
        </w:tc>
        <w:tc>
          <w:tcPr>
            <w:tcW w:type="dxa" w:w="1531"/>
            <w:tcMar>
              <w:top w:w="70" w:type="dxa"/>
              <w:left w:w="80" w:type="dxa"/>
              <w:bottom w:w="70" w:type="dxa"/>
              <w:right w:w="80" w:type="dxa"/>
            </w:tcMar>
          </w:tcPr>
          <w:p>
            <w:r>
              <w:rPr>
                <w:sz w:val="15"/>
              </w:rPr>
              <w:t>Guardian permissions, consent, pickup rules and booking controls for minors and dependents.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PPL-02</w:t>
            </w:r>
          </w:p>
        </w:tc>
        <w:tc>
          <w:tcPr>
            <w:tcW w:type="dxa" w:w="1531"/>
            <w:tcMar>
              <w:top w:w="70" w:type="dxa"/>
              <w:left w:w="80" w:type="dxa"/>
              <w:bottom w:w="70" w:type="dxa"/>
              <w:right w:w="80" w:type="dxa"/>
            </w:tcMar>
          </w:tcPr>
          <w:p>
            <w:r>
              <w:rPr>
                <w:sz w:val="15"/>
              </w:rPr>
              <w:t>§10.9 PPL-02 Implementation Contract; §9/§18</w:t>
            </w:r>
          </w:p>
        </w:tc>
        <w:tc>
          <w:tcPr>
            <w:tcW w:type="dxa" w:w="1531"/>
            <w:tcMar>
              <w:top w:w="70" w:type="dxa"/>
              <w:left w:w="80" w:type="dxa"/>
              <w:bottom w:w="70" w:type="dxa"/>
              <w:right w:w="80" w:type="dxa"/>
            </w:tcMar>
          </w:tcPr>
          <w:p>
            <w:r>
              <w:rPr>
                <w:sz w:val="15"/>
              </w:rPr>
              <w:t>§27; INV-PPL-02; API/event contract tests; requirement PPL-02-R02</w:t>
            </w:r>
          </w:p>
        </w:tc>
        <w:tc>
          <w:tcPr>
            <w:tcW w:type="dxa" w:w="1531"/>
            <w:tcMar>
              <w:top w:w="70" w:type="dxa"/>
              <w:left w:w="80" w:type="dxa"/>
              <w:bottom w:w="70" w:type="dxa"/>
              <w:right w:w="80" w:type="dxa"/>
            </w:tcMar>
          </w:tcPr>
          <w:p>
            <w:r>
              <w:rPr>
                <w:sz w:val="15"/>
              </w:rPr>
              <w:t>§28; RB-PPL-02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PPL-02-R03</w:t>
            </w:r>
          </w:p>
        </w:tc>
        <w:tc>
          <w:tcPr>
            <w:tcW w:type="dxa" w:w="1531"/>
            <w:tcMar>
              <w:top w:w="70" w:type="dxa"/>
              <w:left w:w="80" w:type="dxa"/>
              <w:bottom w:w="70" w:type="dxa"/>
              <w:right w:w="80" w:type="dxa"/>
            </w:tcMar>
          </w:tcPr>
          <w:p>
            <w:r>
              <w:rPr>
                <w:sz w:val="15"/>
              </w:rPr>
              <w:t>Households, Dependents, Guests &amp; Eligibility</w:t>
            </w:r>
          </w:p>
        </w:tc>
        <w:tc>
          <w:tcPr>
            <w:tcW w:type="dxa" w:w="1531"/>
            <w:tcMar>
              <w:top w:w="70" w:type="dxa"/>
              <w:left w:w="80" w:type="dxa"/>
              <w:bottom w:w="70" w:type="dxa"/>
              <w:right w:w="80" w:type="dxa"/>
            </w:tcMar>
          </w:tcPr>
          <w:p>
            <w:r>
              <w:rPr>
                <w:sz w:val="15"/>
              </w:rPr>
              <w:t>Corporate eligibility verification by roster, code, domain, API or identity provider.</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PPL-02</w:t>
            </w:r>
          </w:p>
        </w:tc>
        <w:tc>
          <w:tcPr>
            <w:tcW w:type="dxa" w:w="1531"/>
            <w:tcMar>
              <w:top w:w="70" w:type="dxa"/>
              <w:left w:w="80" w:type="dxa"/>
              <w:bottom w:w="70" w:type="dxa"/>
              <w:right w:w="80" w:type="dxa"/>
            </w:tcMar>
          </w:tcPr>
          <w:p>
            <w:r>
              <w:rPr>
                <w:sz w:val="15"/>
              </w:rPr>
              <w:t>§10.9 PPL-02 Implementation Contract; §9/§18</w:t>
            </w:r>
          </w:p>
        </w:tc>
        <w:tc>
          <w:tcPr>
            <w:tcW w:type="dxa" w:w="1531"/>
            <w:tcMar>
              <w:top w:w="70" w:type="dxa"/>
              <w:left w:w="80" w:type="dxa"/>
              <w:bottom w:w="70" w:type="dxa"/>
              <w:right w:w="80" w:type="dxa"/>
            </w:tcMar>
          </w:tcPr>
          <w:p>
            <w:r>
              <w:rPr>
                <w:sz w:val="15"/>
              </w:rPr>
              <w:t>§27; INV-PPL-02; API/event contract tests; requirement PPL-02-R03</w:t>
            </w:r>
          </w:p>
        </w:tc>
        <w:tc>
          <w:tcPr>
            <w:tcW w:type="dxa" w:w="1531"/>
            <w:tcMar>
              <w:top w:w="70" w:type="dxa"/>
              <w:left w:w="80" w:type="dxa"/>
              <w:bottom w:w="70" w:type="dxa"/>
              <w:right w:w="80" w:type="dxa"/>
            </w:tcMar>
          </w:tcPr>
          <w:p>
            <w:r>
              <w:rPr>
                <w:sz w:val="15"/>
              </w:rPr>
              <w:t>§28; RB-PPL-02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PPL-02-R04</w:t>
            </w:r>
          </w:p>
        </w:tc>
        <w:tc>
          <w:tcPr>
            <w:tcW w:type="dxa" w:w="1531"/>
            <w:tcMar>
              <w:top w:w="70" w:type="dxa"/>
              <w:left w:w="80" w:type="dxa"/>
              <w:bottom w:w="70" w:type="dxa"/>
              <w:right w:w="80" w:type="dxa"/>
            </w:tcMar>
          </w:tcPr>
          <w:p>
            <w:r>
              <w:rPr>
                <w:sz w:val="15"/>
              </w:rPr>
              <w:t>Households, Dependents, Guests &amp; Eligibility</w:t>
            </w:r>
          </w:p>
        </w:tc>
        <w:tc>
          <w:tcPr>
            <w:tcW w:type="dxa" w:w="1531"/>
            <w:tcMar>
              <w:top w:w="70" w:type="dxa"/>
              <w:left w:w="80" w:type="dxa"/>
              <w:bottom w:w="70" w:type="dxa"/>
              <w:right w:w="80" w:type="dxa"/>
            </w:tcMar>
          </w:tcPr>
          <w:p>
            <w:r>
              <w:rPr>
                <w:sz w:val="15"/>
              </w:rPr>
              <w:t>Guest, trial and day-pass profiles with sponsor, access window, waiver, lead conversion and abuse limits.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PPL-02</w:t>
            </w:r>
          </w:p>
        </w:tc>
        <w:tc>
          <w:tcPr>
            <w:tcW w:type="dxa" w:w="1531"/>
            <w:tcMar>
              <w:top w:w="70" w:type="dxa"/>
              <w:left w:w="80" w:type="dxa"/>
              <w:bottom w:w="70" w:type="dxa"/>
              <w:right w:w="80" w:type="dxa"/>
            </w:tcMar>
          </w:tcPr>
          <w:p>
            <w:r>
              <w:rPr>
                <w:sz w:val="15"/>
              </w:rPr>
              <w:t>§10.9 PPL-02 Implementation Contract; §9/§18</w:t>
            </w:r>
          </w:p>
        </w:tc>
        <w:tc>
          <w:tcPr>
            <w:tcW w:type="dxa" w:w="1531"/>
            <w:tcMar>
              <w:top w:w="70" w:type="dxa"/>
              <w:left w:w="80" w:type="dxa"/>
              <w:bottom w:w="70" w:type="dxa"/>
              <w:right w:w="80" w:type="dxa"/>
            </w:tcMar>
          </w:tcPr>
          <w:p>
            <w:r>
              <w:rPr>
                <w:sz w:val="15"/>
              </w:rPr>
              <w:t>§27; INV-PPL-02; API/event contract tests; requirement PPL-02-R04</w:t>
            </w:r>
          </w:p>
        </w:tc>
        <w:tc>
          <w:tcPr>
            <w:tcW w:type="dxa" w:w="1531"/>
            <w:tcMar>
              <w:top w:w="70" w:type="dxa"/>
              <w:left w:w="80" w:type="dxa"/>
              <w:bottom w:w="70" w:type="dxa"/>
              <w:right w:w="80" w:type="dxa"/>
            </w:tcMar>
          </w:tcPr>
          <w:p>
            <w:r>
              <w:rPr>
                <w:sz w:val="15"/>
              </w:rPr>
              <w:t>§28; RB-PPL-02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PPL-02-R05</w:t>
            </w:r>
          </w:p>
        </w:tc>
        <w:tc>
          <w:tcPr>
            <w:tcW w:type="dxa" w:w="1531"/>
            <w:tcMar>
              <w:top w:w="70" w:type="dxa"/>
              <w:left w:w="80" w:type="dxa"/>
              <w:bottom w:w="70" w:type="dxa"/>
              <w:right w:w="80" w:type="dxa"/>
            </w:tcMar>
          </w:tcPr>
          <w:p>
            <w:r>
              <w:rPr>
                <w:sz w:val="15"/>
              </w:rPr>
              <w:t>Households, Dependents, Guests &amp; Eligibility</w:t>
            </w:r>
          </w:p>
        </w:tc>
        <w:tc>
          <w:tcPr>
            <w:tcW w:type="dxa" w:w="1531"/>
            <w:tcMar>
              <w:top w:w="70" w:type="dxa"/>
              <w:left w:w="80" w:type="dxa"/>
              <w:bottom w:w="70" w:type="dxa"/>
              <w:right w:w="80" w:type="dxa"/>
            </w:tcMar>
          </w:tcPr>
          <w:p>
            <w:r>
              <w:rPr>
                <w:sz w:val="15"/>
              </w:rPr>
              <w:t>Relationship-specific communication, privacy and financial permissions.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PPL-02</w:t>
            </w:r>
          </w:p>
        </w:tc>
        <w:tc>
          <w:tcPr>
            <w:tcW w:type="dxa" w:w="1531"/>
            <w:tcMar>
              <w:top w:w="70" w:type="dxa"/>
              <w:left w:w="80" w:type="dxa"/>
              <w:bottom w:w="70" w:type="dxa"/>
              <w:right w:w="80" w:type="dxa"/>
            </w:tcMar>
          </w:tcPr>
          <w:p>
            <w:r>
              <w:rPr>
                <w:sz w:val="15"/>
              </w:rPr>
              <w:t>§10.9 PPL-02 Implementation Contract; §9/§18</w:t>
            </w:r>
          </w:p>
        </w:tc>
        <w:tc>
          <w:tcPr>
            <w:tcW w:type="dxa" w:w="1531"/>
            <w:tcMar>
              <w:top w:w="70" w:type="dxa"/>
              <w:left w:w="80" w:type="dxa"/>
              <w:bottom w:w="70" w:type="dxa"/>
              <w:right w:w="80" w:type="dxa"/>
            </w:tcMar>
          </w:tcPr>
          <w:p>
            <w:r>
              <w:rPr>
                <w:sz w:val="15"/>
              </w:rPr>
              <w:t>§27; INV-PPL-02; API/event contract tests; requirement PPL-02-R05</w:t>
            </w:r>
          </w:p>
        </w:tc>
        <w:tc>
          <w:tcPr>
            <w:tcW w:type="dxa" w:w="1531"/>
            <w:tcMar>
              <w:top w:w="70" w:type="dxa"/>
              <w:left w:w="80" w:type="dxa"/>
              <w:bottom w:w="70" w:type="dxa"/>
              <w:right w:w="80" w:type="dxa"/>
            </w:tcMar>
          </w:tcPr>
          <w:p>
            <w:r>
              <w:rPr>
                <w:sz w:val="15"/>
              </w:rPr>
              <w:t>§28; RB-PPL-02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PPL-02-R06</w:t>
            </w:r>
          </w:p>
        </w:tc>
        <w:tc>
          <w:tcPr>
            <w:tcW w:type="dxa" w:w="1531"/>
            <w:tcMar>
              <w:top w:w="70" w:type="dxa"/>
              <w:left w:w="80" w:type="dxa"/>
              <w:bottom w:w="70" w:type="dxa"/>
              <w:right w:w="80" w:type="dxa"/>
            </w:tcMar>
          </w:tcPr>
          <w:p>
            <w:r>
              <w:rPr>
                <w:sz w:val="15"/>
              </w:rPr>
              <w:t>Households, Dependents, Guests &amp; Eligibility</w:t>
            </w:r>
          </w:p>
        </w:tc>
        <w:tc>
          <w:tcPr>
            <w:tcW w:type="dxa" w:w="1531"/>
            <w:tcMar>
              <w:top w:w="70" w:type="dxa"/>
              <w:left w:w="80" w:type="dxa"/>
              <w:bottom w:w="70" w:type="dxa"/>
              <w:right w:w="80" w:type="dxa"/>
            </w:tcMar>
          </w:tcPr>
          <w:p>
            <w:r>
              <w:rPr>
                <w:sz w:val="15"/>
              </w:rPr>
              <w:t>Dependent aging and eligibility-change workflows without losing history.</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PPL-02</w:t>
            </w:r>
          </w:p>
        </w:tc>
        <w:tc>
          <w:tcPr>
            <w:tcW w:type="dxa" w:w="1531"/>
            <w:tcMar>
              <w:top w:w="70" w:type="dxa"/>
              <w:left w:w="80" w:type="dxa"/>
              <w:bottom w:w="70" w:type="dxa"/>
              <w:right w:w="80" w:type="dxa"/>
            </w:tcMar>
          </w:tcPr>
          <w:p>
            <w:r>
              <w:rPr>
                <w:sz w:val="15"/>
              </w:rPr>
              <w:t>§10.9 PPL-02 Implementation Contract; §9/§18</w:t>
            </w:r>
          </w:p>
        </w:tc>
        <w:tc>
          <w:tcPr>
            <w:tcW w:type="dxa" w:w="1531"/>
            <w:tcMar>
              <w:top w:w="70" w:type="dxa"/>
              <w:left w:w="80" w:type="dxa"/>
              <w:bottom w:w="70" w:type="dxa"/>
              <w:right w:w="80" w:type="dxa"/>
            </w:tcMar>
          </w:tcPr>
          <w:p>
            <w:r>
              <w:rPr>
                <w:sz w:val="15"/>
              </w:rPr>
              <w:t>§27; INV-PPL-02; API/event contract tests; requirement PPL-02-R06</w:t>
            </w:r>
          </w:p>
        </w:tc>
        <w:tc>
          <w:tcPr>
            <w:tcW w:type="dxa" w:w="1531"/>
            <w:tcMar>
              <w:top w:w="70" w:type="dxa"/>
              <w:left w:w="80" w:type="dxa"/>
              <w:bottom w:w="70" w:type="dxa"/>
              <w:right w:w="80" w:type="dxa"/>
            </w:tcMar>
          </w:tcPr>
          <w:p>
            <w:r>
              <w:rPr>
                <w:sz w:val="15"/>
              </w:rPr>
              <w:t>§28; RB-PPL-02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GRO-01-R01</w:t>
            </w:r>
          </w:p>
        </w:tc>
        <w:tc>
          <w:tcPr>
            <w:tcW w:type="dxa" w:w="1531"/>
            <w:tcMar>
              <w:top w:w="70" w:type="dxa"/>
              <w:left w:w="80" w:type="dxa"/>
              <w:bottom w:w="70" w:type="dxa"/>
              <w:right w:w="80" w:type="dxa"/>
            </w:tcMar>
          </w:tcPr>
          <w:p>
            <w:r>
              <w:rPr>
                <w:sz w:val="15"/>
              </w:rPr>
              <w:t>CRM, Leads, Sales Pipeline &amp; Trials</w:t>
            </w:r>
          </w:p>
        </w:tc>
        <w:tc>
          <w:tcPr>
            <w:tcW w:type="dxa" w:w="1531"/>
            <w:tcMar>
              <w:top w:w="70" w:type="dxa"/>
              <w:left w:w="80" w:type="dxa"/>
              <w:bottom w:w="70" w:type="dxa"/>
              <w:right w:w="80" w:type="dxa"/>
            </w:tcMar>
          </w:tcPr>
          <w:p>
            <w:r>
              <w:rPr>
                <w:sz w:val="15"/>
              </w:rPr>
              <w:t>Lead capture from forms, ads, referrals, walk-ins, imports, APIs, partners and corporate lists.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GRO-01</w:t>
            </w:r>
          </w:p>
        </w:tc>
        <w:tc>
          <w:tcPr>
            <w:tcW w:type="dxa" w:w="1531"/>
            <w:tcMar>
              <w:top w:w="70" w:type="dxa"/>
              <w:left w:w="80" w:type="dxa"/>
              <w:bottom w:w="70" w:type="dxa"/>
              <w:right w:w="80" w:type="dxa"/>
            </w:tcMar>
          </w:tcPr>
          <w:p>
            <w:r>
              <w:rPr>
                <w:sz w:val="15"/>
              </w:rPr>
              <w:t>§10.10 GRO-01 Implementation Contract; §10/§18</w:t>
            </w:r>
          </w:p>
        </w:tc>
        <w:tc>
          <w:tcPr>
            <w:tcW w:type="dxa" w:w="1531"/>
            <w:tcMar>
              <w:top w:w="70" w:type="dxa"/>
              <w:left w:w="80" w:type="dxa"/>
              <w:bottom w:w="70" w:type="dxa"/>
              <w:right w:w="80" w:type="dxa"/>
            </w:tcMar>
          </w:tcPr>
          <w:p>
            <w:r>
              <w:rPr>
                <w:sz w:val="15"/>
              </w:rPr>
              <w:t>§27; INV-GRO-01; API/event contract tests; requirement GRO-01-R01</w:t>
            </w:r>
          </w:p>
        </w:tc>
        <w:tc>
          <w:tcPr>
            <w:tcW w:type="dxa" w:w="1531"/>
            <w:tcMar>
              <w:top w:w="70" w:type="dxa"/>
              <w:left w:w="80" w:type="dxa"/>
              <w:bottom w:w="70" w:type="dxa"/>
              <w:right w:w="80" w:type="dxa"/>
            </w:tcMar>
          </w:tcPr>
          <w:p>
            <w:r>
              <w:rPr>
                <w:sz w:val="15"/>
              </w:rPr>
              <w:t>§28; RB-GRO-01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GRO-01-R02</w:t>
            </w:r>
          </w:p>
        </w:tc>
        <w:tc>
          <w:tcPr>
            <w:tcW w:type="dxa" w:w="1531"/>
            <w:tcMar>
              <w:top w:w="70" w:type="dxa"/>
              <w:left w:w="80" w:type="dxa"/>
              <w:bottom w:w="70" w:type="dxa"/>
              <w:right w:w="80" w:type="dxa"/>
            </w:tcMar>
          </w:tcPr>
          <w:p>
            <w:r>
              <w:rPr>
                <w:sz w:val="15"/>
              </w:rPr>
              <w:t>CRM, Leads, Sales Pipeline &amp; Trials</w:t>
            </w:r>
          </w:p>
        </w:tc>
        <w:tc>
          <w:tcPr>
            <w:tcW w:type="dxa" w:w="1531"/>
            <w:tcMar>
              <w:top w:w="70" w:type="dxa"/>
              <w:left w:w="80" w:type="dxa"/>
              <w:bottom w:w="70" w:type="dxa"/>
              <w:right w:w="80" w:type="dxa"/>
            </w:tcMar>
          </w:tcPr>
          <w:p>
            <w:r>
              <w:rPr>
                <w:sz w:val="15"/>
              </w:rPr>
              <w:t>Configurable pipelines and stages with required fields, probability, ownership and service-level timers.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GRO-01</w:t>
            </w:r>
          </w:p>
        </w:tc>
        <w:tc>
          <w:tcPr>
            <w:tcW w:type="dxa" w:w="1531"/>
            <w:tcMar>
              <w:top w:w="70" w:type="dxa"/>
              <w:left w:w="80" w:type="dxa"/>
              <w:bottom w:w="70" w:type="dxa"/>
              <w:right w:w="80" w:type="dxa"/>
            </w:tcMar>
          </w:tcPr>
          <w:p>
            <w:r>
              <w:rPr>
                <w:sz w:val="15"/>
              </w:rPr>
              <w:t>§10.10 GRO-01 Implementation Contract; §10/§18</w:t>
            </w:r>
          </w:p>
        </w:tc>
        <w:tc>
          <w:tcPr>
            <w:tcW w:type="dxa" w:w="1531"/>
            <w:tcMar>
              <w:top w:w="70" w:type="dxa"/>
              <w:left w:w="80" w:type="dxa"/>
              <w:bottom w:w="70" w:type="dxa"/>
              <w:right w:w="80" w:type="dxa"/>
            </w:tcMar>
          </w:tcPr>
          <w:p>
            <w:r>
              <w:rPr>
                <w:sz w:val="15"/>
              </w:rPr>
              <w:t>§27; INV-GRO-01; API/event contract tests; requirement GRO-01-R02</w:t>
            </w:r>
          </w:p>
        </w:tc>
        <w:tc>
          <w:tcPr>
            <w:tcW w:type="dxa" w:w="1531"/>
            <w:tcMar>
              <w:top w:w="70" w:type="dxa"/>
              <w:left w:w="80" w:type="dxa"/>
              <w:bottom w:w="70" w:type="dxa"/>
              <w:right w:w="80" w:type="dxa"/>
            </w:tcMar>
          </w:tcPr>
          <w:p>
            <w:r>
              <w:rPr>
                <w:sz w:val="15"/>
              </w:rPr>
              <w:t>§28; RB-GRO-01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GRO-01-R03</w:t>
            </w:r>
          </w:p>
        </w:tc>
        <w:tc>
          <w:tcPr>
            <w:tcW w:type="dxa" w:w="1531"/>
            <w:tcMar>
              <w:top w:w="70" w:type="dxa"/>
              <w:left w:w="80" w:type="dxa"/>
              <w:bottom w:w="70" w:type="dxa"/>
              <w:right w:w="80" w:type="dxa"/>
            </w:tcMar>
          </w:tcPr>
          <w:p>
            <w:r>
              <w:rPr>
                <w:sz w:val="15"/>
              </w:rPr>
              <w:t>CRM, Leads, Sales Pipeline &amp; Trials</w:t>
            </w:r>
          </w:p>
        </w:tc>
        <w:tc>
          <w:tcPr>
            <w:tcW w:type="dxa" w:w="1531"/>
            <w:tcMar>
              <w:top w:w="70" w:type="dxa"/>
              <w:left w:w="80" w:type="dxa"/>
              <w:bottom w:w="70" w:type="dxa"/>
              <w:right w:w="80" w:type="dxa"/>
            </w:tcMar>
          </w:tcPr>
          <w:p>
            <w:r>
              <w:rPr>
                <w:sz w:val="15"/>
              </w:rPr>
              <w:t>Lead scoring using source, intent, engagement, demographics, response and historical conversion.</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GRO-01</w:t>
            </w:r>
          </w:p>
        </w:tc>
        <w:tc>
          <w:tcPr>
            <w:tcW w:type="dxa" w:w="1531"/>
            <w:tcMar>
              <w:top w:w="70" w:type="dxa"/>
              <w:left w:w="80" w:type="dxa"/>
              <w:bottom w:w="70" w:type="dxa"/>
              <w:right w:w="80" w:type="dxa"/>
            </w:tcMar>
          </w:tcPr>
          <w:p>
            <w:r>
              <w:rPr>
                <w:sz w:val="15"/>
              </w:rPr>
              <w:t>§10.10 GRO-01 Implementation Contract; §10/§18</w:t>
            </w:r>
          </w:p>
        </w:tc>
        <w:tc>
          <w:tcPr>
            <w:tcW w:type="dxa" w:w="1531"/>
            <w:tcMar>
              <w:top w:w="70" w:type="dxa"/>
              <w:left w:w="80" w:type="dxa"/>
              <w:bottom w:w="70" w:type="dxa"/>
              <w:right w:w="80" w:type="dxa"/>
            </w:tcMar>
          </w:tcPr>
          <w:p>
            <w:r>
              <w:rPr>
                <w:sz w:val="15"/>
              </w:rPr>
              <w:t>§27; INV-GRO-01; API/event contract tests; requirement GRO-01-R03</w:t>
            </w:r>
          </w:p>
        </w:tc>
        <w:tc>
          <w:tcPr>
            <w:tcW w:type="dxa" w:w="1531"/>
            <w:tcMar>
              <w:top w:w="70" w:type="dxa"/>
              <w:left w:w="80" w:type="dxa"/>
              <w:bottom w:w="70" w:type="dxa"/>
              <w:right w:w="80" w:type="dxa"/>
            </w:tcMar>
          </w:tcPr>
          <w:p>
            <w:r>
              <w:rPr>
                <w:sz w:val="15"/>
              </w:rPr>
              <w:t>§28; RB-GRO-01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GRO-01-R04</w:t>
            </w:r>
          </w:p>
        </w:tc>
        <w:tc>
          <w:tcPr>
            <w:tcW w:type="dxa" w:w="1531"/>
            <w:tcMar>
              <w:top w:w="70" w:type="dxa"/>
              <w:left w:w="80" w:type="dxa"/>
              <w:bottom w:w="70" w:type="dxa"/>
              <w:right w:w="80" w:type="dxa"/>
            </w:tcMar>
          </w:tcPr>
          <w:p>
            <w:r>
              <w:rPr>
                <w:sz w:val="15"/>
              </w:rPr>
              <w:t>CRM, Leads, Sales Pipeline &amp; Trials</w:t>
            </w:r>
          </w:p>
        </w:tc>
        <w:tc>
          <w:tcPr>
            <w:tcW w:type="dxa" w:w="1531"/>
            <w:tcMar>
              <w:top w:w="70" w:type="dxa"/>
              <w:left w:w="80" w:type="dxa"/>
              <w:bottom w:w="70" w:type="dxa"/>
              <w:right w:w="80" w:type="dxa"/>
            </w:tcMar>
          </w:tcPr>
          <w:p>
            <w:r>
              <w:rPr>
                <w:sz w:val="15"/>
              </w:rPr>
              <w:t>Unified calls, WhatsApp, SMS, email, notes, tasks and appointment history.</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GRO-01</w:t>
            </w:r>
          </w:p>
        </w:tc>
        <w:tc>
          <w:tcPr>
            <w:tcW w:type="dxa" w:w="1531"/>
            <w:tcMar>
              <w:top w:w="70" w:type="dxa"/>
              <w:left w:w="80" w:type="dxa"/>
              <w:bottom w:w="70" w:type="dxa"/>
              <w:right w:w="80" w:type="dxa"/>
            </w:tcMar>
          </w:tcPr>
          <w:p>
            <w:r>
              <w:rPr>
                <w:sz w:val="15"/>
              </w:rPr>
              <w:t>§10.10 GRO-01 Implementation Contract; §10/§18</w:t>
            </w:r>
          </w:p>
        </w:tc>
        <w:tc>
          <w:tcPr>
            <w:tcW w:type="dxa" w:w="1531"/>
            <w:tcMar>
              <w:top w:w="70" w:type="dxa"/>
              <w:left w:w="80" w:type="dxa"/>
              <w:bottom w:w="70" w:type="dxa"/>
              <w:right w:w="80" w:type="dxa"/>
            </w:tcMar>
          </w:tcPr>
          <w:p>
            <w:r>
              <w:rPr>
                <w:sz w:val="15"/>
              </w:rPr>
              <w:t>§27; INV-GRO-01; API/event contract tests; requirement GRO-01-R04</w:t>
            </w:r>
          </w:p>
        </w:tc>
        <w:tc>
          <w:tcPr>
            <w:tcW w:type="dxa" w:w="1531"/>
            <w:tcMar>
              <w:top w:w="70" w:type="dxa"/>
              <w:left w:w="80" w:type="dxa"/>
              <w:bottom w:w="70" w:type="dxa"/>
              <w:right w:w="80" w:type="dxa"/>
            </w:tcMar>
          </w:tcPr>
          <w:p>
            <w:r>
              <w:rPr>
                <w:sz w:val="15"/>
              </w:rPr>
              <w:t>§28; RB-GRO-01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GRO-01-R05</w:t>
            </w:r>
          </w:p>
        </w:tc>
        <w:tc>
          <w:tcPr>
            <w:tcW w:type="dxa" w:w="1531"/>
            <w:tcMar>
              <w:top w:w="70" w:type="dxa"/>
              <w:left w:w="80" w:type="dxa"/>
              <w:bottom w:w="70" w:type="dxa"/>
              <w:right w:w="80" w:type="dxa"/>
            </w:tcMar>
          </w:tcPr>
          <w:p>
            <w:r>
              <w:rPr>
                <w:sz w:val="15"/>
              </w:rPr>
              <w:t>CRM, Leads, Sales Pipeline &amp; Trials</w:t>
            </w:r>
          </w:p>
        </w:tc>
        <w:tc>
          <w:tcPr>
            <w:tcW w:type="dxa" w:w="1531"/>
            <w:tcMar>
              <w:top w:w="70" w:type="dxa"/>
              <w:left w:w="80" w:type="dxa"/>
              <w:bottom w:w="70" w:type="dxa"/>
              <w:right w:w="80" w:type="dxa"/>
            </w:tcMar>
          </w:tcPr>
          <w:p>
            <w:r>
              <w:rPr>
                <w:sz w:val="15"/>
              </w:rPr>
              <w:t>Trial, tour and assessment booking with reminders, attendance and conversion follow-up.</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GRO-01</w:t>
            </w:r>
          </w:p>
        </w:tc>
        <w:tc>
          <w:tcPr>
            <w:tcW w:type="dxa" w:w="1531"/>
            <w:tcMar>
              <w:top w:w="70" w:type="dxa"/>
              <w:left w:w="80" w:type="dxa"/>
              <w:bottom w:w="70" w:type="dxa"/>
              <w:right w:w="80" w:type="dxa"/>
            </w:tcMar>
          </w:tcPr>
          <w:p>
            <w:r>
              <w:rPr>
                <w:sz w:val="15"/>
              </w:rPr>
              <w:t>§10.10 GRO-01 Implementation Contract; §10/§18</w:t>
            </w:r>
          </w:p>
        </w:tc>
        <w:tc>
          <w:tcPr>
            <w:tcW w:type="dxa" w:w="1531"/>
            <w:tcMar>
              <w:top w:w="70" w:type="dxa"/>
              <w:left w:w="80" w:type="dxa"/>
              <w:bottom w:w="70" w:type="dxa"/>
              <w:right w:w="80" w:type="dxa"/>
            </w:tcMar>
          </w:tcPr>
          <w:p>
            <w:r>
              <w:rPr>
                <w:sz w:val="15"/>
              </w:rPr>
              <w:t>§27; INV-GRO-01; API/event contract tests; requirement GRO-01-R05</w:t>
            </w:r>
          </w:p>
        </w:tc>
        <w:tc>
          <w:tcPr>
            <w:tcW w:type="dxa" w:w="1531"/>
            <w:tcMar>
              <w:top w:w="70" w:type="dxa"/>
              <w:left w:w="80" w:type="dxa"/>
              <w:bottom w:w="70" w:type="dxa"/>
              <w:right w:w="80" w:type="dxa"/>
            </w:tcMar>
          </w:tcPr>
          <w:p>
            <w:r>
              <w:rPr>
                <w:sz w:val="15"/>
              </w:rPr>
              <w:t>§28; RB-GRO-01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GRO-01-R06</w:t>
            </w:r>
          </w:p>
        </w:tc>
        <w:tc>
          <w:tcPr>
            <w:tcW w:type="dxa" w:w="1531"/>
            <w:tcMar>
              <w:top w:w="70" w:type="dxa"/>
              <w:left w:w="80" w:type="dxa"/>
              <w:bottom w:w="70" w:type="dxa"/>
              <w:right w:w="80" w:type="dxa"/>
            </w:tcMar>
          </w:tcPr>
          <w:p>
            <w:r>
              <w:rPr>
                <w:sz w:val="15"/>
              </w:rPr>
              <w:t>CRM, Leads, Sales Pipeline &amp; Trials</w:t>
            </w:r>
          </w:p>
        </w:tc>
        <w:tc>
          <w:tcPr>
            <w:tcW w:type="dxa" w:w="1531"/>
            <w:tcMar>
              <w:top w:w="70" w:type="dxa"/>
              <w:left w:w="80" w:type="dxa"/>
              <w:bottom w:w="70" w:type="dxa"/>
              <w:right w:w="80" w:type="dxa"/>
            </w:tcMar>
          </w:tcPr>
          <w:p>
            <w:r>
              <w:rPr>
                <w:sz w:val="15"/>
              </w:rPr>
              <w:t>Offers, quotes, proposal expiry, objection/loss reason and membership conversion.</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GRO-01</w:t>
            </w:r>
          </w:p>
        </w:tc>
        <w:tc>
          <w:tcPr>
            <w:tcW w:type="dxa" w:w="1531"/>
            <w:tcMar>
              <w:top w:w="70" w:type="dxa"/>
              <w:left w:w="80" w:type="dxa"/>
              <w:bottom w:w="70" w:type="dxa"/>
              <w:right w:w="80" w:type="dxa"/>
            </w:tcMar>
          </w:tcPr>
          <w:p>
            <w:r>
              <w:rPr>
                <w:sz w:val="15"/>
              </w:rPr>
              <w:t>§10.10 GRO-01 Implementation Contract; §10/§18</w:t>
            </w:r>
          </w:p>
        </w:tc>
        <w:tc>
          <w:tcPr>
            <w:tcW w:type="dxa" w:w="1531"/>
            <w:tcMar>
              <w:top w:w="70" w:type="dxa"/>
              <w:left w:w="80" w:type="dxa"/>
              <w:bottom w:w="70" w:type="dxa"/>
              <w:right w:w="80" w:type="dxa"/>
            </w:tcMar>
          </w:tcPr>
          <w:p>
            <w:r>
              <w:rPr>
                <w:sz w:val="15"/>
              </w:rPr>
              <w:t>§27; INV-GRO-01; API/event contract tests; requirement GRO-01-R06</w:t>
            </w:r>
          </w:p>
        </w:tc>
        <w:tc>
          <w:tcPr>
            <w:tcW w:type="dxa" w:w="1531"/>
            <w:tcMar>
              <w:top w:w="70" w:type="dxa"/>
              <w:left w:w="80" w:type="dxa"/>
              <w:bottom w:w="70" w:type="dxa"/>
              <w:right w:w="80" w:type="dxa"/>
            </w:tcMar>
          </w:tcPr>
          <w:p>
            <w:r>
              <w:rPr>
                <w:sz w:val="15"/>
              </w:rPr>
              <w:t>§28; RB-GRO-01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GRO-01-R07</w:t>
            </w:r>
          </w:p>
        </w:tc>
        <w:tc>
          <w:tcPr>
            <w:tcW w:type="dxa" w:w="1531"/>
            <w:tcMar>
              <w:top w:w="70" w:type="dxa"/>
              <w:left w:w="80" w:type="dxa"/>
              <w:bottom w:w="70" w:type="dxa"/>
              <w:right w:w="80" w:type="dxa"/>
            </w:tcMar>
          </w:tcPr>
          <w:p>
            <w:r>
              <w:rPr>
                <w:sz w:val="15"/>
              </w:rPr>
              <w:t>CRM, Leads, Sales Pipeline &amp; Trials</w:t>
            </w:r>
          </w:p>
        </w:tc>
        <w:tc>
          <w:tcPr>
            <w:tcW w:type="dxa" w:w="1531"/>
            <w:tcMar>
              <w:top w:w="70" w:type="dxa"/>
              <w:left w:w="80" w:type="dxa"/>
              <w:bottom w:w="70" w:type="dxa"/>
              <w:right w:w="80" w:type="dxa"/>
            </w:tcMar>
          </w:tcPr>
          <w:p>
            <w:r>
              <w:rPr>
                <w:sz w:val="15"/>
              </w:rPr>
              <w:t>Duplicate prevention and lead-to-member merge preserving attribution and history.</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GRO-01</w:t>
            </w:r>
          </w:p>
        </w:tc>
        <w:tc>
          <w:tcPr>
            <w:tcW w:type="dxa" w:w="1531"/>
            <w:tcMar>
              <w:top w:w="70" w:type="dxa"/>
              <w:left w:w="80" w:type="dxa"/>
              <w:bottom w:w="70" w:type="dxa"/>
              <w:right w:w="80" w:type="dxa"/>
            </w:tcMar>
          </w:tcPr>
          <w:p>
            <w:r>
              <w:rPr>
                <w:sz w:val="15"/>
              </w:rPr>
              <w:t>§10.10 GRO-01 Implementation Contract; §10/§18</w:t>
            </w:r>
          </w:p>
        </w:tc>
        <w:tc>
          <w:tcPr>
            <w:tcW w:type="dxa" w:w="1531"/>
            <w:tcMar>
              <w:top w:w="70" w:type="dxa"/>
              <w:left w:w="80" w:type="dxa"/>
              <w:bottom w:w="70" w:type="dxa"/>
              <w:right w:w="80" w:type="dxa"/>
            </w:tcMar>
          </w:tcPr>
          <w:p>
            <w:r>
              <w:rPr>
                <w:sz w:val="15"/>
              </w:rPr>
              <w:t>§27; INV-GRO-01; API/event contract tests; requirement GRO-01-R07</w:t>
            </w:r>
          </w:p>
        </w:tc>
        <w:tc>
          <w:tcPr>
            <w:tcW w:type="dxa" w:w="1531"/>
            <w:tcMar>
              <w:top w:w="70" w:type="dxa"/>
              <w:left w:w="80" w:type="dxa"/>
              <w:bottom w:w="70" w:type="dxa"/>
              <w:right w:w="80" w:type="dxa"/>
            </w:tcMar>
          </w:tcPr>
          <w:p>
            <w:r>
              <w:rPr>
                <w:sz w:val="15"/>
              </w:rPr>
              <w:t>§28; RB-GRO-01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GRO-01-R08</w:t>
            </w:r>
          </w:p>
        </w:tc>
        <w:tc>
          <w:tcPr>
            <w:tcW w:type="dxa" w:w="1531"/>
            <w:tcMar>
              <w:top w:w="70" w:type="dxa"/>
              <w:left w:w="80" w:type="dxa"/>
              <w:bottom w:w="70" w:type="dxa"/>
              <w:right w:w="80" w:type="dxa"/>
            </w:tcMar>
          </w:tcPr>
          <w:p>
            <w:r>
              <w:rPr>
                <w:sz w:val="15"/>
              </w:rPr>
              <w:t>CRM, Leads, Sales Pipeline &amp; Trials</w:t>
            </w:r>
          </w:p>
        </w:tc>
        <w:tc>
          <w:tcPr>
            <w:tcW w:type="dxa" w:w="1531"/>
            <w:tcMar>
              <w:top w:w="70" w:type="dxa"/>
              <w:left w:w="80" w:type="dxa"/>
              <w:bottom w:w="70" w:type="dxa"/>
              <w:right w:w="80" w:type="dxa"/>
            </w:tcMar>
          </w:tcPr>
          <w:p>
            <w:r>
              <w:rPr>
                <w:sz w:val="15"/>
              </w:rPr>
              <w:t>Sales dashboards for response time, stage aging, conversion, source ROI and representative performance.</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GRO-01</w:t>
            </w:r>
          </w:p>
        </w:tc>
        <w:tc>
          <w:tcPr>
            <w:tcW w:type="dxa" w:w="1531"/>
            <w:tcMar>
              <w:top w:w="70" w:type="dxa"/>
              <w:left w:w="80" w:type="dxa"/>
              <w:bottom w:w="70" w:type="dxa"/>
              <w:right w:w="80" w:type="dxa"/>
            </w:tcMar>
          </w:tcPr>
          <w:p>
            <w:r>
              <w:rPr>
                <w:sz w:val="15"/>
              </w:rPr>
              <w:t>§10.10 GRO-01 Implementation Contract; §10/§18</w:t>
            </w:r>
          </w:p>
        </w:tc>
        <w:tc>
          <w:tcPr>
            <w:tcW w:type="dxa" w:w="1531"/>
            <w:tcMar>
              <w:top w:w="70" w:type="dxa"/>
              <w:left w:w="80" w:type="dxa"/>
              <w:bottom w:w="70" w:type="dxa"/>
              <w:right w:w="80" w:type="dxa"/>
            </w:tcMar>
          </w:tcPr>
          <w:p>
            <w:r>
              <w:rPr>
                <w:sz w:val="15"/>
              </w:rPr>
              <w:t>§27; INV-GRO-01; API/event contract tests; requirement GRO-01-R08</w:t>
            </w:r>
          </w:p>
        </w:tc>
        <w:tc>
          <w:tcPr>
            <w:tcW w:type="dxa" w:w="1531"/>
            <w:tcMar>
              <w:top w:w="70" w:type="dxa"/>
              <w:left w:w="80" w:type="dxa"/>
              <w:bottom w:w="70" w:type="dxa"/>
              <w:right w:w="80" w:type="dxa"/>
            </w:tcMar>
          </w:tcPr>
          <w:p>
            <w:r>
              <w:rPr>
                <w:sz w:val="15"/>
              </w:rPr>
              <w:t>§28; RB-GRO-01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GRO-02-R01</w:t>
            </w:r>
          </w:p>
        </w:tc>
        <w:tc>
          <w:tcPr>
            <w:tcW w:type="dxa" w:w="1531"/>
            <w:tcMar>
              <w:top w:w="70" w:type="dxa"/>
              <w:left w:w="80" w:type="dxa"/>
              <w:bottom w:w="70" w:type="dxa"/>
              <w:right w:w="80" w:type="dxa"/>
            </w:tcMar>
          </w:tcPr>
          <w:p>
            <w:r>
              <w:rPr>
                <w:sz w:val="15"/>
              </w:rPr>
              <w:t>Marketing, Referrals, Offers &amp; Growth Journeys</w:t>
            </w:r>
          </w:p>
        </w:tc>
        <w:tc>
          <w:tcPr>
            <w:tcW w:type="dxa" w:w="1531"/>
            <w:tcMar>
              <w:top w:w="70" w:type="dxa"/>
              <w:left w:w="80" w:type="dxa"/>
              <w:bottom w:w="70" w:type="dxa"/>
              <w:right w:w="80" w:type="dxa"/>
            </w:tcMar>
          </w:tcPr>
          <w:p>
            <w:r>
              <w:rPr>
                <w:sz w:val="15"/>
              </w:rPr>
              <w:t>Audience builder using lifecycle, membership, attendance, spending, coaching, engagement, location and risk.</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GRO-02</w:t>
            </w:r>
          </w:p>
        </w:tc>
        <w:tc>
          <w:tcPr>
            <w:tcW w:type="dxa" w:w="1531"/>
            <w:tcMar>
              <w:top w:w="70" w:type="dxa"/>
              <w:left w:w="80" w:type="dxa"/>
              <w:bottom w:w="70" w:type="dxa"/>
              <w:right w:w="80" w:type="dxa"/>
            </w:tcMar>
          </w:tcPr>
          <w:p>
            <w:r>
              <w:rPr>
                <w:sz w:val="15"/>
              </w:rPr>
              <w:t>§10.11 GRO-02 Implementation Contract; §10/§18</w:t>
            </w:r>
          </w:p>
        </w:tc>
        <w:tc>
          <w:tcPr>
            <w:tcW w:type="dxa" w:w="1531"/>
            <w:tcMar>
              <w:top w:w="70" w:type="dxa"/>
              <w:left w:w="80" w:type="dxa"/>
              <w:bottom w:w="70" w:type="dxa"/>
              <w:right w:w="80" w:type="dxa"/>
            </w:tcMar>
          </w:tcPr>
          <w:p>
            <w:r>
              <w:rPr>
                <w:sz w:val="15"/>
              </w:rPr>
              <w:t>§27; INV-GRO-02; API/event contract tests; requirement GRO-02-R01</w:t>
            </w:r>
          </w:p>
        </w:tc>
        <w:tc>
          <w:tcPr>
            <w:tcW w:type="dxa" w:w="1531"/>
            <w:tcMar>
              <w:top w:w="70" w:type="dxa"/>
              <w:left w:w="80" w:type="dxa"/>
              <w:bottom w:w="70" w:type="dxa"/>
              <w:right w:w="80" w:type="dxa"/>
            </w:tcMar>
          </w:tcPr>
          <w:p>
            <w:r>
              <w:rPr>
                <w:sz w:val="15"/>
              </w:rPr>
              <w:t>§28; RB-GRO-02</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GRO-02-R02</w:t>
            </w:r>
          </w:p>
        </w:tc>
        <w:tc>
          <w:tcPr>
            <w:tcW w:type="dxa" w:w="1531"/>
            <w:tcMar>
              <w:top w:w="70" w:type="dxa"/>
              <w:left w:w="80" w:type="dxa"/>
              <w:bottom w:w="70" w:type="dxa"/>
              <w:right w:w="80" w:type="dxa"/>
            </w:tcMar>
          </w:tcPr>
          <w:p>
            <w:r>
              <w:rPr>
                <w:sz w:val="15"/>
              </w:rPr>
              <w:t>Marketing, Referrals, Offers &amp; Growth Journeys</w:t>
            </w:r>
          </w:p>
        </w:tc>
        <w:tc>
          <w:tcPr>
            <w:tcW w:type="dxa" w:w="1531"/>
            <w:tcMar>
              <w:top w:w="70" w:type="dxa"/>
              <w:left w:w="80" w:type="dxa"/>
              <w:bottom w:w="70" w:type="dxa"/>
              <w:right w:w="80" w:type="dxa"/>
            </w:tcMar>
          </w:tcPr>
          <w:p>
            <w:r>
              <w:rPr>
                <w:sz w:val="15"/>
              </w:rPr>
              <w:t>Campaign orchestration across email, push, SMS, WhatsApp and in-app placements.</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GRO-02</w:t>
            </w:r>
          </w:p>
        </w:tc>
        <w:tc>
          <w:tcPr>
            <w:tcW w:type="dxa" w:w="1531"/>
            <w:tcMar>
              <w:top w:w="70" w:type="dxa"/>
              <w:left w:w="80" w:type="dxa"/>
              <w:bottom w:w="70" w:type="dxa"/>
              <w:right w:w="80" w:type="dxa"/>
            </w:tcMar>
          </w:tcPr>
          <w:p>
            <w:r>
              <w:rPr>
                <w:sz w:val="15"/>
              </w:rPr>
              <w:t>§10.11 GRO-02 Implementation Contract; §10/§18</w:t>
            </w:r>
          </w:p>
        </w:tc>
        <w:tc>
          <w:tcPr>
            <w:tcW w:type="dxa" w:w="1531"/>
            <w:tcMar>
              <w:top w:w="70" w:type="dxa"/>
              <w:left w:w="80" w:type="dxa"/>
              <w:bottom w:w="70" w:type="dxa"/>
              <w:right w:w="80" w:type="dxa"/>
            </w:tcMar>
          </w:tcPr>
          <w:p>
            <w:r>
              <w:rPr>
                <w:sz w:val="15"/>
              </w:rPr>
              <w:t>§27; INV-GRO-02; API/event contract tests; requirement GRO-02-R02</w:t>
            </w:r>
          </w:p>
        </w:tc>
        <w:tc>
          <w:tcPr>
            <w:tcW w:type="dxa" w:w="1531"/>
            <w:tcMar>
              <w:top w:w="70" w:type="dxa"/>
              <w:left w:w="80" w:type="dxa"/>
              <w:bottom w:w="70" w:type="dxa"/>
              <w:right w:w="80" w:type="dxa"/>
            </w:tcMar>
          </w:tcPr>
          <w:p>
            <w:r>
              <w:rPr>
                <w:sz w:val="15"/>
              </w:rPr>
              <w:t>§28; RB-GRO-02</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GRO-02-R03</w:t>
            </w:r>
          </w:p>
        </w:tc>
        <w:tc>
          <w:tcPr>
            <w:tcW w:type="dxa" w:w="1531"/>
            <w:tcMar>
              <w:top w:w="70" w:type="dxa"/>
              <w:left w:w="80" w:type="dxa"/>
              <w:bottom w:w="70" w:type="dxa"/>
              <w:right w:w="80" w:type="dxa"/>
            </w:tcMar>
          </w:tcPr>
          <w:p>
            <w:r>
              <w:rPr>
                <w:sz w:val="15"/>
              </w:rPr>
              <w:t>Marketing, Referrals, Offers &amp; Growth Journeys</w:t>
            </w:r>
          </w:p>
        </w:tc>
        <w:tc>
          <w:tcPr>
            <w:tcW w:type="dxa" w:w="1531"/>
            <w:tcMar>
              <w:top w:w="70" w:type="dxa"/>
              <w:left w:w="80" w:type="dxa"/>
              <w:bottom w:w="70" w:type="dxa"/>
              <w:right w:w="80" w:type="dxa"/>
            </w:tcMar>
          </w:tcPr>
          <w:p>
            <w:r>
              <w:rPr>
                <w:sz w:val="15"/>
              </w:rPr>
              <w:t>Referral links, codes and QR with sponsor tracking, fraud checks, qualification and rewards.</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GRO-02</w:t>
            </w:r>
          </w:p>
        </w:tc>
        <w:tc>
          <w:tcPr>
            <w:tcW w:type="dxa" w:w="1531"/>
            <w:tcMar>
              <w:top w:w="70" w:type="dxa"/>
              <w:left w:w="80" w:type="dxa"/>
              <w:bottom w:w="70" w:type="dxa"/>
              <w:right w:w="80" w:type="dxa"/>
            </w:tcMar>
          </w:tcPr>
          <w:p>
            <w:r>
              <w:rPr>
                <w:sz w:val="15"/>
              </w:rPr>
              <w:t>§10.11 GRO-02 Implementation Contract; §10/§18</w:t>
            </w:r>
          </w:p>
        </w:tc>
        <w:tc>
          <w:tcPr>
            <w:tcW w:type="dxa" w:w="1531"/>
            <w:tcMar>
              <w:top w:w="70" w:type="dxa"/>
              <w:left w:w="80" w:type="dxa"/>
              <w:bottom w:w="70" w:type="dxa"/>
              <w:right w:w="80" w:type="dxa"/>
            </w:tcMar>
          </w:tcPr>
          <w:p>
            <w:r>
              <w:rPr>
                <w:sz w:val="15"/>
              </w:rPr>
              <w:t>§27; INV-GRO-02; API/event contract tests; requirement GRO-02-R03</w:t>
            </w:r>
          </w:p>
        </w:tc>
        <w:tc>
          <w:tcPr>
            <w:tcW w:type="dxa" w:w="1531"/>
            <w:tcMar>
              <w:top w:w="70" w:type="dxa"/>
              <w:left w:w="80" w:type="dxa"/>
              <w:bottom w:w="70" w:type="dxa"/>
              <w:right w:w="80" w:type="dxa"/>
            </w:tcMar>
          </w:tcPr>
          <w:p>
            <w:r>
              <w:rPr>
                <w:sz w:val="15"/>
              </w:rPr>
              <w:t>§28; RB-GRO-02</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GRO-02-R04</w:t>
            </w:r>
          </w:p>
        </w:tc>
        <w:tc>
          <w:tcPr>
            <w:tcW w:type="dxa" w:w="1531"/>
            <w:tcMar>
              <w:top w:w="70" w:type="dxa"/>
              <w:left w:w="80" w:type="dxa"/>
              <w:bottom w:w="70" w:type="dxa"/>
              <w:right w:w="80" w:type="dxa"/>
            </w:tcMar>
          </w:tcPr>
          <w:p>
            <w:r>
              <w:rPr>
                <w:sz w:val="15"/>
              </w:rPr>
              <w:t>Marketing, Referrals, Offers &amp; Growth Journeys</w:t>
            </w:r>
          </w:p>
        </w:tc>
        <w:tc>
          <w:tcPr>
            <w:tcW w:type="dxa" w:w="1531"/>
            <w:tcMar>
              <w:top w:w="70" w:type="dxa"/>
              <w:left w:w="80" w:type="dxa"/>
              <w:bottom w:w="70" w:type="dxa"/>
              <w:right w:w="80" w:type="dxa"/>
            </w:tcMar>
          </w:tcPr>
          <w:p>
            <w:r>
              <w:rPr>
                <w:sz w:val="15"/>
              </w:rPr>
              <w:t>Lifecycle journeys for onboarding, first visit, inactivity, expiration, birthday, milestone and win-back.</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GRO-02</w:t>
            </w:r>
          </w:p>
        </w:tc>
        <w:tc>
          <w:tcPr>
            <w:tcW w:type="dxa" w:w="1531"/>
            <w:tcMar>
              <w:top w:w="70" w:type="dxa"/>
              <w:left w:w="80" w:type="dxa"/>
              <w:bottom w:w="70" w:type="dxa"/>
              <w:right w:w="80" w:type="dxa"/>
            </w:tcMar>
          </w:tcPr>
          <w:p>
            <w:r>
              <w:rPr>
                <w:sz w:val="15"/>
              </w:rPr>
              <w:t>§10.11 GRO-02 Implementation Contract; §10/§18</w:t>
            </w:r>
          </w:p>
        </w:tc>
        <w:tc>
          <w:tcPr>
            <w:tcW w:type="dxa" w:w="1531"/>
            <w:tcMar>
              <w:top w:w="70" w:type="dxa"/>
              <w:left w:w="80" w:type="dxa"/>
              <w:bottom w:w="70" w:type="dxa"/>
              <w:right w:w="80" w:type="dxa"/>
            </w:tcMar>
          </w:tcPr>
          <w:p>
            <w:r>
              <w:rPr>
                <w:sz w:val="15"/>
              </w:rPr>
              <w:t>§27; INV-GRO-02; API/event contract tests; requirement GRO-02-R04</w:t>
            </w:r>
          </w:p>
        </w:tc>
        <w:tc>
          <w:tcPr>
            <w:tcW w:type="dxa" w:w="1531"/>
            <w:tcMar>
              <w:top w:w="70" w:type="dxa"/>
              <w:left w:w="80" w:type="dxa"/>
              <w:bottom w:w="70" w:type="dxa"/>
              <w:right w:w="80" w:type="dxa"/>
            </w:tcMar>
          </w:tcPr>
          <w:p>
            <w:r>
              <w:rPr>
                <w:sz w:val="15"/>
              </w:rPr>
              <w:t>§28; RB-GRO-02</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GRO-02-R05</w:t>
            </w:r>
          </w:p>
        </w:tc>
        <w:tc>
          <w:tcPr>
            <w:tcW w:type="dxa" w:w="1531"/>
            <w:tcMar>
              <w:top w:w="70" w:type="dxa"/>
              <w:left w:w="80" w:type="dxa"/>
              <w:bottom w:w="70" w:type="dxa"/>
              <w:right w:w="80" w:type="dxa"/>
            </w:tcMar>
          </w:tcPr>
          <w:p>
            <w:r>
              <w:rPr>
                <w:sz w:val="15"/>
              </w:rPr>
              <w:t>Marketing, Referrals, Offers &amp; Growth Journeys</w:t>
            </w:r>
          </w:p>
        </w:tc>
        <w:tc>
          <w:tcPr>
            <w:tcW w:type="dxa" w:w="1531"/>
            <w:tcMar>
              <w:top w:w="70" w:type="dxa"/>
              <w:left w:w="80" w:type="dxa"/>
              <w:bottom w:w="70" w:type="dxa"/>
              <w:right w:w="80" w:type="dxa"/>
            </w:tcMar>
          </w:tcPr>
          <w:p>
            <w:r>
              <w:rPr>
                <w:sz w:val="15"/>
              </w:rPr>
              <w:t>Offer eligibility, frequency caps, suppression, holdout groups and attribution windows.</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GRO-02</w:t>
            </w:r>
          </w:p>
        </w:tc>
        <w:tc>
          <w:tcPr>
            <w:tcW w:type="dxa" w:w="1531"/>
            <w:tcMar>
              <w:top w:w="70" w:type="dxa"/>
              <w:left w:w="80" w:type="dxa"/>
              <w:bottom w:w="70" w:type="dxa"/>
              <w:right w:w="80" w:type="dxa"/>
            </w:tcMar>
          </w:tcPr>
          <w:p>
            <w:r>
              <w:rPr>
                <w:sz w:val="15"/>
              </w:rPr>
              <w:t>§10.11 GRO-02 Implementation Contract; §10/§18</w:t>
            </w:r>
          </w:p>
        </w:tc>
        <w:tc>
          <w:tcPr>
            <w:tcW w:type="dxa" w:w="1531"/>
            <w:tcMar>
              <w:top w:w="70" w:type="dxa"/>
              <w:left w:w="80" w:type="dxa"/>
              <w:bottom w:w="70" w:type="dxa"/>
              <w:right w:w="80" w:type="dxa"/>
            </w:tcMar>
          </w:tcPr>
          <w:p>
            <w:r>
              <w:rPr>
                <w:sz w:val="15"/>
              </w:rPr>
              <w:t>§27; INV-GRO-02; API/event contract tests; requirement GRO-02-R05</w:t>
            </w:r>
          </w:p>
        </w:tc>
        <w:tc>
          <w:tcPr>
            <w:tcW w:type="dxa" w:w="1531"/>
            <w:tcMar>
              <w:top w:w="70" w:type="dxa"/>
              <w:left w:w="80" w:type="dxa"/>
              <w:bottom w:w="70" w:type="dxa"/>
              <w:right w:w="80" w:type="dxa"/>
            </w:tcMar>
          </w:tcPr>
          <w:p>
            <w:r>
              <w:rPr>
                <w:sz w:val="15"/>
              </w:rPr>
              <w:t>§28; RB-GRO-02</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GRO-02-R06</w:t>
            </w:r>
          </w:p>
        </w:tc>
        <w:tc>
          <w:tcPr>
            <w:tcW w:type="dxa" w:w="1531"/>
            <w:tcMar>
              <w:top w:w="70" w:type="dxa"/>
              <w:left w:w="80" w:type="dxa"/>
              <w:bottom w:w="70" w:type="dxa"/>
              <w:right w:w="80" w:type="dxa"/>
            </w:tcMar>
          </w:tcPr>
          <w:p>
            <w:r>
              <w:rPr>
                <w:sz w:val="15"/>
              </w:rPr>
              <w:t>Marketing, Referrals, Offers &amp; Growth Journeys</w:t>
            </w:r>
          </w:p>
        </w:tc>
        <w:tc>
          <w:tcPr>
            <w:tcW w:type="dxa" w:w="1531"/>
            <w:tcMar>
              <w:top w:w="70" w:type="dxa"/>
              <w:left w:w="80" w:type="dxa"/>
              <w:bottom w:w="70" w:type="dxa"/>
              <w:right w:w="80" w:type="dxa"/>
            </w:tcMar>
          </w:tcPr>
          <w:p>
            <w:r>
              <w:rPr>
                <w:sz w:val="15"/>
              </w:rPr>
              <w:t>Landing pages and lead forms governed by brand and localization settings.</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GRO-02</w:t>
            </w:r>
          </w:p>
        </w:tc>
        <w:tc>
          <w:tcPr>
            <w:tcW w:type="dxa" w:w="1531"/>
            <w:tcMar>
              <w:top w:w="70" w:type="dxa"/>
              <w:left w:w="80" w:type="dxa"/>
              <w:bottom w:w="70" w:type="dxa"/>
              <w:right w:w="80" w:type="dxa"/>
            </w:tcMar>
          </w:tcPr>
          <w:p>
            <w:r>
              <w:rPr>
                <w:sz w:val="15"/>
              </w:rPr>
              <w:t>§10.11 GRO-02 Implementation Contract; §10/§18</w:t>
            </w:r>
          </w:p>
        </w:tc>
        <w:tc>
          <w:tcPr>
            <w:tcW w:type="dxa" w:w="1531"/>
            <w:tcMar>
              <w:top w:w="70" w:type="dxa"/>
              <w:left w:w="80" w:type="dxa"/>
              <w:bottom w:w="70" w:type="dxa"/>
              <w:right w:w="80" w:type="dxa"/>
            </w:tcMar>
          </w:tcPr>
          <w:p>
            <w:r>
              <w:rPr>
                <w:sz w:val="15"/>
              </w:rPr>
              <w:t>§27; INV-GRO-02; API/event contract tests; requirement GRO-02-R06</w:t>
            </w:r>
          </w:p>
        </w:tc>
        <w:tc>
          <w:tcPr>
            <w:tcW w:type="dxa" w:w="1531"/>
            <w:tcMar>
              <w:top w:w="70" w:type="dxa"/>
              <w:left w:w="80" w:type="dxa"/>
              <w:bottom w:w="70" w:type="dxa"/>
              <w:right w:w="80" w:type="dxa"/>
            </w:tcMar>
          </w:tcPr>
          <w:p>
            <w:r>
              <w:rPr>
                <w:sz w:val="15"/>
              </w:rPr>
              <w:t>§28; RB-GRO-02</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GRO-02-R07</w:t>
            </w:r>
          </w:p>
        </w:tc>
        <w:tc>
          <w:tcPr>
            <w:tcW w:type="dxa" w:w="1531"/>
            <w:tcMar>
              <w:top w:w="70" w:type="dxa"/>
              <w:left w:w="80" w:type="dxa"/>
              <w:bottom w:w="70" w:type="dxa"/>
              <w:right w:w="80" w:type="dxa"/>
            </w:tcMar>
          </w:tcPr>
          <w:p>
            <w:r>
              <w:rPr>
                <w:sz w:val="15"/>
              </w:rPr>
              <w:t>Marketing, Referrals, Offers &amp; Growth Journeys</w:t>
            </w:r>
          </w:p>
        </w:tc>
        <w:tc>
          <w:tcPr>
            <w:tcW w:type="dxa" w:w="1531"/>
            <w:tcMar>
              <w:top w:w="70" w:type="dxa"/>
              <w:left w:w="80" w:type="dxa"/>
              <w:bottom w:w="70" w:type="dxa"/>
              <w:right w:w="80" w:type="dxa"/>
            </w:tcMar>
          </w:tcPr>
          <w:p>
            <w:r>
              <w:rPr>
                <w:sz w:val="15"/>
              </w:rPr>
              <w:t>Incrementality and conversion reporting instead of message-open metrics alone.</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GRO-02</w:t>
            </w:r>
          </w:p>
        </w:tc>
        <w:tc>
          <w:tcPr>
            <w:tcW w:type="dxa" w:w="1531"/>
            <w:tcMar>
              <w:top w:w="70" w:type="dxa"/>
              <w:left w:w="80" w:type="dxa"/>
              <w:bottom w:w="70" w:type="dxa"/>
              <w:right w:w="80" w:type="dxa"/>
            </w:tcMar>
          </w:tcPr>
          <w:p>
            <w:r>
              <w:rPr>
                <w:sz w:val="15"/>
              </w:rPr>
              <w:t>§10.11 GRO-02 Implementation Contract; §10/§18</w:t>
            </w:r>
          </w:p>
        </w:tc>
        <w:tc>
          <w:tcPr>
            <w:tcW w:type="dxa" w:w="1531"/>
            <w:tcMar>
              <w:top w:w="70" w:type="dxa"/>
              <w:left w:w="80" w:type="dxa"/>
              <w:bottom w:w="70" w:type="dxa"/>
              <w:right w:w="80" w:type="dxa"/>
            </w:tcMar>
          </w:tcPr>
          <w:p>
            <w:r>
              <w:rPr>
                <w:sz w:val="15"/>
              </w:rPr>
              <w:t>§27; INV-GRO-02; API/event contract tests; requirement GRO-02-R07</w:t>
            </w:r>
          </w:p>
        </w:tc>
        <w:tc>
          <w:tcPr>
            <w:tcW w:type="dxa" w:w="1531"/>
            <w:tcMar>
              <w:top w:w="70" w:type="dxa"/>
              <w:left w:w="80" w:type="dxa"/>
              <w:bottom w:w="70" w:type="dxa"/>
              <w:right w:w="80" w:type="dxa"/>
            </w:tcMar>
          </w:tcPr>
          <w:p>
            <w:r>
              <w:rPr>
                <w:sz w:val="15"/>
              </w:rPr>
              <w:t>§28; RB-GRO-02</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COM-01-R01</w:t>
            </w:r>
          </w:p>
        </w:tc>
        <w:tc>
          <w:tcPr>
            <w:tcW w:type="dxa" w:w="1531"/>
            <w:tcMar>
              <w:top w:w="70" w:type="dxa"/>
              <w:left w:w="80" w:type="dxa"/>
              <w:bottom w:w="70" w:type="dxa"/>
              <w:right w:w="80" w:type="dxa"/>
            </w:tcMar>
          </w:tcPr>
          <w:p>
            <w:r>
              <w:rPr>
                <w:sz w:val="15"/>
              </w:rPr>
              <w:t>Memberships, Contracts, Entitlements &amp; Lifecycle</w:t>
            </w:r>
          </w:p>
        </w:tc>
        <w:tc>
          <w:tcPr>
            <w:tcW w:type="dxa" w:w="1531"/>
            <w:tcMar>
              <w:top w:w="70" w:type="dxa"/>
              <w:left w:w="80" w:type="dxa"/>
              <w:bottom w:w="70" w:type="dxa"/>
              <w:right w:w="80" w:type="dxa"/>
            </w:tcMar>
          </w:tcPr>
          <w:p>
            <w:r>
              <w:rPr>
                <w:sz w:val="15"/>
              </w:rPr>
              <w:t>Fixed-term, recurring, installment, prepaid, off-peak, family, student, corporate, class-credit and unlimited memberships.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COM-01</w:t>
            </w:r>
          </w:p>
        </w:tc>
        <w:tc>
          <w:tcPr>
            <w:tcW w:type="dxa" w:w="1531"/>
            <w:tcMar>
              <w:top w:w="70" w:type="dxa"/>
              <w:left w:w="80" w:type="dxa"/>
              <w:bottom w:w="70" w:type="dxa"/>
              <w:right w:w="80" w:type="dxa"/>
            </w:tcMar>
          </w:tcPr>
          <w:p>
            <w:r>
              <w:rPr>
                <w:sz w:val="15"/>
              </w:rPr>
              <w:t>§10.12 COM-01 Implementation Contract; §14/§15</w:t>
            </w:r>
          </w:p>
        </w:tc>
        <w:tc>
          <w:tcPr>
            <w:tcW w:type="dxa" w:w="1531"/>
            <w:tcMar>
              <w:top w:w="70" w:type="dxa"/>
              <w:left w:w="80" w:type="dxa"/>
              <w:bottom w:w="70" w:type="dxa"/>
              <w:right w:w="80" w:type="dxa"/>
            </w:tcMar>
          </w:tcPr>
          <w:p>
            <w:r>
              <w:rPr>
                <w:sz w:val="15"/>
              </w:rPr>
              <w:t>§27; INV-COM-01; API/event contract tests; requirement COM-01-R01</w:t>
            </w:r>
          </w:p>
        </w:tc>
        <w:tc>
          <w:tcPr>
            <w:tcW w:type="dxa" w:w="1531"/>
            <w:tcMar>
              <w:top w:w="70" w:type="dxa"/>
              <w:left w:w="80" w:type="dxa"/>
              <w:bottom w:w="70" w:type="dxa"/>
              <w:right w:w="80" w:type="dxa"/>
            </w:tcMar>
          </w:tcPr>
          <w:p>
            <w:r>
              <w:rPr>
                <w:sz w:val="15"/>
              </w:rPr>
              <w:t>§28; RB-COM-01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COM-01-R02</w:t>
            </w:r>
          </w:p>
        </w:tc>
        <w:tc>
          <w:tcPr>
            <w:tcW w:type="dxa" w:w="1531"/>
            <w:tcMar>
              <w:top w:w="70" w:type="dxa"/>
              <w:left w:w="80" w:type="dxa"/>
              <w:bottom w:w="70" w:type="dxa"/>
              <w:right w:w="80" w:type="dxa"/>
            </w:tcMar>
          </w:tcPr>
          <w:p>
            <w:r>
              <w:rPr>
                <w:sz w:val="15"/>
              </w:rPr>
              <w:t>Memberships, Contracts, Entitlements &amp; Lifecycle</w:t>
            </w:r>
          </w:p>
        </w:tc>
        <w:tc>
          <w:tcPr>
            <w:tcW w:type="dxa" w:w="1531"/>
            <w:tcMar>
              <w:top w:w="70" w:type="dxa"/>
              <w:left w:w="80" w:type="dxa"/>
              <w:bottom w:w="70" w:type="dxa"/>
              <w:right w:w="80" w:type="dxa"/>
            </w:tcMar>
          </w:tcPr>
          <w:p>
            <w:r>
              <w:rPr>
                <w:sz w:val="15"/>
              </w:rPr>
              <w:t>Contract version, signature, start/end, minimum term, notice, renewal and cancellation policy.</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COM-01</w:t>
            </w:r>
          </w:p>
        </w:tc>
        <w:tc>
          <w:tcPr>
            <w:tcW w:type="dxa" w:w="1531"/>
            <w:tcMar>
              <w:top w:w="70" w:type="dxa"/>
              <w:left w:w="80" w:type="dxa"/>
              <w:bottom w:w="70" w:type="dxa"/>
              <w:right w:w="80" w:type="dxa"/>
            </w:tcMar>
          </w:tcPr>
          <w:p>
            <w:r>
              <w:rPr>
                <w:sz w:val="15"/>
              </w:rPr>
              <w:t>§10.12 COM-01 Implementation Contract; §14/§15</w:t>
            </w:r>
          </w:p>
        </w:tc>
        <w:tc>
          <w:tcPr>
            <w:tcW w:type="dxa" w:w="1531"/>
            <w:tcMar>
              <w:top w:w="70" w:type="dxa"/>
              <w:left w:w="80" w:type="dxa"/>
              <w:bottom w:w="70" w:type="dxa"/>
              <w:right w:w="80" w:type="dxa"/>
            </w:tcMar>
          </w:tcPr>
          <w:p>
            <w:r>
              <w:rPr>
                <w:sz w:val="15"/>
              </w:rPr>
              <w:t>§27; INV-COM-01; API/event contract tests; requirement COM-01-R02</w:t>
            </w:r>
          </w:p>
        </w:tc>
        <w:tc>
          <w:tcPr>
            <w:tcW w:type="dxa" w:w="1531"/>
            <w:tcMar>
              <w:top w:w="70" w:type="dxa"/>
              <w:left w:w="80" w:type="dxa"/>
              <w:bottom w:w="70" w:type="dxa"/>
              <w:right w:w="80" w:type="dxa"/>
            </w:tcMar>
          </w:tcPr>
          <w:p>
            <w:r>
              <w:rPr>
                <w:sz w:val="15"/>
              </w:rPr>
              <w:t>§28; RB-COM-01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COM-01-R03</w:t>
            </w:r>
          </w:p>
        </w:tc>
        <w:tc>
          <w:tcPr>
            <w:tcW w:type="dxa" w:w="1531"/>
            <w:tcMar>
              <w:top w:w="70" w:type="dxa"/>
              <w:left w:w="80" w:type="dxa"/>
              <w:bottom w:w="70" w:type="dxa"/>
              <w:right w:w="80" w:type="dxa"/>
            </w:tcMar>
          </w:tcPr>
          <w:p>
            <w:r>
              <w:rPr>
                <w:sz w:val="15"/>
              </w:rPr>
              <w:t>Memberships, Contracts, Entitlements &amp; Lifecycle</w:t>
            </w:r>
          </w:p>
        </w:tc>
        <w:tc>
          <w:tcPr>
            <w:tcW w:type="dxa" w:w="1531"/>
            <w:tcMar>
              <w:top w:w="70" w:type="dxa"/>
              <w:left w:w="80" w:type="dxa"/>
              <w:bottom w:w="70" w:type="dxa"/>
              <w:right w:w="80" w:type="dxa"/>
            </w:tcMar>
          </w:tcPr>
          <w:p>
            <w:r>
              <w:rPr>
                <w:sz w:val="15"/>
              </w:rPr>
              <w:t>Entitlements for locations, schedules, zones, classes, facilities, services, guest passes, discounts and digital content.</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COM-01</w:t>
            </w:r>
          </w:p>
        </w:tc>
        <w:tc>
          <w:tcPr>
            <w:tcW w:type="dxa" w:w="1531"/>
            <w:tcMar>
              <w:top w:w="70" w:type="dxa"/>
              <w:left w:w="80" w:type="dxa"/>
              <w:bottom w:w="70" w:type="dxa"/>
              <w:right w:w="80" w:type="dxa"/>
            </w:tcMar>
          </w:tcPr>
          <w:p>
            <w:r>
              <w:rPr>
                <w:sz w:val="15"/>
              </w:rPr>
              <w:t>§10.12 COM-01 Implementation Contract; §14/§15</w:t>
            </w:r>
          </w:p>
        </w:tc>
        <w:tc>
          <w:tcPr>
            <w:tcW w:type="dxa" w:w="1531"/>
            <w:tcMar>
              <w:top w:w="70" w:type="dxa"/>
              <w:left w:w="80" w:type="dxa"/>
              <w:bottom w:w="70" w:type="dxa"/>
              <w:right w:w="80" w:type="dxa"/>
            </w:tcMar>
          </w:tcPr>
          <w:p>
            <w:r>
              <w:rPr>
                <w:sz w:val="15"/>
              </w:rPr>
              <w:t>§27; INV-COM-01; API/event contract tests; requirement COM-01-R03</w:t>
            </w:r>
          </w:p>
        </w:tc>
        <w:tc>
          <w:tcPr>
            <w:tcW w:type="dxa" w:w="1531"/>
            <w:tcMar>
              <w:top w:w="70" w:type="dxa"/>
              <w:left w:w="80" w:type="dxa"/>
              <w:bottom w:w="70" w:type="dxa"/>
              <w:right w:w="80" w:type="dxa"/>
            </w:tcMar>
          </w:tcPr>
          <w:p>
            <w:r>
              <w:rPr>
                <w:sz w:val="15"/>
              </w:rPr>
              <w:t>§28; RB-COM-01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COM-01-R04</w:t>
            </w:r>
          </w:p>
        </w:tc>
        <w:tc>
          <w:tcPr>
            <w:tcW w:type="dxa" w:w="1531"/>
            <w:tcMar>
              <w:top w:w="70" w:type="dxa"/>
              <w:left w:w="80" w:type="dxa"/>
              <w:bottom w:w="70" w:type="dxa"/>
              <w:right w:w="80" w:type="dxa"/>
            </w:tcMar>
          </w:tcPr>
          <w:p>
            <w:r>
              <w:rPr>
                <w:sz w:val="15"/>
              </w:rPr>
              <w:t>Memberships, Contracts, Entitlements &amp; Lifecycle</w:t>
            </w:r>
          </w:p>
        </w:tc>
        <w:tc>
          <w:tcPr>
            <w:tcW w:type="dxa" w:w="1531"/>
            <w:tcMar>
              <w:top w:w="70" w:type="dxa"/>
              <w:left w:w="80" w:type="dxa"/>
              <w:bottom w:w="70" w:type="dxa"/>
              <w:right w:w="80" w:type="dxa"/>
            </w:tcMar>
          </w:tcPr>
          <w:p>
            <w:r>
              <w:rPr>
                <w:sz w:val="15"/>
              </w:rPr>
              <w:t>Freeze, pause, medical hold, upgrade, downgrade, transfer, renewal, cancellation and reinstatement with effective dating.</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COM-01</w:t>
            </w:r>
          </w:p>
        </w:tc>
        <w:tc>
          <w:tcPr>
            <w:tcW w:type="dxa" w:w="1531"/>
            <w:tcMar>
              <w:top w:w="70" w:type="dxa"/>
              <w:left w:w="80" w:type="dxa"/>
              <w:bottom w:w="70" w:type="dxa"/>
              <w:right w:w="80" w:type="dxa"/>
            </w:tcMar>
          </w:tcPr>
          <w:p>
            <w:r>
              <w:rPr>
                <w:sz w:val="15"/>
              </w:rPr>
              <w:t>§10.12 COM-01 Implementation Contract; §14/§15</w:t>
            </w:r>
          </w:p>
        </w:tc>
        <w:tc>
          <w:tcPr>
            <w:tcW w:type="dxa" w:w="1531"/>
            <w:tcMar>
              <w:top w:w="70" w:type="dxa"/>
              <w:left w:w="80" w:type="dxa"/>
              <w:bottom w:w="70" w:type="dxa"/>
              <w:right w:w="80" w:type="dxa"/>
            </w:tcMar>
          </w:tcPr>
          <w:p>
            <w:r>
              <w:rPr>
                <w:sz w:val="15"/>
              </w:rPr>
              <w:t>§27; INV-COM-01; API/event contract tests; requirement COM-01-R04</w:t>
            </w:r>
          </w:p>
        </w:tc>
        <w:tc>
          <w:tcPr>
            <w:tcW w:type="dxa" w:w="1531"/>
            <w:tcMar>
              <w:top w:w="70" w:type="dxa"/>
              <w:left w:w="80" w:type="dxa"/>
              <w:bottom w:w="70" w:type="dxa"/>
              <w:right w:w="80" w:type="dxa"/>
            </w:tcMar>
          </w:tcPr>
          <w:p>
            <w:r>
              <w:rPr>
                <w:sz w:val="15"/>
              </w:rPr>
              <w:t>§28; RB-COM-01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COM-01-R05</w:t>
            </w:r>
          </w:p>
        </w:tc>
        <w:tc>
          <w:tcPr>
            <w:tcW w:type="dxa" w:w="1531"/>
            <w:tcMar>
              <w:top w:w="70" w:type="dxa"/>
              <w:left w:w="80" w:type="dxa"/>
              <w:bottom w:w="70" w:type="dxa"/>
              <w:right w:w="80" w:type="dxa"/>
            </w:tcMar>
          </w:tcPr>
          <w:p>
            <w:r>
              <w:rPr>
                <w:sz w:val="15"/>
              </w:rPr>
              <w:t>Memberships, Contracts, Entitlements &amp; Lifecycle</w:t>
            </w:r>
          </w:p>
        </w:tc>
        <w:tc>
          <w:tcPr>
            <w:tcW w:type="dxa" w:w="1531"/>
            <w:tcMar>
              <w:top w:w="70" w:type="dxa"/>
              <w:left w:w="80" w:type="dxa"/>
              <w:bottom w:w="70" w:type="dxa"/>
              <w:right w:w="80" w:type="dxa"/>
            </w:tcMar>
          </w:tcPr>
          <w:p>
            <w:r>
              <w:rPr>
                <w:sz w:val="15"/>
              </w:rPr>
              <w:t>Proration, credit carryover, expiry extension, grace period and access consequences.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COM-01</w:t>
            </w:r>
          </w:p>
        </w:tc>
        <w:tc>
          <w:tcPr>
            <w:tcW w:type="dxa" w:w="1531"/>
            <w:tcMar>
              <w:top w:w="70" w:type="dxa"/>
              <w:left w:w="80" w:type="dxa"/>
              <w:bottom w:w="70" w:type="dxa"/>
              <w:right w:w="80" w:type="dxa"/>
            </w:tcMar>
          </w:tcPr>
          <w:p>
            <w:r>
              <w:rPr>
                <w:sz w:val="15"/>
              </w:rPr>
              <w:t>§10.12 COM-01 Implementation Contract; §14/§15</w:t>
            </w:r>
          </w:p>
        </w:tc>
        <w:tc>
          <w:tcPr>
            <w:tcW w:type="dxa" w:w="1531"/>
            <w:tcMar>
              <w:top w:w="70" w:type="dxa"/>
              <w:left w:w="80" w:type="dxa"/>
              <w:bottom w:w="70" w:type="dxa"/>
              <w:right w:w="80" w:type="dxa"/>
            </w:tcMar>
          </w:tcPr>
          <w:p>
            <w:r>
              <w:rPr>
                <w:sz w:val="15"/>
              </w:rPr>
              <w:t>§27; INV-COM-01; API/event contract tests; requirement COM-01-R05</w:t>
            </w:r>
          </w:p>
        </w:tc>
        <w:tc>
          <w:tcPr>
            <w:tcW w:type="dxa" w:w="1531"/>
            <w:tcMar>
              <w:top w:w="70" w:type="dxa"/>
              <w:left w:w="80" w:type="dxa"/>
              <w:bottom w:w="70" w:type="dxa"/>
              <w:right w:w="80" w:type="dxa"/>
            </w:tcMar>
          </w:tcPr>
          <w:p>
            <w:r>
              <w:rPr>
                <w:sz w:val="15"/>
              </w:rPr>
              <w:t>§28; RB-COM-01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COM-01-R06</w:t>
            </w:r>
          </w:p>
        </w:tc>
        <w:tc>
          <w:tcPr>
            <w:tcW w:type="dxa" w:w="1531"/>
            <w:tcMar>
              <w:top w:w="70" w:type="dxa"/>
              <w:left w:w="80" w:type="dxa"/>
              <w:bottom w:w="70" w:type="dxa"/>
              <w:right w:w="80" w:type="dxa"/>
            </w:tcMar>
          </w:tcPr>
          <w:p>
            <w:r>
              <w:rPr>
                <w:sz w:val="15"/>
              </w:rPr>
              <w:t>Memberships, Contracts, Entitlements &amp; Lifecycle</w:t>
            </w:r>
          </w:p>
        </w:tc>
        <w:tc>
          <w:tcPr>
            <w:tcW w:type="dxa" w:w="1531"/>
            <w:tcMar>
              <w:top w:w="70" w:type="dxa"/>
              <w:left w:w="80" w:type="dxa"/>
              <w:bottom w:w="70" w:type="dxa"/>
              <w:right w:w="80" w:type="dxa"/>
            </w:tcMar>
          </w:tcPr>
          <w:p>
            <w:r>
              <w:rPr>
                <w:sz w:val="15"/>
              </w:rPr>
              <w:t>Member self-service request policies with eligibility checks, fee disclosure and approval where required.</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COM-01</w:t>
            </w:r>
          </w:p>
        </w:tc>
        <w:tc>
          <w:tcPr>
            <w:tcW w:type="dxa" w:w="1531"/>
            <w:tcMar>
              <w:top w:w="70" w:type="dxa"/>
              <w:left w:w="80" w:type="dxa"/>
              <w:bottom w:w="70" w:type="dxa"/>
              <w:right w:w="80" w:type="dxa"/>
            </w:tcMar>
          </w:tcPr>
          <w:p>
            <w:r>
              <w:rPr>
                <w:sz w:val="15"/>
              </w:rPr>
              <w:t>§10.12 COM-01 Implementation Contract; §14/§15</w:t>
            </w:r>
          </w:p>
        </w:tc>
        <w:tc>
          <w:tcPr>
            <w:tcW w:type="dxa" w:w="1531"/>
            <w:tcMar>
              <w:top w:w="70" w:type="dxa"/>
              <w:left w:w="80" w:type="dxa"/>
              <w:bottom w:w="70" w:type="dxa"/>
              <w:right w:w="80" w:type="dxa"/>
            </w:tcMar>
          </w:tcPr>
          <w:p>
            <w:r>
              <w:rPr>
                <w:sz w:val="15"/>
              </w:rPr>
              <w:t>§27; INV-COM-01; API/event contract tests; requirement COM-01-R06</w:t>
            </w:r>
          </w:p>
        </w:tc>
        <w:tc>
          <w:tcPr>
            <w:tcW w:type="dxa" w:w="1531"/>
            <w:tcMar>
              <w:top w:w="70" w:type="dxa"/>
              <w:left w:w="80" w:type="dxa"/>
              <w:bottom w:w="70" w:type="dxa"/>
              <w:right w:w="80" w:type="dxa"/>
            </w:tcMar>
          </w:tcPr>
          <w:p>
            <w:r>
              <w:rPr>
                <w:sz w:val="15"/>
              </w:rPr>
              <w:t>§28; RB-COM-01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COM-01-R07</w:t>
            </w:r>
          </w:p>
        </w:tc>
        <w:tc>
          <w:tcPr>
            <w:tcW w:type="dxa" w:w="1531"/>
            <w:tcMar>
              <w:top w:w="70" w:type="dxa"/>
              <w:left w:w="80" w:type="dxa"/>
              <w:bottom w:w="70" w:type="dxa"/>
              <w:right w:w="80" w:type="dxa"/>
            </w:tcMar>
          </w:tcPr>
          <w:p>
            <w:r>
              <w:rPr>
                <w:sz w:val="15"/>
              </w:rPr>
              <w:t>Memberships, Contracts, Entitlements &amp; Lifecycle</w:t>
            </w:r>
          </w:p>
        </w:tc>
        <w:tc>
          <w:tcPr>
            <w:tcW w:type="dxa" w:w="1531"/>
            <w:tcMar>
              <w:top w:w="70" w:type="dxa"/>
              <w:left w:w="80" w:type="dxa"/>
              <w:bottom w:w="70" w:type="dxa"/>
              <w:right w:w="80" w:type="dxa"/>
            </w:tcMar>
          </w:tcPr>
          <w:p>
            <w:r>
              <w:rPr>
                <w:sz w:val="15"/>
              </w:rPr>
              <w:t>Full state history and “as-of” reconstruction for disputes and audits.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COM-01</w:t>
            </w:r>
          </w:p>
        </w:tc>
        <w:tc>
          <w:tcPr>
            <w:tcW w:type="dxa" w:w="1531"/>
            <w:tcMar>
              <w:top w:w="70" w:type="dxa"/>
              <w:left w:w="80" w:type="dxa"/>
              <w:bottom w:w="70" w:type="dxa"/>
              <w:right w:w="80" w:type="dxa"/>
            </w:tcMar>
          </w:tcPr>
          <w:p>
            <w:r>
              <w:rPr>
                <w:sz w:val="15"/>
              </w:rPr>
              <w:t>§10.12 COM-01 Implementation Contract; §14/§15</w:t>
            </w:r>
          </w:p>
        </w:tc>
        <w:tc>
          <w:tcPr>
            <w:tcW w:type="dxa" w:w="1531"/>
            <w:tcMar>
              <w:top w:w="70" w:type="dxa"/>
              <w:left w:w="80" w:type="dxa"/>
              <w:bottom w:w="70" w:type="dxa"/>
              <w:right w:w="80" w:type="dxa"/>
            </w:tcMar>
          </w:tcPr>
          <w:p>
            <w:r>
              <w:rPr>
                <w:sz w:val="15"/>
              </w:rPr>
              <w:t>§27; INV-COM-01; API/event contract tests; requirement COM-01-R07</w:t>
            </w:r>
          </w:p>
        </w:tc>
        <w:tc>
          <w:tcPr>
            <w:tcW w:type="dxa" w:w="1531"/>
            <w:tcMar>
              <w:top w:w="70" w:type="dxa"/>
              <w:left w:w="80" w:type="dxa"/>
              <w:bottom w:w="70" w:type="dxa"/>
              <w:right w:w="80" w:type="dxa"/>
            </w:tcMar>
          </w:tcPr>
          <w:p>
            <w:r>
              <w:rPr>
                <w:sz w:val="15"/>
              </w:rPr>
              <w:t>§28; RB-COM-01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COM-02-R01</w:t>
            </w:r>
          </w:p>
        </w:tc>
        <w:tc>
          <w:tcPr>
            <w:tcW w:type="dxa" w:w="1531"/>
            <w:tcMar>
              <w:top w:w="70" w:type="dxa"/>
              <w:left w:w="80" w:type="dxa"/>
              <w:bottom w:w="70" w:type="dxa"/>
              <w:right w:w="80" w:type="dxa"/>
            </w:tcMar>
          </w:tcPr>
          <w:p>
            <w:r>
              <w:rPr>
                <w:sz w:val="15"/>
              </w:rPr>
              <w:t>Catalog, Pricing, Promotions &amp; Packages</w:t>
            </w:r>
          </w:p>
        </w:tc>
        <w:tc>
          <w:tcPr>
            <w:tcW w:type="dxa" w:w="1531"/>
            <w:tcMar>
              <w:top w:w="70" w:type="dxa"/>
              <w:left w:w="80" w:type="dxa"/>
              <w:bottom w:w="70" w:type="dxa"/>
              <w:right w:w="80" w:type="dxa"/>
            </w:tcMar>
          </w:tcPr>
          <w:p>
            <w:r>
              <w:rPr>
                <w:sz w:val="15"/>
              </w:rPr>
              <w:t>Product types for membership, service, session credit, class credit, retail SKU, subscription add-on, event and gift card.</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COM-02</w:t>
            </w:r>
          </w:p>
        </w:tc>
        <w:tc>
          <w:tcPr>
            <w:tcW w:type="dxa" w:w="1531"/>
            <w:tcMar>
              <w:top w:w="70" w:type="dxa"/>
              <w:left w:w="80" w:type="dxa"/>
              <w:bottom w:w="70" w:type="dxa"/>
              <w:right w:w="80" w:type="dxa"/>
            </w:tcMar>
          </w:tcPr>
          <w:p>
            <w:r>
              <w:rPr>
                <w:sz w:val="15"/>
              </w:rPr>
              <w:t>§10.13 COM-02 Implementation Contract; §14/§15</w:t>
            </w:r>
          </w:p>
        </w:tc>
        <w:tc>
          <w:tcPr>
            <w:tcW w:type="dxa" w:w="1531"/>
            <w:tcMar>
              <w:top w:w="70" w:type="dxa"/>
              <w:left w:w="80" w:type="dxa"/>
              <w:bottom w:w="70" w:type="dxa"/>
              <w:right w:w="80" w:type="dxa"/>
            </w:tcMar>
          </w:tcPr>
          <w:p>
            <w:r>
              <w:rPr>
                <w:sz w:val="15"/>
              </w:rPr>
              <w:t>§27; INV-COM-02; API/event contract tests; requirement COM-02-R01</w:t>
            </w:r>
          </w:p>
        </w:tc>
        <w:tc>
          <w:tcPr>
            <w:tcW w:type="dxa" w:w="1531"/>
            <w:tcMar>
              <w:top w:w="70" w:type="dxa"/>
              <w:left w:w="80" w:type="dxa"/>
              <w:bottom w:w="70" w:type="dxa"/>
              <w:right w:w="80" w:type="dxa"/>
            </w:tcMar>
          </w:tcPr>
          <w:p>
            <w:r>
              <w:rPr>
                <w:sz w:val="15"/>
              </w:rPr>
              <w:t>§28; RB-COM-02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COM-02-R02</w:t>
            </w:r>
          </w:p>
        </w:tc>
        <w:tc>
          <w:tcPr>
            <w:tcW w:type="dxa" w:w="1531"/>
            <w:tcMar>
              <w:top w:w="70" w:type="dxa"/>
              <w:left w:w="80" w:type="dxa"/>
              <w:bottom w:w="70" w:type="dxa"/>
              <w:right w:w="80" w:type="dxa"/>
            </w:tcMar>
          </w:tcPr>
          <w:p>
            <w:r>
              <w:rPr>
                <w:sz w:val="15"/>
              </w:rPr>
              <w:t>Catalog, Pricing, Promotions &amp; Packages</w:t>
            </w:r>
          </w:p>
        </w:tc>
        <w:tc>
          <w:tcPr>
            <w:tcW w:type="dxa" w:w="1531"/>
            <w:tcMar>
              <w:top w:w="70" w:type="dxa"/>
              <w:left w:w="80" w:type="dxa"/>
              <w:bottom w:w="70" w:type="dxa"/>
              <w:right w:w="80" w:type="dxa"/>
            </w:tcMar>
          </w:tcPr>
          <w:p>
            <w:r>
              <w:rPr>
                <w:sz w:val="15"/>
              </w:rPr>
              <w:t>Price books by brand, location, channel, currency, tax regime, customer segment and effective date.</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COM-02</w:t>
            </w:r>
          </w:p>
        </w:tc>
        <w:tc>
          <w:tcPr>
            <w:tcW w:type="dxa" w:w="1531"/>
            <w:tcMar>
              <w:top w:w="70" w:type="dxa"/>
              <w:left w:w="80" w:type="dxa"/>
              <w:bottom w:w="70" w:type="dxa"/>
              <w:right w:w="80" w:type="dxa"/>
            </w:tcMar>
          </w:tcPr>
          <w:p>
            <w:r>
              <w:rPr>
                <w:sz w:val="15"/>
              </w:rPr>
              <w:t>§10.13 COM-02 Implementation Contract; §14/§15</w:t>
            </w:r>
          </w:p>
        </w:tc>
        <w:tc>
          <w:tcPr>
            <w:tcW w:type="dxa" w:w="1531"/>
            <w:tcMar>
              <w:top w:w="70" w:type="dxa"/>
              <w:left w:w="80" w:type="dxa"/>
              <w:bottom w:w="70" w:type="dxa"/>
              <w:right w:w="80" w:type="dxa"/>
            </w:tcMar>
          </w:tcPr>
          <w:p>
            <w:r>
              <w:rPr>
                <w:sz w:val="15"/>
              </w:rPr>
              <w:t>§27; INV-COM-02; API/event contract tests; requirement COM-02-R02</w:t>
            </w:r>
          </w:p>
        </w:tc>
        <w:tc>
          <w:tcPr>
            <w:tcW w:type="dxa" w:w="1531"/>
            <w:tcMar>
              <w:top w:w="70" w:type="dxa"/>
              <w:left w:w="80" w:type="dxa"/>
              <w:bottom w:w="70" w:type="dxa"/>
              <w:right w:w="80" w:type="dxa"/>
            </w:tcMar>
          </w:tcPr>
          <w:p>
            <w:r>
              <w:rPr>
                <w:sz w:val="15"/>
              </w:rPr>
              <w:t>§28; RB-COM-02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COM-02-R03</w:t>
            </w:r>
          </w:p>
        </w:tc>
        <w:tc>
          <w:tcPr>
            <w:tcW w:type="dxa" w:w="1531"/>
            <w:tcMar>
              <w:top w:w="70" w:type="dxa"/>
              <w:left w:w="80" w:type="dxa"/>
              <w:bottom w:w="70" w:type="dxa"/>
              <w:right w:w="80" w:type="dxa"/>
            </w:tcMar>
          </w:tcPr>
          <w:p>
            <w:r>
              <w:rPr>
                <w:sz w:val="15"/>
              </w:rPr>
              <w:t>Catalog, Pricing, Promotions &amp; Packages</w:t>
            </w:r>
          </w:p>
        </w:tc>
        <w:tc>
          <w:tcPr>
            <w:tcW w:type="dxa" w:w="1531"/>
            <w:tcMar>
              <w:top w:w="70" w:type="dxa"/>
              <w:left w:w="80" w:type="dxa"/>
              <w:bottom w:w="70" w:type="dxa"/>
              <w:right w:w="80" w:type="dxa"/>
            </w:tcMar>
          </w:tcPr>
          <w:p>
            <w:r>
              <w:rPr>
                <w:sz w:val="15"/>
              </w:rPr>
              <w:t>Bundles linking commercial sale to operational fulfillment and entitlements.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COM-02</w:t>
            </w:r>
          </w:p>
        </w:tc>
        <w:tc>
          <w:tcPr>
            <w:tcW w:type="dxa" w:w="1531"/>
            <w:tcMar>
              <w:top w:w="70" w:type="dxa"/>
              <w:left w:w="80" w:type="dxa"/>
              <w:bottom w:w="70" w:type="dxa"/>
              <w:right w:w="80" w:type="dxa"/>
            </w:tcMar>
          </w:tcPr>
          <w:p>
            <w:r>
              <w:rPr>
                <w:sz w:val="15"/>
              </w:rPr>
              <w:t>§10.13 COM-02 Implementation Contract; §14/§15</w:t>
            </w:r>
          </w:p>
        </w:tc>
        <w:tc>
          <w:tcPr>
            <w:tcW w:type="dxa" w:w="1531"/>
            <w:tcMar>
              <w:top w:w="70" w:type="dxa"/>
              <w:left w:w="80" w:type="dxa"/>
              <w:bottom w:w="70" w:type="dxa"/>
              <w:right w:w="80" w:type="dxa"/>
            </w:tcMar>
          </w:tcPr>
          <w:p>
            <w:r>
              <w:rPr>
                <w:sz w:val="15"/>
              </w:rPr>
              <w:t>§27; INV-COM-02; API/event contract tests; requirement COM-02-R03</w:t>
            </w:r>
          </w:p>
        </w:tc>
        <w:tc>
          <w:tcPr>
            <w:tcW w:type="dxa" w:w="1531"/>
            <w:tcMar>
              <w:top w:w="70" w:type="dxa"/>
              <w:left w:w="80" w:type="dxa"/>
              <w:bottom w:w="70" w:type="dxa"/>
              <w:right w:w="80" w:type="dxa"/>
            </w:tcMar>
          </w:tcPr>
          <w:p>
            <w:r>
              <w:rPr>
                <w:sz w:val="15"/>
              </w:rPr>
              <w:t>§28; RB-COM-02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COM-02-R04</w:t>
            </w:r>
          </w:p>
        </w:tc>
        <w:tc>
          <w:tcPr>
            <w:tcW w:type="dxa" w:w="1531"/>
            <w:tcMar>
              <w:top w:w="70" w:type="dxa"/>
              <w:left w:w="80" w:type="dxa"/>
              <w:bottom w:w="70" w:type="dxa"/>
              <w:right w:w="80" w:type="dxa"/>
            </w:tcMar>
          </w:tcPr>
          <w:p>
            <w:r>
              <w:rPr>
                <w:sz w:val="15"/>
              </w:rPr>
              <w:t>Catalog, Pricing, Promotions &amp; Packages</w:t>
            </w:r>
          </w:p>
        </w:tc>
        <w:tc>
          <w:tcPr>
            <w:tcW w:type="dxa" w:w="1531"/>
            <w:tcMar>
              <w:top w:w="70" w:type="dxa"/>
              <w:left w:w="80" w:type="dxa"/>
              <w:bottom w:w="70" w:type="dxa"/>
              <w:right w:w="80" w:type="dxa"/>
            </w:tcMar>
          </w:tcPr>
          <w:p>
            <w:r>
              <w:rPr>
                <w:sz w:val="15"/>
              </w:rPr>
              <w:t>Coupons, automatic promotions, corporate rates, member tiers, staff discounts and manual discount policy.</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COM-02</w:t>
            </w:r>
          </w:p>
        </w:tc>
        <w:tc>
          <w:tcPr>
            <w:tcW w:type="dxa" w:w="1531"/>
            <w:tcMar>
              <w:top w:w="70" w:type="dxa"/>
              <w:left w:w="80" w:type="dxa"/>
              <w:bottom w:w="70" w:type="dxa"/>
              <w:right w:w="80" w:type="dxa"/>
            </w:tcMar>
          </w:tcPr>
          <w:p>
            <w:r>
              <w:rPr>
                <w:sz w:val="15"/>
              </w:rPr>
              <w:t>§10.13 COM-02 Implementation Contract; §14/§15</w:t>
            </w:r>
          </w:p>
        </w:tc>
        <w:tc>
          <w:tcPr>
            <w:tcW w:type="dxa" w:w="1531"/>
            <w:tcMar>
              <w:top w:w="70" w:type="dxa"/>
              <w:left w:w="80" w:type="dxa"/>
              <w:bottom w:w="70" w:type="dxa"/>
              <w:right w:w="80" w:type="dxa"/>
            </w:tcMar>
          </w:tcPr>
          <w:p>
            <w:r>
              <w:rPr>
                <w:sz w:val="15"/>
              </w:rPr>
              <w:t>§27; INV-COM-02; API/event contract tests; requirement COM-02-R04</w:t>
            </w:r>
          </w:p>
        </w:tc>
        <w:tc>
          <w:tcPr>
            <w:tcW w:type="dxa" w:w="1531"/>
            <w:tcMar>
              <w:top w:w="70" w:type="dxa"/>
              <w:left w:w="80" w:type="dxa"/>
              <w:bottom w:w="70" w:type="dxa"/>
              <w:right w:w="80" w:type="dxa"/>
            </w:tcMar>
          </w:tcPr>
          <w:p>
            <w:r>
              <w:rPr>
                <w:sz w:val="15"/>
              </w:rPr>
              <w:t>§28; RB-COM-02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COM-02-R05</w:t>
            </w:r>
          </w:p>
        </w:tc>
        <w:tc>
          <w:tcPr>
            <w:tcW w:type="dxa" w:w="1531"/>
            <w:tcMar>
              <w:top w:w="70" w:type="dxa"/>
              <w:left w:w="80" w:type="dxa"/>
              <w:bottom w:w="70" w:type="dxa"/>
              <w:right w:w="80" w:type="dxa"/>
            </w:tcMar>
          </w:tcPr>
          <w:p>
            <w:r>
              <w:rPr>
                <w:sz w:val="15"/>
              </w:rPr>
              <w:t>Catalog, Pricing, Promotions &amp; Packages</w:t>
            </w:r>
          </w:p>
        </w:tc>
        <w:tc>
          <w:tcPr>
            <w:tcW w:type="dxa" w:w="1531"/>
            <w:tcMar>
              <w:top w:w="70" w:type="dxa"/>
              <w:left w:w="80" w:type="dxa"/>
              <w:bottom w:w="70" w:type="dxa"/>
              <w:right w:w="80" w:type="dxa"/>
            </w:tcMar>
          </w:tcPr>
          <w:p>
            <w:r>
              <w:rPr>
                <w:sz w:val="15"/>
              </w:rPr>
              <w:t>Eligibility, stacking, usage limits, minimum spend, blackout dates and approval thresholds.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COM-02</w:t>
            </w:r>
          </w:p>
        </w:tc>
        <w:tc>
          <w:tcPr>
            <w:tcW w:type="dxa" w:w="1531"/>
            <w:tcMar>
              <w:top w:w="70" w:type="dxa"/>
              <w:left w:w="80" w:type="dxa"/>
              <w:bottom w:w="70" w:type="dxa"/>
              <w:right w:w="80" w:type="dxa"/>
            </w:tcMar>
          </w:tcPr>
          <w:p>
            <w:r>
              <w:rPr>
                <w:sz w:val="15"/>
              </w:rPr>
              <w:t>§10.13 COM-02 Implementation Contract; §14/§15</w:t>
            </w:r>
          </w:p>
        </w:tc>
        <w:tc>
          <w:tcPr>
            <w:tcW w:type="dxa" w:w="1531"/>
            <w:tcMar>
              <w:top w:w="70" w:type="dxa"/>
              <w:left w:w="80" w:type="dxa"/>
              <w:bottom w:w="70" w:type="dxa"/>
              <w:right w:w="80" w:type="dxa"/>
            </w:tcMar>
          </w:tcPr>
          <w:p>
            <w:r>
              <w:rPr>
                <w:sz w:val="15"/>
              </w:rPr>
              <w:t>§27; INV-COM-02; API/event contract tests; requirement COM-02-R05</w:t>
            </w:r>
          </w:p>
        </w:tc>
        <w:tc>
          <w:tcPr>
            <w:tcW w:type="dxa" w:w="1531"/>
            <w:tcMar>
              <w:top w:w="70" w:type="dxa"/>
              <w:left w:w="80" w:type="dxa"/>
              <w:bottom w:w="70" w:type="dxa"/>
              <w:right w:w="80" w:type="dxa"/>
            </w:tcMar>
          </w:tcPr>
          <w:p>
            <w:r>
              <w:rPr>
                <w:sz w:val="15"/>
              </w:rPr>
              <w:t>§28; RB-COM-02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COM-02-R06</w:t>
            </w:r>
          </w:p>
        </w:tc>
        <w:tc>
          <w:tcPr>
            <w:tcW w:type="dxa" w:w="1531"/>
            <w:tcMar>
              <w:top w:w="70" w:type="dxa"/>
              <w:left w:w="80" w:type="dxa"/>
              <w:bottom w:w="70" w:type="dxa"/>
              <w:right w:w="80" w:type="dxa"/>
            </w:tcMar>
          </w:tcPr>
          <w:p>
            <w:r>
              <w:rPr>
                <w:sz w:val="15"/>
              </w:rPr>
              <w:t>Catalog, Pricing, Promotions &amp; Packages</w:t>
            </w:r>
          </w:p>
        </w:tc>
        <w:tc>
          <w:tcPr>
            <w:tcW w:type="dxa" w:w="1531"/>
            <w:tcMar>
              <w:top w:w="70" w:type="dxa"/>
              <w:left w:w="80" w:type="dxa"/>
              <w:bottom w:w="70" w:type="dxa"/>
              <w:right w:w="80" w:type="dxa"/>
            </w:tcMar>
          </w:tcPr>
          <w:p>
            <w:r>
              <w:rPr>
                <w:sz w:val="15"/>
              </w:rPr>
              <w:t>Localized names, media, descriptions, terms, availability and merchandising order.</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COM-02</w:t>
            </w:r>
          </w:p>
        </w:tc>
        <w:tc>
          <w:tcPr>
            <w:tcW w:type="dxa" w:w="1531"/>
            <w:tcMar>
              <w:top w:w="70" w:type="dxa"/>
              <w:left w:w="80" w:type="dxa"/>
              <w:bottom w:w="70" w:type="dxa"/>
              <w:right w:w="80" w:type="dxa"/>
            </w:tcMar>
          </w:tcPr>
          <w:p>
            <w:r>
              <w:rPr>
                <w:sz w:val="15"/>
              </w:rPr>
              <w:t>§10.13 COM-02 Implementation Contract; §14/§15</w:t>
            </w:r>
          </w:p>
        </w:tc>
        <w:tc>
          <w:tcPr>
            <w:tcW w:type="dxa" w:w="1531"/>
            <w:tcMar>
              <w:top w:w="70" w:type="dxa"/>
              <w:left w:w="80" w:type="dxa"/>
              <w:bottom w:w="70" w:type="dxa"/>
              <w:right w:w="80" w:type="dxa"/>
            </w:tcMar>
          </w:tcPr>
          <w:p>
            <w:r>
              <w:rPr>
                <w:sz w:val="15"/>
              </w:rPr>
              <w:t>§27; INV-COM-02; API/event contract tests; requirement COM-02-R06</w:t>
            </w:r>
          </w:p>
        </w:tc>
        <w:tc>
          <w:tcPr>
            <w:tcW w:type="dxa" w:w="1531"/>
            <w:tcMar>
              <w:top w:w="70" w:type="dxa"/>
              <w:left w:w="80" w:type="dxa"/>
              <w:bottom w:w="70" w:type="dxa"/>
              <w:right w:w="80" w:type="dxa"/>
            </w:tcMar>
          </w:tcPr>
          <w:p>
            <w:r>
              <w:rPr>
                <w:sz w:val="15"/>
              </w:rPr>
              <w:t>§28; RB-COM-02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COM-02-R07</w:t>
            </w:r>
          </w:p>
        </w:tc>
        <w:tc>
          <w:tcPr>
            <w:tcW w:type="dxa" w:w="1531"/>
            <w:tcMar>
              <w:top w:w="70" w:type="dxa"/>
              <w:left w:w="80" w:type="dxa"/>
              <w:bottom w:w="70" w:type="dxa"/>
              <w:right w:w="80" w:type="dxa"/>
            </w:tcMar>
          </w:tcPr>
          <w:p>
            <w:r>
              <w:rPr>
                <w:sz w:val="15"/>
              </w:rPr>
              <w:t>Catalog, Pricing, Promotions &amp; Packages</w:t>
            </w:r>
          </w:p>
        </w:tc>
        <w:tc>
          <w:tcPr>
            <w:tcW w:type="dxa" w:w="1531"/>
            <w:tcMar>
              <w:top w:w="70" w:type="dxa"/>
              <w:left w:w="80" w:type="dxa"/>
              <w:bottom w:w="70" w:type="dxa"/>
              <w:right w:w="80" w:type="dxa"/>
            </w:tcMar>
          </w:tcPr>
          <w:p>
            <w:r>
              <w:rPr>
                <w:sz w:val="15"/>
              </w:rPr>
              <w:t>Versioned price changes that do not rewrite historical transactions.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COM-02</w:t>
            </w:r>
          </w:p>
        </w:tc>
        <w:tc>
          <w:tcPr>
            <w:tcW w:type="dxa" w:w="1531"/>
            <w:tcMar>
              <w:top w:w="70" w:type="dxa"/>
              <w:left w:w="80" w:type="dxa"/>
              <w:bottom w:w="70" w:type="dxa"/>
              <w:right w:w="80" w:type="dxa"/>
            </w:tcMar>
          </w:tcPr>
          <w:p>
            <w:r>
              <w:rPr>
                <w:sz w:val="15"/>
              </w:rPr>
              <w:t>§10.13 COM-02 Implementation Contract; §14/§15</w:t>
            </w:r>
          </w:p>
        </w:tc>
        <w:tc>
          <w:tcPr>
            <w:tcW w:type="dxa" w:w="1531"/>
            <w:tcMar>
              <w:top w:w="70" w:type="dxa"/>
              <w:left w:w="80" w:type="dxa"/>
              <w:bottom w:w="70" w:type="dxa"/>
              <w:right w:w="80" w:type="dxa"/>
            </w:tcMar>
          </w:tcPr>
          <w:p>
            <w:r>
              <w:rPr>
                <w:sz w:val="15"/>
              </w:rPr>
              <w:t>§27; INV-COM-02; API/event contract tests; requirement COM-02-R07</w:t>
            </w:r>
          </w:p>
        </w:tc>
        <w:tc>
          <w:tcPr>
            <w:tcW w:type="dxa" w:w="1531"/>
            <w:tcMar>
              <w:top w:w="70" w:type="dxa"/>
              <w:left w:w="80" w:type="dxa"/>
              <w:bottom w:w="70" w:type="dxa"/>
              <w:right w:w="80" w:type="dxa"/>
            </w:tcMar>
          </w:tcPr>
          <w:p>
            <w:r>
              <w:rPr>
                <w:sz w:val="15"/>
              </w:rPr>
              <w:t>§28; RB-COM-02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COM-03-R01</w:t>
            </w:r>
          </w:p>
        </w:tc>
        <w:tc>
          <w:tcPr>
            <w:tcW w:type="dxa" w:w="1531"/>
            <w:tcMar>
              <w:top w:w="70" w:type="dxa"/>
              <w:left w:w="80" w:type="dxa"/>
              <w:bottom w:w="70" w:type="dxa"/>
              <w:right w:w="80" w:type="dxa"/>
            </w:tcMar>
          </w:tcPr>
          <w:p>
            <w:r>
              <w:rPr>
                <w:sz w:val="15"/>
              </w:rPr>
              <w:t>Member Billing, Payments, Tax &amp; Revenue Recovery</w:t>
            </w:r>
          </w:p>
        </w:tc>
        <w:tc>
          <w:tcPr>
            <w:tcW w:type="dxa" w:w="1531"/>
            <w:tcMar>
              <w:top w:w="70" w:type="dxa"/>
              <w:left w:w="80" w:type="dxa"/>
              <w:bottom w:w="70" w:type="dxa"/>
              <w:right w:w="80" w:type="dxa"/>
            </w:tcMar>
          </w:tcPr>
          <w:p>
            <w:r>
              <w:rPr>
                <w:sz w:val="15"/>
              </w:rPr>
              <w:t>Billing schedules, recurring invoices, installments, deposits, due dates and consolidated household/corporate billing.</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COM-03</w:t>
            </w:r>
          </w:p>
        </w:tc>
        <w:tc>
          <w:tcPr>
            <w:tcW w:type="dxa" w:w="1531"/>
            <w:tcMar>
              <w:top w:w="70" w:type="dxa"/>
              <w:left w:w="80" w:type="dxa"/>
              <w:bottom w:w="70" w:type="dxa"/>
              <w:right w:w="80" w:type="dxa"/>
            </w:tcMar>
          </w:tcPr>
          <w:p>
            <w:r>
              <w:rPr>
                <w:sz w:val="15"/>
              </w:rPr>
              <w:t>§10.14 COM-03 Implementation Contract; §14/§15</w:t>
            </w:r>
          </w:p>
        </w:tc>
        <w:tc>
          <w:tcPr>
            <w:tcW w:type="dxa" w:w="1531"/>
            <w:tcMar>
              <w:top w:w="70" w:type="dxa"/>
              <w:left w:w="80" w:type="dxa"/>
              <w:bottom w:w="70" w:type="dxa"/>
              <w:right w:w="80" w:type="dxa"/>
            </w:tcMar>
          </w:tcPr>
          <w:p>
            <w:r>
              <w:rPr>
                <w:sz w:val="15"/>
              </w:rPr>
              <w:t>§27; INV-COM-03; API/event contract tests; requirement COM-03-R01</w:t>
            </w:r>
          </w:p>
        </w:tc>
        <w:tc>
          <w:tcPr>
            <w:tcW w:type="dxa" w:w="1531"/>
            <w:tcMar>
              <w:top w:w="70" w:type="dxa"/>
              <w:left w:w="80" w:type="dxa"/>
              <w:bottom w:w="70" w:type="dxa"/>
              <w:right w:w="80" w:type="dxa"/>
            </w:tcMar>
          </w:tcPr>
          <w:p>
            <w:r>
              <w:rPr>
                <w:sz w:val="15"/>
              </w:rPr>
              <w:t>§28; RB-COM-03</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COM-03-R02</w:t>
            </w:r>
          </w:p>
        </w:tc>
        <w:tc>
          <w:tcPr>
            <w:tcW w:type="dxa" w:w="1531"/>
            <w:tcMar>
              <w:top w:w="70" w:type="dxa"/>
              <w:left w:w="80" w:type="dxa"/>
              <w:bottom w:w="70" w:type="dxa"/>
              <w:right w:w="80" w:type="dxa"/>
            </w:tcMar>
          </w:tcPr>
          <w:p>
            <w:r>
              <w:rPr>
                <w:sz w:val="15"/>
              </w:rPr>
              <w:t>Member Billing, Payments, Tax &amp; Revenue Recovery</w:t>
            </w:r>
          </w:p>
        </w:tc>
        <w:tc>
          <w:tcPr>
            <w:tcW w:type="dxa" w:w="1531"/>
            <w:tcMar>
              <w:top w:w="70" w:type="dxa"/>
              <w:left w:w="80" w:type="dxa"/>
              <w:bottom w:w="70" w:type="dxa"/>
              <w:right w:w="80" w:type="dxa"/>
            </w:tcMar>
          </w:tcPr>
          <w:p>
            <w:r>
              <w:rPr>
                <w:sz w:val="15"/>
              </w:rPr>
              <w:t>Payment orchestration for cards, direct debit, bank transfer, cash, wallet, gift card and local gateways.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COM-03</w:t>
            </w:r>
          </w:p>
        </w:tc>
        <w:tc>
          <w:tcPr>
            <w:tcW w:type="dxa" w:w="1531"/>
            <w:tcMar>
              <w:top w:w="70" w:type="dxa"/>
              <w:left w:w="80" w:type="dxa"/>
              <w:bottom w:w="70" w:type="dxa"/>
              <w:right w:w="80" w:type="dxa"/>
            </w:tcMar>
          </w:tcPr>
          <w:p>
            <w:r>
              <w:rPr>
                <w:sz w:val="15"/>
              </w:rPr>
              <w:t>§10.14 COM-03 Implementation Contract; §14/§15</w:t>
            </w:r>
          </w:p>
        </w:tc>
        <w:tc>
          <w:tcPr>
            <w:tcW w:type="dxa" w:w="1531"/>
            <w:tcMar>
              <w:top w:w="70" w:type="dxa"/>
              <w:left w:w="80" w:type="dxa"/>
              <w:bottom w:w="70" w:type="dxa"/>
              <w:right w:w="80" w:type="dxa"/>
            </w:tcMar>
          </w:tcPr>
          <w:p>
            <w:r>
              <w:rPr>
                <w:sz w:val="15"/>
              </w:rPr>
              <w:t>§27; INV-COM-03; API/event contract tests; requirement COM-03-R02</w:t>
            </w:r>
          </w:p>
        </w:tc>
        <w:tc>
          <w:tcPr>
            <w:tcW w:type="dxa" w:w="1531"/>
            <w:tcMar>
              <w:top w:w="70" w:type="dxa"/>
              <w:left w:w="80" w:type="dxa"/>
              <w:bottom w:w="70" w:type="dxa"/>
              <w:right w:w="80" w:type="dxa"/>
            </w:tcMar>
          </w:tcPr>
          <w:p>
            <w:r>
              <w:rPr>
                <w:sz w:val="15"/>
              </w:rPr>
              <w:t>§28; RB-COM-03</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COM-03-R03</w:t>
            </w:r>
          </w:p>
        </w:tc>
        <w:tc>
          <w:tcPr>
            <w:tcW w:type="dxa" w:w="1531"/>
            <w:tcMar>
              <w:top w:w="70" w:type="dxa"/>
              <w:left w:w="80" w:type="dxa"/>
              <w:bottom w:w="70" w:type="dxa"/>
              <w:right w:w="80" w:type="dxa"/>
            </w:tcMar>
          </w:tcPr>
          <w:p>
            <w:r>
              <w:rPr>
                <w:sz w:val="15"/>
              </w:rPr>
              <w:t>Member Billing, Payments, Tax &amp; Revenue Recovery</w:t>
            </w:r>
          </w:p>
        </w:tc>
        <w:tc>
          <w:tcPr>
            <w:tcW w:type="dxa" w:w="1531"/>
            <w:tcMar>
              <w:top w:w="70" w:type="dxa"/>
              <w:left w:w="80" w:type="dxa"/>
              <w:bottom w:w="70" w:type="dxa"/>
              <w:right w:w="80" w:type="dxa"/>
            </w:tcMar>
          </w:tcPr>
          <w:p>
            <w:r>
              <w:rPr>
                <w:sz w:val="15"/>
              </w:rPr>
              <w:t>Tokenized stored payment methods, 3DS/SCA handling, retries and payment-method updates.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COM-03</w:t>
            </w:r>
          </w:p>
        </w:tc>
        <w:tc>
          <w:tcPr>
            <w:tcW w:type="dxa" w:w="1531"/>
            <w:tcMar>
              <w:top w:w="70" w:type="dxa"/>
              <w:left w:w="80" w:type="dxa"/>
              <w:bottom w:w="70" w:type="dxa"/>
              <w:right w:w="80" w:type="dxa"/>
            </w:tcMar>
          </w:tcPr>
          <w:p>
            <w:r>
              <w:rPr>
                <w:sz w:val="15"/>
              </w:rPr>
              <w:t>§10.14 COM-03 Implementation Contract; §14/§15</w:t>
            </w:r>
          </w:p>
        </w:tc>
        <w:tc>
          <w:tcPr>
            <w:tcW w:type="dxa" w:w="1531"/>
            <w:tcMar>
              <w:top w:w="70" w:type="dxa"/>
              <w:left w:w="80" w:type="dxa"/>
              <w:bottom w:w="70" w:type="dxa"/>
              <w:right w:w="80" w:type="dxa"/>
            </w:tcMar>
          </w:tcPr>
          <w:p>
            <w:r>
              <w:rPr>
                <w:sz w:val="15"/>
              </w:rPr>
              <w:t>§27; INV-COM-03; API/event contract tests; requirement COM-03-R03</w:t>
            </w:r>
          </w:p>
        </w:tc>
        <w:tc>
          <w:tcPr>
            <w:tcW w:type="dxa" w:w="1531"/>
            <w:tcMar>
              <w:top w:w="70" w:type="dxa"/>
              <w:left w:w="80" w:type="dxa"/>
              <w:bottom w:w="70" w:type="dxa"/>
              <w:right w:w="80" w:type="dxa"/>
            </w:tcMar>
          </w:tcPr>
          <w:p>
            <w:r>
              <w:rPr>
                <w:sz w:val="15"/>
              </w:rPr>
              <w:t>§28; RB-COM-03</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COM-03-R04</w:t>
            </w:r>
          </w:p>
        </w:tc>
        <w:tc>
          <w:tcPr>
            <w:tcW w:type="dxa" w:w="1531"/>
            <w:tcMar>
              <w:top w:w="70" w:type="dxa"/>
              <w:left w:w="80" w:type="dxa"/>
              <w:bottom w:w="70" w:type="dxa"/>
              <w:right w:w="80" w:type="dxa"/>
            </w:tcMar>
          </w:tcPr>
          <w:p>
            <w:r>
              <w:rPr>
                <w:sz w:val="15"/>
              </w:rPr>
              <w:t>Member Billing, Payments, Tax &amp; Revenue Recovery</w:t>
            </w:r>
          </w:p>
        </w:tc>
        <w:tc>
          <w:tcPr>
            <w:tcW w:type="dxa" w:w="1531"/>
            <w:tcMar>
              <w:top w:w="70" w:type="dxa"/>
              <w:left w:w="80" w:type="dxa"/>
              <w:bottom w:w="70" w:type="dxa"/>
              <w:right w:w="80" w:type="dxa"/>
            </w:tcMar>
          </w:tcPr>
          <w:p>
            <w:r>
              <w:rPr>
                <w:sz w:val="15"/>
              </w:rPr>
              <w:t>Dunning journeys with retry schedule, grace period, member communication, task escalation and access policy.</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COM-03</w:t>
            </w:r>
          </w:p>
        </w:tc>
        <w:tc>
          <w:tcPr>
            <w:tcW w:type="dxa" w:w="1531"/>
            <w:tcMar>
              <w:top w:w="70" w:type="dxa"/>
              <w:left w:w="80" w:type="dxa"/>
              <w:bottom w:w="70" w:type="dxa"/>
              <w:right w:w="80" w:type="dxa"/>
            </w:tcMar>
          </w:tcPr>
          <w:p>
            <w:r>
              <w:rPr>
                <w:sz w:val="15"/>
              </w:rPr>
              <w:t>§10.14 COM-03 Implementation Contract; §14/§15</w:t>
            </w:r>
          </w:p>
        </w:tc>
        <w:tc>
          <w:tcPr>
            <w:tcW w:type="dxa" w:w="1531"/>
            <w:tcMar>
              <w:top w:w="70" w:type="dxa"/>
              <w:left w:w="80" w:type="dxa"/>
              <w:bottom w:w="70" w:type="dxa"/>
              <w:right w:w="80" w:type="dxa"/>
            </w:tcMar>
          </w:tcPr>
          <w:p>
            <w:r>
              <w:rPr>
                <w:sz w:val="15"/>
              </w:rPr>
              <w:t>§27; INV-COM-03; API/event contract tests; requirement COM-03-R04</w:t>
            </w:r>
          </w:p>
        </w:tc>
        <w:tc>
          <w:tcPr>
            <w:tcW w:type="dxa" w:w="1531"/>
            <w:tcMar>
              <w:top w:w="70" w:type="dxa"/>
              <w:left w:w="80" w:type="dxa"/>
              <w:bottom w:w="70" w:type="dxa"/>
              <w:right w:w="80" w:type="dxa"/>
            </w:tcMar>
          </w:tcPr>
          <w:p>
            <w:r>
              <w:rPr>
                <w:sz w:val="15"/>
              </w:rPr>
              <w:t>§28; RB-COM-03</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COM-03-R05</w:t>
            </w:r>
          </w:p>
        </w:tc>
        <w:tc>
          <w:tcPr>
            <w:tcW w:type="dxa" w:w="1531"/>
            <w:tcMar>
              <w:top w:w="70" w:type="dxa"/>
              <w:left w:w="80" w:type="dxa"/>
              <w:bottom w:w="70" w:type="dxa"/>
              <w:right w:w="80" w:type="dxa"/>
            </w:tcMar>
          </w:tcPr>
          <w:p>
            <w:r>
              <w:rPr>
                <w:sz w:val="15"/>
              </w:rPr>
              <w:t>Member Billing, Payments, Tax &amp; Revenue Recovery</w:t>
            </w:r>
          </w:p>
        </w:tc>
        <w:tc>
          <w:tcPr>
            <w:tcW w:type="dxa" w:w="1531"/>
            <w:tcMar>
              <w:top w:w="70" w:type="dxa"/>
              <w:left w:w="80" w:type="dxa"/>
              <w:bottom w:w="70" w:type="dxa"/>
              <w:right w:w="80" w:type="dxa"/>
            </w:tcMar>
          </w:tcPr>
          <w:p>
            <w:r>
              <w:rPr>
                <w:sz w:val="15"/>
              </w:rPr>
              <w:t>Invoices, receipts, tax calculation, credit notes, refunds, disputes and chargebacks.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COM-03</w:t>
            </w:r>
          </w:p>
        </w:tc>
        <w:tc>
          <w:tcPr>
            <w:tcW w:type="dxa" w:w="1531"/>
            <w:tcMar>
              <w:top w:w="70" w:type="dxa"/>
              <w:left w:w="80" w:type="dxa"/>
              <w:bottom w:w="70" w:type="dxa"/>
              <w:right w:w="80" w:type="dxa"/>
            </w:tcMar>
          </w:tcPr>
          <w:p>
            <w:r>
              <w:rPr>
                <w:sz w:val="15"/>
              </w:rPr>
              <w:t>§10.14 COM-03 Implementation Contract; §14/§15</w:t>
            </w:r>
          </w:p>
        </w:tc>
        <w:tc>
          <w:tcPr>
            <w:tcW w:type="dxa" w:w="1531"/>
            <w:tcMar>
              <w:top w:w="70" w:type="dxa"/>
              <w:left w:w="80" w:type="dxa"/>
              <w:bottom w:w="70" w:type="dxa"/>
              <w:right w:w="80" w:type="dxa"/>
            </w:tcMar>
          </w:tcPr>
          <w:p>
            <w:r>
              <w:rPr>
                <w:sz w:val="15"/>
              </w:rPr>
              <w:t>§27; INV-COM-03; API/event contract tests; requirement COM-03-R05</w:t>
            </w:r>
          </w:p>
        </w:tc>
        <w:tc>
          <w:tcPr>
            <w:tcW w:type="dxa" w:w="1531"/>
            <w:tcMar>
              <w:top w:w="70" w:type="dxa"/>
              <w:left w:w="80" w:type="dxa"/>
              <w:bottom w:w="70" w:type="dxa"/>
              <w:right w:w="80" w:type="dxa"/>
            </w:tcMar>
          </w:tcPr>
          <w:p>
            <w:r>
              <w:rPr>
                <w:sz w:val="15"/>
              </w:rPr>
              <w:t>§28; RB-COM-03</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COM-03-R06</w:t>
            </w:r>
          </w:p>
        </w:tc>
        <w:tc>
          <w:tcPr>
            <w:tcW w:type="dxa" w:w="1531"/>
            <w:tcMar>
              <w:top w:w="70" w:type="dxa"/>
              <w:left w:w="80" w:type="dxa"/>
              <w:bottom w:w="70" w:type="dxa"/>
              <w:right w:w="80" w:type="dxa"/>
            </w:tcMar>
          </w:tcPr>
          <w:p>
            <w:r>
              <w:rPr>
                <w:sz w:val="15"/>
              </w:rPr>
              <w:t>Member Billing, Payments, Tax &amp; Revenue Recovery</w:t>
            </w:r>
          </w:p>
        </w:tc>
        <w:tc>
          <w:tcPr>
            <w:tcW w:type="dxa" w:w="1531"/>
            <w:tcMar>
              <w:top w:w="70" w:type="dxa"/>
              <w:left w:w="80" w:type="dxa"/>
              <w:bottom w:w="70" w:type="dxa"/>
              <w:right w:w="80" w:type="dxa"/>
            </w:tcMar>
          </w:tcPr>
          <w:p>
            <w:r>
              <w:rPr>
                <w:sz w:val="15"/>
              </w:rPr>
              <w:t>Provider abstraction, idempotent commands, webhook verification and payment-status reconciliation.</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COM-03</w:t>
            </w:r>
          </w:p>
        </w:tc>
        <w:tc>
          <w:tcPr>
            <w:tcW w:type="dxa" w:w="1531"/>
            <w:tcMar>
              <w:top w:w="70" w:type="dxa"/>
              <w:left w:w="80" w:type="dxa"/>
              <w:bottom w:w="70" w:type="dxa"/>
              <w:right w:w="80" w:type="dxa"/>
            </w:tcMar>
          </w:tcPr>
          <w:p>
            <w:r>
              <w:rPr>
                <w:sz w:val="15"/>
              </w:rPr>
              <w:t>§10.14 COM-03 Implementation Contract; §14/§15</w:t>
            </w:r>
          </w:p>
        </w:tc>
        <w:tc>
          <w:tcPr>
            <w:tcW w:type="dxa" w:w="1531"/>
            <w:tcMar>
              <w:top w:w="70" w:type="dxa"/>
              <w:left w:w="80" w:type="dxa"/>
              <w:bottom w:w="70" w:type="dxa"/>
              <w:right w:w="80" w:type="dxa"/>
            </w:tcMar>
          </w:tcPr>
          <w:p>
            <w:r>
              <w:rPr>
                <w:sz w:val="15"/>
              </w:rPr>
              <w:t>§27; INV-COM-03; API/event contract tests; requirement COM-03-R06</w:t>
            </w:r>
          </w:p>
        </w:tc>
        <w:tc>
          <w:tcPr>
            <w:tcW w:type="dxa" w:w="1531"/>
            <w:tcMar>
              <w:top w:w="70" w:type="dxa"/>
              <w:left w:w="80" w:type="dxa"/>
              <w:bottom w:w="70" w:type="dxa"/>
              <w:right w:w="80" w:type="dxa"/>
            </w:tcMar>
          </w:tcPr>
          <w:p>
            <w:r>
              <w:rPr>
                <w:sz w:val="15"/>
              </w:rPr>
              <w:t>§28; RB-COM-03</w:t>
            </w:r>
          </w:p>
        </w:tc>
        <w:tc>
          <w:tcPr>
            <w:tcW w:type="dxa" w:w="1531"/>
            <w:tcMar>
              <w:top w:w="70" w:type="dxa"/>
              <w:left w:w="80" w:type="dxa"/>
              <w:bottom w:w="70" w:type="dxa"/>
              <w:right w:w="80" w:type="dxa"/>
            </w:tcMar>
          </w:tcPr>
          <w:p>
            <w:r>
              <w:rPr>
                <w:sz w:val="15"/>
              </w:rPr>
              <w:t>PARTIAL - external validation / later adapter evidence required</w:t>
            </w:r>
          </w:p>
        </w:tc>
      </w:tr>
      <w:tr>
        <w:tc>
          <w:tcPr>
            <w:tcW w:type="dxa" w:w="1531"/>
            <w:tcMar>
              <w:top w:w="70" w:type="dxa"/>
              <w:left w:w="80" w:type="dxa"/>
              <w:bottom w:w="70" w:type="dxa"/>
              <w:right w:w="80" w:type="dxa"/>
            </w:tcMar>
          </w:tcPr>
          <w:p>
            <w:r>
              <w:rPr>
                <w:sz w:val="15"/>
              </w:rPr>
              <w:t>COM-03-R07</w:t>
            </w:r>
          </w:p>
        </w:tc>
        <w:tc>
          <w:tcPr>
            <w:tcW w:type="dxa" w:w="1531"/>
            <w:tcMar>
              <w:top w:w="70" w:type="dxa"/>
              <w:left w:w="80" w:type="dxa"/>
              <w:bottom w:w="70" w:type="dxa"/>
              <w:right w:w="80" w:type="dxa"/>
            </w:tcMar>
          </w:tcPr>
          <w:p>
            <w:r>
              <w:rPr>
                <w:sz w:val="15"/>
              </w:rPr>
              <w:t>Member Billing, Payments, Tax &amp; Revenue Recovery</w:t>
            </w:r>
          </w:p>
        </w:tc>
        <w:tc>
          <w:tcPr>
            <w:tcW w:type="dxa" w:w="1531"/>
            <w:tcMar>
              <w:top w:w="70" w:type="dxa"/>
              <w:left w:w="80" w:type="dxa"/>
              <w:bottom w:w="70" w:type="dxa"/>
              <w:right w:w="80" w:type="dxa"/>
            </w:tcMar>
          </w:tcPr>
          <w:p>
            <w:r>
              <w:rPr>
                <w:sz w:val="15"/>
              </w:rPr>
              <w:t>Regional taxation, invoice numbering, fiscalization hooks and accounting export.</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COM-03</w:t>
            </w:r>
          </w:p>
        </w:tc>
        <w:tc>
          <w:tcPr>
            <w:tcW w:type="dxa" w:w="1531"/>
            <w:tcMar>
              <w:top w:w="70" w:type="dxa"/>
              <w:left w:w="80" w:type="dxa"/>
              <w:bottom w:w="70" w:type="dxa"/>
              <w:right w:w="80" w:type="dxa"/>
            </w:tcMar>
          </w:tcPr>
          <w:p>
            <w:r>
              <w:rPr>
                <w:sz w:val="15"/>
              </w:rPr>
              <w:t>§10.14 COM-03 Implementation Contract; §14/§15</w:t>
            </w:r>
          </w:p>
        </w:tc>
        <w:tc>
          <w:tcPr>
            <w:tcW w:type="dxa" w:w="1531"/>
            <w:tcMar>
              <w:top w:w="70" w:type="dxa"/>
              <w:left w:w="80" w:type="dxa"/>
              <w:bottom w:w="70" w:type="dxa"/>
              <w:right w:w="80" w:type="dxa"/>
            </w:tcMar>
          </w:tcPr>
          <w:p>
            <w:r>
              <w:rPr>
                <w:sz w:val="15"/>
              </w:rPr>
              <w:t>§27; INV-COM-03; API/event contract tests; requirement COM-03-R07</w:t>
            </w:r>
          </w:p>
        </w:tc>
        <w:tc>
          <w:tcPr>
            <w:tcW w:type="dxa" w:w="1531"/>
            <w:tcMar>
              <w:top w:w="70" w:type="dxa"/>
              <w:left w:w="80" w:type="dxa"/>
              <w:bottom w:w="70" w:type="dxa"/>
              <w:right w:w="80" w:type="dxa"/>
            </w:tcMar>
          </w:tcPr>
          <w:p>
            <w:r>
              <w:rPr>
                <w:sz w:val="15"/>
              </w:rPr>
              <w:t>§28; RB-COM-03</w:t>
            </w:r>
          </w:p>
        </w:tc>
        <w:tc>
          <w:tcPr>
            <w:tcW w:type="dxa" w:w="1531"/>
            <w:tcMar>
              <w:top w:w="70" w:type="dxa"/>
              <w:left w:w="80" w:type="dxa"/>
              <w:bottom w:w="70" w:type="dxa"/>
              <w:right w:w="80" w:type="dxa"/>
            </w:tcMar>
          </w:tcPr>
          <w:p>
            <w:r>
              <w:rPr>
                <w:sz w:val="15"/>
              </w:rPr>
              <w:t>PARTIAL - external validation / later adapter evidence required</w:t>
            </w:r>
          </w:p>
        </w:tc>
      </w:tr>
      <w:tr>
        <w:tc>
          <w:tcPr>
            <w:tcW w:type="dxa" w:w="1531"/>
            <w:tcMar>
              <w:top w:w="70" w:type="dxa"/>
              <w:left w:w="80" w:type="dxa"/>
              <w:bottom w:w="70" w:type="dxa"/>
              <w:right w:w="80" w:type="dxa"/>
            </w:tcMar>
          </w:tcPr>
          <w:p>
            <w:r>
              <w:rPr>
                <w:sz w:val="15"/>
              </w:rPr>
              <w:t>COM-04-R01</w:t>
            </w:r>
          </w:p>
        </w:tc>
        <w:tc>
          <w:tcPr>
            <w:tcW w:type="dxa" w:w="1531"/>
            <w:tcMar>
              <w:top w:w="70" w:type="dxa"/>
              <w:left w:w="80" w:type="dxa"/>
              <w:bottom w:w="70" w:type="dxa"/>
              <w:right w:w="80" w:type="dxa"/>
            </w:tcMar>
          </w:tcPr>
          <w:p>
            <w:r>
              <w:rPr>
                <w:sz w:val="15"/>
              </w:rPr>
              <w:t>Financial Ledger, Wallet, Credits &amp; Reconciliation</w:t>
            </w:r>
          </w:p>
        </w:tc>
        <w:tc>
          <w:tcPr>
            <w:tcW w:type="dxa" w:w="1531"/>
            <w:tcMar>
              <w:top w:w="70" w:type="dxa"/>
              <w:left w:w="80" w:type="dxa"/>
              <w:bottom w:w="70" w:type="dxa"/>
              <w:right w:w="80" w:type="dxa"/>
            </w:tcMar>
          </w:tcPr>
          <w:p>
            <w:r>
              <w:rPr>
                <w:sz w:val="15"/>
              </w:rPr>
              <w:t>Double-entry or equivalent immutable posting model for sales, payments, refunds, fees, wallet and credits.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COM-04</w:t>
            </w:r>
          </w:p>
        </w:tc>
        <w:tc>
          <w:tcPr>
            <w:tcW w:type="dxa" w:w="1531"/>
            <w:tcMar>
              <w:top w:w="70" w:type="dxa"/>
              <w:left w:w="80" w:type="dxa"/>
              <w:bottom w:w="70" w:type="dxa"/>
              <w:right w:w="80" w:type="dxa"/>
            </w:tcMar>
          </w:tcPr>
          <w:p>
            <w:r>
              <w:rPr>
                <w:sz w:val="15"/>
              </w:rPr>
              <w:t>§10.15 COM-04 Implementation Contract; §14/§15</w:t>
            </w:r>
          </w:p>
        </w:tc>
        <w:tc>
          <w:tcPr>
            <w:tcW w:type="dxa" w:w="1531"/>
            <w:tcMar>
              <w:top w:w="70" w:type="dxa"/>
              <w:left w:w="80" w:type="dxa"/>
              <w:bottom w:w="70" w:type="dxa"/>
              <w:right w:w="80" w:type="dxa"/>
            </w:tcMar>
          </w:tcPr>
          <w:p>
            <w:r>
              <w:rPr>
                <w:sz w:val="15"/>
              </w:rPr>
              <w:t>§27; INV-COM-04; API/event contract tests; requirement COM-04-R01</w:t>
            </w:r>
          </w:p>
        </w:tc>
        <w:tc>
          <w:tcPr>
            <w:tcW w:type="dxa" w:w="1531"/>
            <w:tcMar>
              <w:top w:w="70" w:type="dxa"/>
              <w:left w:w="80" w:type="dxa"/>
              <w:bottom w:w="70" w:type="dxa"/>
              <w:right w:w="80" w:type="dxa"/>
            </w:tcMar>
          </w:tcPr>
          <w:p>
            <w:r>
              <w:rPr>
                <w:sz w:val="15"/>
              </w:rPr>
              <w:t>§28; RB-COM-04</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COM-04-R02</w:t>
            </w:r>
          </w:p>
        </w:tc>
        <w:tc>
          <w:tcPr>
            <w:tcW w:type="dxa" w:w="1531"/>
            <w:tcMar>
              <w:top w:w="70" w:type="dxa"/>
              <w:left w:w="80" w:type="dxa"/>
              <w:bottom w:w="70" w:type="dxa"/>
              <w:right w:w="80" w:type="dxa"/>
            </w:tcMar>
          </w:tcPr>
          <w:p>
            <w:r>
              <w:rPr>
                <w:sz w:val="15"/>
              </w:rPr>
              <w:t>Financial Ledger, Wallet, Credits &amp; Reconciliation</w:t>
            </w:r>
          </w:p>
        </w:tc>
        <w:tc>
          <w:tcPr>
            <w:tcW w:type="dxa" w:w="1531"/>
            <w:tcMar>
              <w:top w:w="70" w:type="dxa"/>
              <w:left w:w="80" w:type="dxa"/>
              <w:bottom w:w="70" w:type="dxa"/>
              <w:right w:w="80" w:type="dxa"/>
            </w:tcMar>
          </w:tcPr>
          <w:p>
            <w:r>
              <w:rPr>
                <w:sz w:val="15"/>
              </w:rPr>
              <w:t>Member wallet with cash value, promotional value, referral credit, refund credit and expiry policy.</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COM-04</w:t>
            </w:r>
          </w:p>
        </w:tc>
        <w:tc>
          <w:tcPr>
            <w:tcW w:type="dxa" w:w="1531"/>
            <w:tcMar>
              <w:top w:w="70" w:type="dxa"/>
              <w:left w:w="80" w:type="dxa"/>
              <w:bottom w:w="70" w:type="dxa"/>
              <w:right w:w="80" w:type="dxa"/>
            </w:tcMar>
          </w:tcPr>
          <w:p>
            <w:r>
              <w:rPr>
                <w:sz w:val="15"/>
              </w:rPr>
              <w:t>§10.15 COM-04 Implementation Contract; §14/§15</w:t>
            </w:r>
          </w:p>
        </w:tc>
        <w:tc>
          <w:tcPr>
            <w:tcW w:type="dxa" w:w="1531"/>
            <w:tcMar>
              <w:top w:w="70" w:type="dxa"/>
              <w:left w:w="80" w:type="dxa"/>
              <w:bottom w:w="70" w:type="dxa"/>
              <w:right w:w="80" w:type="dxa"/>
            </w:tcMar>
          </w:tcPr>
          <w:p>
            <w:r>
              <w:rPr>
                <w:sz w:val="15"/>
              </w:rPr>
              <w:t>§27; INV-COM-04; API/event contract tests; requirement COM-04-R02</w:t>
            </w:r>
          </w:p>
        </w:tc>
        <w:tc>
          <w:tcPr>
            <w:tcW w:type="dxa" w:w="1531"/>
            <w:tcMar>
              <w:top w:w="70" w:type="dxa"/>
              <w:left w:w="80" w:type="dxa"/>
              <w:bottom w:w="70" w:type="dxa"/>
              <w:right w:w="80" w:type="dxa"/>
            </w:tcMar>
          </w:tcPr>
          <w:p>
            <w:r>
              <w:rPr>
                <w:sz w:val="15"/>
              </w:rPr>
              <w:t>§28; RB-COM-04</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COM-04-R03</w:t>
            </w:r>
          </w:p>
        </w:tc>
        <w:tc>
          <w:tcPr>
            <w:tcW w:type="dxa" w:w="1531"/>
            <w:tcMar>
              <w:top w:w="70" w:type="dxa"/>
              <w:left w:w="80" w:type="dxa"/>
              <w:bottom w:w="70" w:type="dxa"/>
              <w:right w:w="80" w:type="dxa"/>
            </w:tcMar>
          </w:tcPr>
          <w:p>
            <w:r>
              <w:rPr>
                <w:sz w:val="15"/>
              </w:rPr>
              <w:t>Financial Ledger, Wallet, Credits &amp; Reconciliation</w:t>
            </w:r>
          </w:p>
        </w:tc>
        <w:tc>
          <w:tcPr>
            <w:tcW w:type="dxa" w:w="1531"/>
            <w:tcMar>
              <w:top w:w="70" w:type="dxa"/>
              <w:left w:w="80" w:type="dxa"/>
              <w:bottom w:w="70" w:type="dxa"/>
              <w:right w:w="80" w:type="dxa"/>
            </w:tcMar>
          </w:tcPr>
          <w:p>
            <w:r>
              <w:rPr>
                <w:sz w:val="15"/>
              </w:rPr>
              <w:t>Separate non-monetary service credits such as PT sessions, classes, guest passes and assessments.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COM-04</w:t>
            </w:r>
          </w:p>
        </w:tc>
        <w:tc>
          <w:tcPr>
            <w:tcW w:type="dxa" w:w="1531"/>
            <w:tcMar>
              <w:top w:w="70" w:type="dxa"/>
              <w:left w:w="80" w:type="dxa"/>
              <w:bottom w:w="70" w:type="dxa"/>
              <w:right w:w="80" w:type="dxa"/>
            </w:tcMar>
          </w:tcPr>
          <w:p>
            <w:r>
              <w:rPr>
                <w:sz w:val="15"/>
              </w:rPr>
              <w:t>§10.15 COM-04 Implementation Contract; §14/§15</w:t>
            </w:r>
          </w:p>
        </w:tc>
        <w:tc>
          <w:tcPr>
            <w:tcW w:type="dxa" w:w="1531"/>
            <w:tcMar>
              <w:top w:w="70" w:type="dxa"/>
              <w:left w:w="80" w:type="dxa"/>
              <w:bottom w:w="70" w:type="dxa"/>
              <w:right w:w="80" w:type="dxa"/>
            </w:tcMar>
          </w:tcPr>
          <w:p>
            <w:r>
              <w:rPr>
                <w:sz w:val="15"/>
              </w:rPr>
              <w:t>§27; INV-COM-04; API/event contract tests; requirement COM-04-R03</w:t>
            </w:r>
          </w:p>
        </w:tc>
        <w:tc>
          <w:tcPr>
            <w:tcW w:type="dxa" w:w="1531"/>
            <w:tcMar>
              <w:top w:w="70" w:type="dxa"/>
              <w:left w:w="80" w:type="dxa"/>
              <w:bottom w:w="70" w:type="dxa"/>
              <w:right w:w="80" w:type="dxa"/>
            </w:tcMar>
          </w:tcPr>
          <w:p>
            <w:r>
              <w:rPr>
                <w:sz w:val="15"/>
              </w:rPr>
              <w:t>§28; RB-COM-04</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COM-04-R04</w:t>
            </w:r>
          </w:p>
        </w:tc>
        <w:tc>
          <w:tcPr>
            <w:tcW w:type="dxa" w:w="1531"/>
            <w:tcMar>
              <w:top w:w="70" w:type="dxa"/>
              <w:left w:w="80" w:type="dxa"/>
              <w:bottom w:w="70" w:type="dxa"/>
              <w:right w:w="80" w:type="dxa"/>
            </w:tcMar>
          </w:tcPr>
          <w:p>
            <w:r>
              <w:rPr>
                <w:sz w:val="15"/>
              </w:rPr>
              <w:t>Financial Ledger, Wallet, Credits &amp; Reconciliation</w:t>
            </w:r>
          </w:p>
        </w:tc>
        <w:tc>
          <w:tcPr>
            <w:tcW w:type="dxa" w:w="1531"/>
            <w:tcMar>
              <w:top w:w="70" w:type="dxa"/>
              <w:left w:w="80" w:type="dxa"/>
              <w:bottom w:w="70" w:type="dxa"/>
              <w:right w:w="80" w:type="dxa"/>
            </w:tcMar>
          </w:tcPr>
          <w:p>
            <w:r>
              <w:rPr>
                <w:sz w:val="15"/>
              </w:rPr>
              <w:t>Provider settlement import and automated matching to payments, fees, refunds and chargebacks.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COM-04</w:t>
            </w:r>
          </w:p>
        </w:tc>
        <w:tc>
          <w:tcPr>
            <w:tcW w:type="dxa" w:w="1531"/>
            <w:tcMar>
              <w:top w:w="70" w:type="dxa"/>
              <w:left w:w="80" w:type="dxa"/>
              <w:bottom w:w="70" w:type="dxa"/>
              <w:right w:w="80" w:type="dxa"/>
            </w:tcMar>
          </w:tcPr>
          <w:p>
            <w:r>
              <w:rPr>
                <w:sz w:val="15"/>
              </w:rPr>
              <w:t>§10.15 COM-04 Implementation Contract; §14/§15</w:t>
            </w:r>
          </w:p>
        </w:tc>
        <w:tc>
          <w:tcPr>
            <w:tcW w:type="dxa" w:w="1531"/>
            <w:tcMar>
              <w:top w:w="70" w:type="dxa"/>
              <w:left w:w="80" w:type="dxa"/>
              <w:bottom w:w="70" w:type="dxa"/>
              <w:right w:w="80" w:type="dxa"/>
            </w:tcMar>
          </w:tcPr>
          <w:p>
            <w:r>
              <w:rPr>
                <w:sz w:val="15"/>
              </w:rPr>
              <w:t>§27; INV-COM-04; API/event contract tests; requirement COM-04-R04</w:t>
            </w:r>
          </w:p>
        </w:tc>
        <w:tc>
          <w:tcPr>
            <w:tcW w:type="dxa" w:w="1531"/>
            <w:tcMar>
              <w:top w:w="70" w:type="dxa"/>
              <w:left w:w="80" w:type="dxa"/>
              <w:bottom w:w="70" w:type="dxa"/>
              <w:right w:w="80" w:type="dxa"/>
            </w:tcMar>
          </w:tcPr>
          <w:p>
            <w:r>
              <w:rPr>
                <w:sz w:val="15"/>
              </w:rPr>
              <w:t>§28; RB-COM-04</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COM-04-R05</w:t>
            </w:r>
          </w:p>
        </w:tc>
        <w:tc>
          <w:tcPr>
            <w:tcW w:type="dxa" w:w="1531"/>
            <w:tcMar>
              <w:top w:w="70" w:type="dxa"/>
              <w:left w:w="80" w:type="dxa"/>
              <w:bottom w:w="70" w:type="dxa"/>
              <w:right w:w="80" w:type="dxa"/>
            </w:tcMar>
          </w:tcPr>
          <w:p>
            <w:r>
              <w:rPr>
                <w:sz w:val="15"/>
              </w:rPr>
              <w:t>Financial Ledger, Wallet, Credits &amp; Reconciliation</w:t>
            </w:r>
          </w:p>
        </w:tc>
        <w:tc>
          <w:tcPr>
            <w:tcW w:type="dxa" w:w="1531"/>
            <w:tcMar>
              <w:top w:w="70" w:type="dxa"/>
              <w:left w:w="80" w:type="dxa"/>
              <w:bottom w:w="70" w:type="dxa"/>
              <w:right w:w="80" w:type="dxa"/>
            </w:tcMar>
          </w:tcPr>
          <w:p>
            <w:r>
              <w:rPr>
                <w:sz w:val="15"/>
              </w:rPr>
              <w:t>Cash drawer, bank deposit and payout reconciliation with discrepancy workflows.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COM-04</w:t>
            </w:r>
          </w:p>
        </w:tc>
        <w:tc>
          <w:tcPr>
            <w:tcW w:type="dxa" w:w="1531"/>
            <w:tcMar>
              <w:top w:w="70" w:type="dxa"/>
              <w:left w:w="80" w:type="dxa"/>
              <w:bottom w:w="70" w:type="dxa"/>
              <w:right w:w="80" w:type="dxa"/>
            </w:tcMar>
          </w:tcPr>
          <w:p>
            <w:r>
              <w:rPr>
                <w:sz w:val="15"/>
              </w:rPr>
              <w:t>§10.15 COM-04 Implementation Contract; §14/§15</w:t>
            </w:r>
          </w:p>
        </w:tc>
        <w:tc>
          <w:tcPr>
            <w:tcW w:type="dxa" w:w="1531"/>
            <w:tcMar>
              <w:top w:w="70" w:type="dxa"/>
              <w:left w:w="80" w:type="dxa"/>
              <w:bottom w:w="70" w:type="dxa"/>
              <w:right w:w="80" w:type="dxa"/>
            </w:tcMar>
          </w:tcPr>
          <w:p>
            <w:r>
              <w:rPr>
                <w:sz w:val="15"/>
              </w:rPr>
              <w:t>§27; INV-COM-04; API/event contract tests; requirement COM-04-R05</w:t>
            </w:r>
          </w:p>
        </w:tc>
        <w:tc>
          <w:tcPr>
            <w:tcW w:type="dxa" w:w="1531"/>
            <w:tcMar>
              <w:top w:w="70" w:type="dxa"/>
              <w:left w:w="80" w:type="dxa"/>
              <w:bottom w:w="70" w:type="dxa"/>
              <w:right w:w="80" w:type="dxa"/>
            </w:tcMar>
          </w:tcPr>
          <w:p>
            <w:r>
              <w:rPr>
                <w:sz w:val="15"/>
              </w:rPr>
              <w:t>§28; RB-COM-04</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COM-04-R06</w:t>
            </w:r>
          </w:p>
        </w:tc>
        <w:tc>
          <w:tcPr>
            <w:tcW w:type="dxa" w:w="1531"/>
            <w:tcMar>
              <w:top w:w="70" w:type="dxa"/>
              <w:left w:w="80" w:type="dxa"/>
              <w:bottom w:w="70" w:type="dxa"/>
              <w:right w:w="80" w:type="dxa"/>
            </w:tcMar>
          </w:tcPr>
          <w:p>
            <w:r>
              <w:rPr>
                <w:sz w:val="15"/>
              </w:rPr>
              <w:t>Financial Ledger, Wallet, Credits &amp; Reconciliation</w:t>
            </w:r>
          </w:p>
        </w:tc>
        <w:tc>
          <w:tcPr>
            <w:tcW w:type="dxa" w:w="1531"/>
            <w:tcMar>
              <w:top w:w="70" w:type="dxa"/>
              <w:left w:w="80" w:type="dxa"/>
              <w:bottom w:w="70" w:type="dxa"/>
              <w:right w:w="80" w:type="dxa"/>
            </w:tcMar>
          </w:tcPr>
          <w:p>
            <w:r>
              <w:rPr>
                <w:sz w:val="15"/>
              </w:rPr>
              <w:t>Financial periods, lock controls, correction entries and export to accounting systems.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COM-04</w:t>
            </w:r>
          </w:p>
        </w:tc>
        <w:tc>
          <w:tcPr>
            <w:tcW w:type="dxa" w:w="1531"/>
            <w:tcMar>
              <w:top w:w="70" w:type="dxa"/>
              <w:left w:w="80" w:type="dxa"/>
              <w:bottom w:w="70" w:type="dxa"/>
              <w:right w:w="80" w:type="dxa"/>
            </w:tcMar>
          </w:tcPr>
          <w:p>
            <w:r>
              <w:rPr>
                <w:sz w:val="15"/>
              </w:rPr>
              <w:t>§10.15 COM-04 Implementation Contract; §14/§15</w:t>
            </w:r>
          </w:p>
        </w:tc>
        <w:tc>
          <w:tcPr>
            <w:tcW w:type="dxa" w:w="1531"/>
            <w:tcMar>
              <w:top w:w="70" w:type="dxa"/>
              <w:left w:w="80" w:type="dxa"/>
              <w:bottom w:w="70" w:type="dxa"/>
              <w:right w:w="80" w:type="dxa"/>
            </w:tcMar>
          </w:tcPr>
          <w:p>
            <w:r>
              <w:rPr>
                <w:sz w:val="15"/>
              </w:rPr>
              <w:t>§27; INV-COM-04; API/event contract tests; requirement COM-04-R06</w:t>
            </w:r>
          </w:p>
        </w:tc>
        <w:tc>
          <w:tcPr>
            <w:tcW w:type="dxa" w:w="1531"/>
            <w:tcMar>
              <w:top w:w="70" w:type="dxa"/>
              <w:left w:w="80" w:type="dxa"/>
              <w:bottom w:w="70" w:type="dxa"/>
              <w:right w:w="80" w:type="dxa"/>
            </w:tcMar>
          </w:tcPr>
          <w:p>
            <w:r>
              <w:rPr>
                <w:sz w:val="15"/>
              </w:rPr>
              <w:t>§28; RB-COM-04</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COM-04-R07</w:t>
            </w:r>
          </w:p>
        </w:tc>
        <w:tc>
          <w:tcPr>
            <w:tcW w:type="dxa" w:w="1531"/>
            <w:tcMar>
              <w:top w:w="70" w:type="dxa"/>
              <w:left w:w="80" w:type="dxa"/>
              <w:bottom w:w="70" w:type="dxa"/>
              <w:right w:w="80" w:type="dxa"/>
            </w:tcMar>
          </w:tcPr>
          <w:p>
            <w:r>
              <w:rPr>
                <w:sz w:val="15"/>
              </w:rPr>
              <w:t>Financial Ledger, Wallet, Credits &amp; Reconciliation</w:t>
            </w:r>
          </w:p>
        </w:tc>
        <w:tc>
          <w:tcPr>
            <w:tcW w:type="dxa" w:w="1531"/>
            <w:tcMar>
              <w:top w:w="70" w:type="dxa"/>
              <w:left w:w="80" w:type="dxa"/>
              <w:bottom w:w="70" w:type="dxa"/>
              <w:right w:w="80" w:type="dxa"/>
            </w:tcMar>
          </w:tcPr>
          <w:p>
            <w:r>
              <w:rPr>
                <w:sz w:val="15"/>
              </w:rPr>
              <w:t>Statements and balances reconstructed from entries rather than mutable totals.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COM-04</w:t>
            </w:r>
          </w:p>
        </w:tc>
        <w:tc>
          <w:tcPr>
            <w:tcW w:type="dxa" w:w="1531"/>
            <w:tcMar>
              <w:top w:w="70" w:type="dxa"/>
              <w:left w:w="80" w:type="dxa"/>
              <w:bottom w:w="70" w:type="dxa"/>
              <w:right w:w="80" w:type="dxa"/>
            </w:tcMar>
          </w:tcPr>
          <w:p>
            <w:r>
              <w:rPr>
                <w:sz w:val="15"/>
              </w:rPr>
              <w:t>§10.15 COM-04 Implementation Contract; §14/§15</w:t>
            </w:r>
          </w:p>
        </w:tc>
        <w:tc>
          <w:tcPr>
            <w:tcW w:type="dxa" w:w="1531"/>
            <w:tcMar>
              <w:top w:w="70" w:type="dxa"/>
              <w:left w:w="80" w:type="dxa"/>
              <w:bottom w:w="70" w:type="dxa"/>
              <w:right w:w="80" w:type="dxa"/>
            </w:tcMar>
          </w:tcPr>
          <w:p>
            <w:r>
              <w:rPr>
                <w:sz w:val="15"/>
              </w:rPr>
              <w:t>§27; INV-COM-04; API/event contract tests; requirement COM-04-R07</w:t>
            </w:r>
          </w:p>
        </w:tc>
        <w:tc>
          <w:tcPr>
            <w:tcW w:type="dxa" w:w="1531"/>
            <w:tcMar>
              <w:top w:w="70" w:type="dxa"/>
              <w:left w:w="80" w:type="dxa"/>
              <w:bottom w:w="70" w:type="dxa"/>
              <w:right w:w="80" w:type="dxa"/>
            </w:tcMar>
          </w:tcPr>
          <w:p>
            <w:r>
              <w:rPr>
                <w:sz w:val="15"/>
              </w:rPr>
              <w:t>§28; RB-COM-04</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COM-05-R01</w:t>
            </w:r>
          </w:p>
        </w:tc>
        <w:tc>
          <w:tcPr>
            <w:tcW w:type="dxa" w:w="1531"/>
            <w:tcMar>
              <w:top w:w="70" w:type="dxa"/>
              <w:left w:w="80" w:type="dxa"/>
              <w:bottom w:w="70" w:type="dxa"/>
              <w:right w:w="80" w:type="dxa"/>
            </w:tcMar>
          </w:tcPr>
          <w:p>
            <w:r>
              <w:rPr>
                <w:sz w:val="15"/>
              </w:rPr>
              <w:t>Point of Sale, Ecommerce &amp; Order Fulfillment</w:t>
            </w:r>
          </w:p>
        </w:tc>
        <w:tc>
          <w:tcPr>
            <w:tcW w:type="dxa" w:w="1531"/>
            <w:tcMar>
              <w:top w:w="70" w:type="dxa"/>
              <w:left w:w="80" w:type="dxa"/>
              <w:bottom w:w="70" w:type="dxa"/>
              <w:right w:w="80" w:type="dxa"/>
            </w:tcMar>
          </w:tcPr>
          <w:p>
            <w:r>
              <w:rPr>
                <w:sz w:val="15"/>
              </w:rPr>
              <w:t>Fast member-aware checkout: identify member, tap/scan product, pay and complete.</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COM-05</w:t>
            </w:r>
          </w:p>
        </w:tc>
        <w:tc>
          <w:tcPr>
            <w:tcW w:type="dxa" w:w="1531"/>
            <w:tcMar>
              <w:top w:w="70" w:type="dxa"/>
              <w:left w:w="80" w:type="dxa"/>
              <w:bottom w:w="70" w:type="dxa"/>
              <w:right w:w="80" w:type="dxa"/>
            </w:tcMar>
          </w:tcPr>
          <w:p>
            <w:r>
              <w:rPr>
                <w:sz w:val="15"/>
              </w:rPr>
              <w:t>§10.16 COM-05 Implementation Contract; §14/§15</w:t>
            </w:r>
          </w:p>
        </w:tc>
        <w:tc>
          <w:tcPr>
            <w:tcW w:type="dxa" w:w="1531"/>
            <w:tcMar>
              <w:top w:w="70" w:type="dxa"/>
              <w:left w:w="80" w:type="dxa"/>
              <w:bottom w:w="70" w:type="dxa"/>
              <w:right w:w="80" w:type="dxa"/>
            </w:tcMar>
          </w:tcPr>
          <w:p>
            <w:r>
              <w:rPr>
                <w:sz w:val="15"/>
              </w:rPr>
              <w:t>§27; INV-COM-05; API/event contract tests; requirement COM-05-R01</w:t>
            </w:r>
          </w:p>
        </w:tc>
        <w:tc>
          <w:tcPr>
            <w:tcW w:type="dxa" w:w="1531"/>
            <w:tcMar>
              <w:top w:w="70" w:type="dxa"/>
              <w:left w:w="80" w:type="dxa"/>
              <w:bottom w:w="70" w:type="dxa"/>
              <w:right w:w="80" w:type="dxa"/>
            </w:tcMar>
          </w:tcPr>
          <w:p>
            <w:r>
              <w:rPr>
                <w:sz w:val="15"/>
              </w:rPr>
              <w:t>§28; RB-COM-05</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COM-05-R02</w:t>
            </w:r>
          </w:p>
        </w:tc>
        <w:tc>
          <w:tcPr>
            <w:tcW w:type="dxa" w:w="1531"/>
            <w:tcMar>
              <w:top w:w="70" w:type="dxa"/>
              <w:left w:w="80" w:type="dxa"/>
              <w:bottom w:w="70" w:type="dxa"/>
              <w:right w:w="80" w:type="dxa"/>
            </w:tcMar>
          </w:tcPr>
          <w:p>
            <w:r>
              <w:rPr>
                <w:sz w:val="15"/>
              </w:rPr>
              <w:t>Point of Sale, Ecommerce &amp; Order Fulfillment</w:t>
            </w:r>
          </w:p>
        </w:tc>
        <w:tc>
          <w:tcPr>
            <w:tcW w:type="dxa" w:w="1531"/>
            <w:tcMar>
              <w:top w:w="70" w:type="dxa"/>
              <w:left w:w="80" w:type="dxa"/>
              <w:bottom w:w="70" w:type="dxa"/>
              <w:right w:w="80" w:type="dxa"/>
            </w:tcMar>
          </w:tcPr>
          <w:p>
            <w:r>
              <w:rPr>
                <w:sz w:val="15"/>
              </w:rPr>
              <w:t>Guest checkout with optional lead/member conversion and receipt capture.</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COM-05</w:t>
            </w:r>
          </w:p>
        </w:tc>
        <w:tc>
          <w:tcPr>
            <w:tcW w:type="dxa" w:w="1531"/>
            <w:tcMar>
              <w:top w:w="70" w:type="dxa"/>
              <w:left w:w="80" w:type="dxa"/>
              <w:bottom w:w="70" w:type="dxa"/>
              <w:right w:w="80" w:type="dxa"/>
            </w:tcMar>
          </w:tcPr>
          <w:p>
            <w:r>
              <w:rPr>
                <w:sz w:val="15"/>
              </w:rPr>
              <w:t>§10.16 COM-05 Implementation Contract; §14/§15</w:t>
            </w:r>
          </w:p>
        </w:tc>
        <w:tc>
          <w:tcPr>
            <w:tcW w:type="dxa" w:w="1531"/>
            <w:tcMar>
              <w:top w:w="70" w:type="dxa"/>
              <w:left w:w="80" w:type="dxa"/>
              <w:bottom w:w="70" w:type="dxa"/>
              <w:right w:w="80" w:type="dxa"/>
            </w:tcMar>
          </w:tcPr>
          <w:p>
            <w:r>
              <w:rPr>
                <w:sz w:val="15"/>
              </w:rPr>
              <w:t>§27; INV-COM-05; API/event contract tests; requirement COM-05-R02</w:t>
            </w:r>
          </w:p>
        </w:tc>
        <w:tc>
          <w:tcPr>
            <w:tcW w:type="dxa" w:w="1531"/>
            <w:tcMar>
              <w:top w:w="70" w:type="dxa"/>
              <w:left w:w="80" w:type="dxa"/>
              <w:bottom w:w="70" w:type="dxa"/>
              <w:right w:w="80" w:type="dxa"/>
            </w:tcMar>
          </w:tcPr>
          <w:p>
            <w:r>
              <w:rPr>
                <w:sz w:val="15"/>
              </w:rPr>
              <w:t>§28; RB-COM-05</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COM-05-R03</w:t>
            </w:r>
          </w:p>
        </w:tc>
        <w:tc>
          <w:tcPr>
            <w:tcW w:type="dxa" w:w="1531"/>
            <w:tcMar>
              <w:top w:w="70" w:type="dxa"/>
              <w:left w:w="80" w:type="dxa"/>
              <w:bottom w:w="70" w:type="dxa"/>
              <w:right w:w="80" w:type="dxa"/>
            </w:tcMar>
          </w:tcPr>
          <w:p>
            <w:r>
              <w:rPr>
                <w:sz w:val="15"/>
              </w:rPr>
              <w:t>Point of Sale, Ecommerce &amp; Order Fulfillment</w:t>
            </w:r>
          </w:p>
        </w:tc>
        <w:tc>
          <w:tcPr>
            <w:tcW w:type="dxa" w:w="1531"/>
            <w:tcMar>
              <w:top w:w="70" w:type="dxa"/>
              <w:left w:w="80" w:type="dxa"/>
              <w:bottom w:w="70" w:type="dxa"/>
              <w:right w:w="80" w:type="dxa"/>
            </w:tcMar>
          </w:tcPr>
          <w:p>
            <w:r>
              <w:rPr>
                <w:sz w:val="15"/>
              </w:rPr>
              <w:t>Barcode scanning, favorites, category tiles, search, recent items and configurable quick actions.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COM-05</w:t>
            </w:r>
          </w:p>
        </w:tc>
        <w:tc>
          <w:tcPr>
            <w:tcW w:type="dxa" w:w="1531"/>
            <w:tcMar>
              <w:top w:w="70" w:type="dxa"/>
              <w:left w:w="80" w:type="dxa"/>
              <w:bottom w:w="70" w:type="dxa"/>
              <w:right w:w="80" w:type="dxa"/>
            </w:tcMar>
          </w:tcPr>
          <w:p>
            <w:r>
              <w:rPr>
                <w:sz w:val="15"/>
              </w:rPr>
              <w:t>§10.16 COM-05 Implementation Contract; §14/§15</w:t>
            </w:r>
          </w:p>
        </w:tc>
        <w:tc>
          <w:tcPr>
            <w:tcW w:type="dxa" w:w="1531"/>
            <w:tcMar>
              <w:top w:w="70" w:type="dxa"/>
              <w:left w:w="80" w:type="dxa"/>
              <w:bottom w:w="70" w:type="dxa"/>
              <w:right w:w="80" w:type="dxa"/>
            </w:tcMar>
          </w:tcPr>
          <w:p>
            <w:r>
              <w:rPr>
                <w:sz w:val="15"/>
              </w:rPr>
              <w:t>§27; INV-COM-05; API/event contract tests; requirement COM-05-R03</w:t>
            </w:r>
          </w:p>
        </w:tc>
        <w:tc>
          <w:tcPr>
            <w:tcW w:type="dxa" w:w="1531"/>
            <w:tcMar>
              <w:top w:w="70" w:type="dxa"/>
              <w:left w:w="80" w:type="dxa"/>
              <w:bottom w:w="70" w:type="dxa"/>
              <w:right w:w="80" w:type="dxa"/>
            </w:tcMar>
          </w:tcPr>
          <w:p>
            <w:r>
              <w:rPr>
                <w:sz w:val="15"/>
              </w:rPr>
              <w:t>§28; RB-COM-05</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COM-05-R04</w:t>
            </w:r>
          </w:p>
        </w:tc>
        <w:tc>
          <w:tcPr>
            <w:tcW w:type="dxa" w:w="1531"/>
            <w:tcMar>
              <w:top w:w="70" w:type="dxa"/>
              <w:left w:w="80" w:type="dxa"/>
              <w:bottom w:w="70" w:type="dxa"/>
              <w:right w:w="80" w:type="dxa"/>
            </w:tcMar>
          </w:tcPr>
          <w:p>
            <w:r>
              <w:rPr>
                <w:sz w:val="15"/>
              </w:rPr>
              <w:t>Point of Sale, Ecommerce &amp; Order Fulfillment</w:t>
            </w:r>
          </w:p>
        </w:tc>
        <w:tc>
          <w:tcPr>
            <w:tcW w:type="dxa" w:w="1531"/>
            <w:tcMar>
              <w:top w:w="70" w:type="dxa"/>
              <w:left w:w="80" w:type="dxa"/>
              <w:bottom w:w="70" w:type="dxa"/>
              <w:right w:w="80" w:type="dxa"/>
            </w:tcMar>
          </w:tcPr>
          <w:p>
            <w:r>
              <w:rPr>
                <w:sz w:val="15"/>
              </w:rPr>
              <w:t>Cash, card, wallet, saved method, gift card and split-tender payments.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COM-05</w:t>
            </w:r>
          </w:p>
        </w:tc>
        <w:tc>
          <w:tcPr>
            <w:tcW w:type="dxa" w:w="1531"/>
            <w:tcMar>
              <w:top w:w="70" w:type="dxa"/>
              <w:left w:w="80" w:type="dxa"/>
              <w:bottom w:w="70" w:type="dxa"/>
              <w:right w:w="80" w:type="dxa"/>
            </w:tcMar>
          </w:tcPr>
          <w:p>
            <w:r>
              <w:rPr>
                <w:sz w:val="15"/>
              </w:rPr>
              <w:t>§10.16 COM-05 Implementation Contract; §14/§15</w:t>
            </w:r>
          </w:p>
        </w:tc>
        <w:tc>
          <w:tcPr>
            <w:tcW w:type="dxa" w:w="1531"/>
            <w:tcMar>
              <w:top w:w="70" w:type="dxa"/>
              <w:left w:w="80" w:type="dxa"/>
              <w:bottom w:w="70" w:type="dxa"/>
              <w:right w:w="80" w:type="dxa"/>
            </w:tcMar>
          </w:tcPr>
          <w:p>
            <w:r>
              <w:rPr>
                <w:sz w:val="15"/>
              </w:rPr>
              <w:t>§27; INV-COM-05; API/event contract tests; requirement COM-05-R04</w:t>
            </w:r>
          </w:p>
        </w:tc>
        <w:tc>
          <w:tcPr>
            <w:tcW w:type="dxa" w:w="1531"/>
            <w:tcMar>
              <w:top w:w="70" w:type="dxa"/>
              <w:left w:w="80" w:type="dxa"/>
              <w:bottom w:w="70" w:type="dxa"/>
              <w:right w:w="80" w:type="dxa"/>
            </w:tcMar>
          </w:tcPr>
          <w:p>
            <w:r>
              <w:rPr>
                <w:sz w:val="15"/>
              </w:rPr>
              <w:t>§28; RB-COM-05</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COM-05-R05</w:t>
            </w:r>
          </w:p>
        </w:tc>
        <w:tc>
          <w:tcPr>
            <w:tcW w:type="dxa" w:w="1531"/>
            <w:tcMar>
              <w:top w:w="70" w:type="dxa"/>
              <w:left w:w="80" w:type="dxa"/>
              <w:bottom w:w="70" w:type="dxa"/>
              <w:right w:w="80" w:type="dxa"/>
            </w:tcMar>
          </w:tcPr>
          <w:p>
            <w:r>
              <w:rPr>
                <w:sz w:val="15"/>
              </w:rPr>
              <w:t>Point of Sale, Ecommerce &amp; Order Fulfillment</w:t>
            </w:r>
          </w:p>
        </w:tc>
        <w:tc>
          <w:tcPr>
            <w:tcW w:type="dxa" w:w="1531"/>
            <w:tcMar>
              <w:top w:w="70" w:type="dxa"/>
              <w:left w:w="80" w:type="dxa"/>
              <w:bottom w:w="70" w:type="dxa"/>
              <w:right w:w="80" w:type="dxa"/>
            </w:tcMar>
          </w:tcPr>
          <w:p>
            <w:r>
              <w:rPr>
                <w:sz w:val="15"/>
              </w:rPr>
              <w:t>Sell memberships, upgrades, PT packages, classes, nutrition, events, merchandise and digital products from one cart.</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COM-05</w:t>
            </w:r>
          </w:p>
        </w:tc>
        <w:tc>
          <w:tcPr>
            <w:tcW w:type="dxa" w:w="1531"/>
            <w:tcMar>
              <w:top w:w="70" w:type="dxa"/>
              <w:left w:w="80" w:type="dxa"/>
              <w:bottom w:w="70" w:type="dxa"/>
              <w:right w:w="80" w:type="dxa"/>
            </w:tcMar>
          </w:tcPr>
          <w:p>
            <w:r>
              <w:rPr>
                <w:sz w:val="15"/>
              </w:rPr>
              <w:t>§10.16 COM-05 Implementation Contract; §14/§15</w:t>
            </w:r>
          </w:p>
        </w:tc>
        <w:tc>
          <w:tcPr>
            <w:tcW w:type="dxa" w:w="1531"/>
            <w:tcMar>
              <w:top w:w="70" w:type="dxa"/>
              <w:left w:w="80" w:type="dxa"/>
              <w:bottom w:w="70" w:type="dxa"/>
              <w:right w:w="80" w:type="dxa"/>
            </w:tcMar>
          </w:tcPr>
          <w:p>
            <w:r>
              <w:rPr>
                <w:sz w:val="15"/>
              </w:rPr>
              <w:t>§27; INV-COM-05; API/event contract tests; requirement COM-05-R05</w:t>
            </w:r>
          </w:p>
        </w:tc>
        <w:tc>
          <w:tcPr>
            <w:tcW w:type="dxa" w:w="1531"/>
            <w:tcMar>
              <w:top w:w="70" w:type="dxa"/>
              <w:left w:w="80" w:type="dxa"/>
              <w:bottom w:w="70" w:type="dxa"/>
              <w:right w:w="80" w:type="dxa"/>
            </w:tcMar>
          </w:tcPr>
          <w:p>
            <w:r>
              <w:rPr>
                <w:sz w:val="15"/>
              </w:rPr>
              <w:t>§28; RB-COM-05</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COM-05-R06</w:t>
            </w:r>
          </w:p>
        </w:tc>
        <w:tc>
          <w:tcPr>
            <w:tcW w:type="dxa" w:w="1531"/>
            <w:tcMar>
              <w:top w:w="70" w:type="dxa"/>
              <w:left w:w="80" w:type="dxa"/>
              <w:bottom w:w="70" w:type="dxa"/>
              <w:right w:w="80" w:type="dxa"/>
            </w:tcMar>
          </w:tcPr>
          <w:p>
            <w:r>
              <w:rPr>
                <w:sz w:val="15"/>
              </w:rPr>
              <w:t>Point of Sale, Ecommerce &amp; Order Fulfillment</w:t>
            </w:r>
          </w:p>
        </w:tc>
        <w:tc>
          <w:tcPr>
            <w:tcW w:type="dxa" w:w="1531"/>
            <w:tcMar>
              <w:top w:w="70" w:type="dxa"/>
              <w:left w:w="80" w:type="dxa"/>
              <w:bottom w:w="70" w:type="dxa"/>
              <w:right w:w="80" w:type="dxa"/>
            </w:tcMar>
          </w:tcPr>
          <w:p>
            <w:r>
              <w:rPr>
                <w:sz w:val="15"/>
              </w:rPr>
              <w:t>Automatic member pricing, included-benefit detection, tax, discount policy and approval.</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COM-05</w:t>
            </w:r>
          </w:p>
        </w:tc>
        <w:tc>
          <w:tcPr>
            <w:tcW w:type="dxa" w:w="1531"/>
            <w:tcMar>
              <w:top w:w="70" w:type="dxa"/>
              <w:left w:w="80" w:type="dxa"/>
              <w:bottom w:w="70" w:type="dxa"/>
              <w:right w:w="80" w:type="dxa"/>
            </w:tcMar>
          </w:tcPr>
          <w:p>
            <w:r>
              <w:rPr>
                <w:sz w:val="15"/>
              </w:rPr>
              <w:t>§10.16 COM-05 Implementation Contract; §14/§15</w:t>
            </w:r>
          </w:p>
        </w:tc>
        <w:tc>
          <w:tcPr>
            <w:tcW w:type="dxa" w:w="1531"/>
            <w:tcMar>
              <w:top w:w="70" w:type="dxa"/>
              <w:left w:w="80" w:type="dxa"/>
              <w:bottom w:w="70" w:type="dxa"/>
              <w:right w:w="80" w:type="dxa"/>
            </w:tcMar>
          </w:tcPr>
          <w:p>
            <w:r>
              <w:rPr>
                <w:sz w:val="15"/>
              </w:rPr>
              <w:t>§27; INV-COM-05; API/event contract tests; requirement COM-05-R06</w:t>
            </w:r>
          </w:p>
        </w:tc>
        <w:tc>
          <w:tcPr>
            <w:tcW w:type="dxa" w:w="1531"/>
            <w:tcMar>
              <w:top w:w="70" w:type="dxa"/>
              <w:left w:w="80" w:type="dxa"/>
              <w:bottom w:w="70" w:type="dxa"/>
              <w:right w:w="80" w:type="dxa"/>
            </w:tcMar>
          </w:tcPr>
          <w:p>
            <w:r>
              <w:rPr>
                <w:sz w:val="15"/>
              </w:rPr>
              <w:t>§28; RB-COM-05</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COM-05-R07</w:t>
            </w:r>
          </w:p>
        </w:tc>
        <w:tc>
          <w:tcPr>
            <w:tcW w:type="dxa" w:w="1531"/>
            <w:tcMar>
              <w:top w:w="70" w:type="dxa"/>
              <w:left w:w="80" w:type="dxa"/>
              <w:bottom w:w="70" w:type="dxa"/>
              <w:right w:w="80" w:type="dxa"/>
            </w:tcMar>
          </w:tcPr>
          <w:p>
            <w:r>
              <w:rPr>
                <w:sz w:val="15"/>
              </w:rPr>
              <w:t>Point of Sale, Ecommerce &amp; Order Fulfillment</w:t>
            </w:r>
          </w:p>
        </w:tc>
        <w:tc>
          <w:tcPr>
            <w:tcW w:type="dxa" w:w="1531"/>
            <w:tcMar>
              <w:top w:w="70" w:type="dxa"/>
              <w:left w:w="80" w:type="dxa"/>
              <w:bottom w:w="70" w:type="dxa"/>
              <w:right w:w="80" w:type="dxa"/>
            </w:tcMar>
          </w:tcPr>
          <w:p>
            <w:r>
              <w:rPr>
                <w:sz w:val="15"/>
              </w:rPr>
              <w:t>Returns, partial refunds, exchanges, store credit, voids and reason codes.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COM-05</w:t>
            </w:r>
          </w:p>
        </w:tc>
        <w:tc>
          <w:tcPr>
            <w:tcW w:type="dxa" w:w="1531"/>
            <w:tcMar>
              <w:top w:w="70" w:type="dxa"/>
              <w:left w:w="80" w:type="dxa"/>
              <w:bottom w:w="70" w:type="dxa"/>
              <w:right w:w="80" w:type="dxa"/>
            </w:tcMar>
          </w:tcPr>
          <w:p>
            <w:r>
              <w:rPr>
                <w:sz w:val="15"/>
              </w:rPr>
              <w:t>§10.16 COM-05 Implementation Contract; §14/§15</w:t>
            </w:r>
          </w:p>
        </w:tc>
        <w:tc>
          <w:tcPr>
            <w:tcW w:type="dxa" w:w="1531"/>
            <w:tcMar>
              <w:top w:w="70" w:type="dxa"/>
              <w:left w:w="80" w:type="dxa"/>
              <w:bottom w:w="70" w:type="dxa"/>
              <w:right w:w="80" w:type="dxa"/>
            </w:tcMar>
          </w:tcPr>
          <w:p>
            <w:r>
              <w:rPr>
                <w:sz w:val="15"/>
              </w:rPr>
              <w:t>§27; INV-COM-05; API/event contract tests; requirement COM-05-R07</w:t>
            </w:r>
          </w:p>
        </w:tc>
        <w:tc>
          <w:tcPr>
            <w:tcW w:type="dxa" w:w="1531"/>
            <w:tcMar>
              <w:top w:w="70" w:type="dxa"/>
              <w:left w:w="80" w:type="dxa"/>
              <w:bottom w:w="70" w:type="dxa"/>
              <w:right w:w="80" w:type="dxa"/>
            </w:tcMar>
          </w:tcPr>
          <w:p>
            <w:r>
              <w:rPr>
                <w:sz w:val="15"/>
              </w:rPr>
              <w:t>§28; RB-COM-05</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COM-05-R08</w:t>
            </w:r>
          </w:p>
        </w:tc>
        <w:tc>
          <w:tcPr>
            <w:tcW w:type="dxa" w:w="1531"/>
            <w:tcMar>
              <w:top w:w="70" w:type="dxa"/>
              <w:left w:w="80" w:type="dxa"/>
              <w:bottom w:w="70" w:type="dxa"/>
              <w:right w:w="80" w:type="dxa"/>
            </w:tcMar>
          </w:tcPr>
          <w:p>
            <w:r>
              <w:rPr>
                <w:sz w:val="15"/>
              </w:rPr>
              <w:t>Point of Sale, Ecommerce &amp; Order Fulfillment</w:t>
            </w:r>
          </w:p>
        </w:tc>
        <w:tc>
          <w:tcPr>
            <w:tcW w:type="dxa" w:w="1531"/>
            <w:tcMar>
              <w:top w:w="70" w:type="dxa"/>
              <w:left w:w="80" w:type="dxa"/>
              <w:bottom w:w="70" w:type="dxa"/>
              <w:right w:w="80" w:type="dxa"/>
            </w:tcMar>
          </w:tcPr>
          <w:p>
            <w:r>
              <w:rPr>
                <w:sz w:val="15"/>
              </w:rPr>
              <w:t>Orders from member app/web shop with pickup, digital fulfillment or future delivery.</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COM-05</w:t>
            </w:r>
          </w:p>
        </w:tc>
        <w:tc>
          <w:tcPr>
            <w:tcW w:type="dxa" w:w="1531"/>
            <w:tcMar>
              <w:top w:w="70" w:type="dxa"/>
              <w:left w:w="80" w:type="dxa"/>
              <w:bottom w:w="70" w:type="dxa"/>
              <w:right w:w="80" w:type="dxa"/>
            </w:tcMar>
          </w:tcPr>
          <w:p>
            <w:r>
              <w:rPr>
                <w:sz w:val="15"/>
              </w:rPr>
              <w:t>§10.16 COM-05 Implementation Contract; §14/§15</w:t>
            </w:r>
          </w:p>
        </w:tc>
        <w:tc>
          <w:tcPr>
            <w:tcW w:type="dxa" w:w="1531"/>
            <w:tcMar>
              <w:top w:w="70" w:type="dxa"/>
              <w:left w:w="80" w:type="dxa"/>
              <w:bottom w:w="70" w:type="dxa"/>
              <w:right w:w="80" w:type="dxa"/>
            </w:tcMar>
          </w:tcPr>
          <w:p>
            <w:r>
              <w:rPr>
                <w:sz w:val="15"/>
              </w:rPr>
              <w:t>§27; INV-COM-05; API/event contract tests; requirement COM-05-R08</w:t>
            </w:r>
          </w:p>
        </w:tc>
        <w:tc>
          <w:tcPr>
            <w:tcW w:type="dxa" w:w="1531"/>
            <w:tcMar>
              <w:top w:w="70" w:type="dxa"/>
              <w:left w:w="80" w:type="dxa"/>
              <w:bottom w:w="70" w:type="dxa"/>
              <w:right w:w="80" w:type="dxa"/>
            </w:tcMar>
          </w:tcPr>
          <w:p>
            <w:r>
              <w:rPr>
                <w:sz w:val="15"/>
              </w:rPr>
              <w:t>§28; RB-COM-05</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COM-05-R09</w:t>
            </w:r>
          </w:p>
        </w:tc>
        <w:tc>
          <w:tcPr>
            <w:tcW w:type="dxa" w:w="1531"/>
            <w:tcMar>
              <w:top w:w="70" w:type="dxa"/>
              <w:left w:w="80" w:type="dxa"/>
              <w:bottom w:w="70" w:type="dxa"/>
              <w:right w:w="80" w:type="dxa"/>
            </w:tcMar>
          </w:tcPr>
          <w:p>
            <w:r>
              <w:rPr>
                <w:sz w:val="15"/>
              </w:rPr>
              <w:t>Point of Sale, Ecommerce &amp; Order Fulfillment</w:t>
            </w:r>
          </w:p>
        </w:tc>
        <w:tc>
          <w:tcPr>
            <w:tcW w:type="dxa" w:w="1531"/>
            <w:tcMar>
              <w:top w:w="70" w:type="dxa"/>
              <w:left w:w="80" w:type="dxa"/>
              <w:bottom w:w="70" w:type="dxa"/>
              <w:right w:w="80" w:type="dxa"/>
            </w:tcMar>
          </w:tcPr>
          <w:p>
            <w:r>
              <w:rPr>
                <w:sz w:val="15"/>
              </w:rPr>
              <w:t>Cash shift opening, paid-in/out, drawer count, expected/actual difference and manager close.</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COM-05</w:t>
            </w:r>
          </w:p>
        </w:tc>
        <w:tc>
          <w:tcPr>
            <w:tcW w:type="dxa" w:w="1531"/>
            <w:tcMar>
              <w:top w:w="70" w:type="dxa"/>
              <w:left w:w="80" w:type="dxa"/>
              <w:bottom w:w="70" w:type="dxa"/>
              <w:right w:w="80" w:type="dxa"/>
            </w:tcMar>
          </w:tcPr>
          <w:p>
            <w:r>
              <w:rPr>
                <w:sz w:val="15"/>
              </w:rPr>
              <w:t>§10.16 COM-05 Implementation Contract; §14/§15</w:t>
            </w:r>
          </w:p>
        </w:tc>
        <w:tc>
          <w:tcPr>
            <w:tcW w:type="dxa" w:w="1531"/>
            <w:tcMar>
              <w:top w:w="70" w:type="dxa"/>
              <w:left w:w="80" w:type="dxa"/>
              <w:bottom w:w="70" w:type="dxa"/>
              <w:right w:w="80" w:type="dxa"/>
            </w:tcMar>
          </w:tcPr>
          <w:p>
            <w:r>
              <w:rPr>
                <w:sz w:val="15"/>
              </w:rPr>
              <w:t>§27; INV-COM-05; API/event contract tests; requirement COM-05-R09</w:t>
            </w:r>
          </w:p>
        </w:tc>
        <w:tc>
          <w:tcPr>
            <w:tcW w:type="dxa" w:w="1531"/>
            <w:tcMar>
              <w:top w:w="70" w:type="dxa"/>
              <w:left w:w="80" w:type="dxa"/>
              <w:bottom w:w="70" w:type="dxa"/>
              <w:right w:w="80" w:type="dxa"/>
            </w:tcMar>
          </w:tcPr>
          <w:p>
            <w:r>
              <w:rPr>
                <w:sz w:val="15"/>
              </w:rPr>
              <w:t>§28; RB-COM-05</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COM-06-R01</w:t>
            </w:r>
          </w:p>
        </w:tc>
        <w:tc>
          <w:tcPr>
            <w:tcW w:type="dxa" w:w="1531"/>
            <w:tcMar>
              <w:top w:w="70" w:type="dxa"/>
              <w:left w:w="80" w:type="dxa"/>
              <w:bottom w:w="70" w:type="dxa"/>
              <w:right w:w="80" w:type="dxa"/>
            </w:tcMar>
          </w:tcPr>
          <w:p>
            <w:r>
              <w:rPr>
                <w:sz w:val="15"/>
              </w:rPr>
              <w:t>Inventory, Purchasing, Suppliers &amp; Stock Control</w:t>
            </w:r>
          </w:p>
        </w:tc>
        <w:tc>
          <w:tcPr>
            <w:tcW w:type="dxa" w:w="1531"/>
            <w:tcMar>
              <w:top w:w="70" w:type="dxa"/>
              <w:left w:w="80" w:type="dxa"/>
              <w:bottom w:w="70" w:type="dxa"/>
              <w:right w:w="80" w:type="dxa"/>
            </w:tcMar>
          </w:tcPr>
          <w:p>
            <w:r>
              <w:rPr>
                <w:sz w:val="15"/>
              </w:rPr>
              <w:t>SKU, barcode, variant, unit, lot, expiry, supplier, cost, selling price and tax category.</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COM-06</w:t>
            </w:r>
          </w:p>
        </w:tc>
        <w:tc>
          <w:tcPr>
            <w:tcW w:type="dxa" w:w="1531"/>
            <w:tcMar>
              <w:top w:w="70" w:type="dxa"/>
              <w:left w:w="80" w:type="dxa"/>
              <w:bottom w:w="70" w:type="dxa"/>
              <w:right w:w="80" w:type="dxa"/>
            </w:tcMar>
          </w:tcPr>
          <w:p>
            <w:r>
              <w:rPr>
                <w:sz w:val="15"/>
              </w:rPr>
              <w:t>§10.17 COM-06 Implementation Contract; §14/§15</w:t>
            </w:r>
          </w:p>
        </w:tc>
        <w:tc>
          <w:tcPr>
            <w:tcW w:type="dxa" w:w="1531"/>
            <w:tcMar>
              <w:top w:w="70" w:type="dxa"/>
              <w:left w:w="80" w:type="dxa"/>
              <w:bottom w:w="70" w:type="dxa"/>
              <w:right w:w="80" w:type="dxa"/>
            </w:tcMar>
          </w:tcPr>
          <w:p>
            <w:r>
              <w:rPr>
                <w:sz w:val="15"/>
              </w:rPr>
              <w:t>§27; INV-COM-06; API/event contract tests; requirement COM-06-R01</w:t>
            </w:r>
          </w:p>
        </w:tc>
        <w:tc>
          <w:tcPr>
            <w:tcW w:type="dxa" w:w="1531"/>
            <w:tcMar>
              <w:top w:w="70" w:type="dxa"/>
              <w:left w:w="80" w:type="dxa"/>
              <w:bottom w:w="70" w:type="dxa"/>
              <w:right w:w="80" w:type="dxa"/>
            </w:tcMar>
          </w:tcPr>
          <w:p>
            <w:r>
              <w:rPr>
                <w:sz w:val="15"/>
              </w:rPr>
              <w:t>§28; RB-COM-06</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COM-06-R02</w:t>
            </w:r>
          </w:p>
        </w:tc>
        <w:tc>
          <w:tcPr>
            <w:tcW w:type="dxa" w:w="1531"/>
            <w:tcMar>
              <w:top w:w="70" w:type="dxa"/>
              <w:left w:w="80" w:type="dxa"/>
              <w:bottom w:w="70" w:type="dxa"/>
              <w:right w:w="80" w:type="dxa"/>
            </w:tcMar>
          </w:tcPr>
          <w:p>
            <w:r>
              <w:rPr>
                <w:sz w:val="15"/>
              </w:rPr>
              <w:t>Inventory, Purchasing, Suppliers &amp; Stock Control</w:t>
            </w:r>
          </w:p>
        </w:tc>
        <w:tc>
          <w:tcPr>
            <w:tcW w:type="dxa" w:w="1531"/>
            <w:tcMar>
              <w:top w:w="70" w:type="dxa"/>
              <w:left w:w="80" w:type="dxa"/>
              <w:bottom w:w="70" w:type="dxa"/>
              <w:right w:w="80" w:type="dxa"/>
            </w:tcMar>
          </w:tcPr>
          <w:p>
            <w:r>
              <w:rPr>
                <w:sz w:val="15"/>
              </w:rPr>
              <w:t>On-hand, available, reserved, in-transit, damaged and quarantined quantities by location.</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COM-06</w:t>
            </w:r>
          </w:p>
        </w:tc>
        <w:tc>
          <w:tcPr>
            <w:tcW w:type="dxa" w:w="1531"/>
            <w:tcMar>
              <w:top w:w="70" w:type="dxa"/>
              <w:left w:w="80" w:type="dxa"/>
              <w:bottom w:w="70" w:type="dxa"/>
              <w:right w:w="80" w:type="dxa"/>
            </w:tcMar>
          </w:tcPr>
          <w:p>
            <w:r>
              <w:rPr>
                <w:sz w:val="15"/>
              </w:rPr>
              <w:t>§10.17 COM-06 Implementation Contract; §14/§15</w:t>
            </w:r>
          </w:p>
        </w:tc>
        <w:tc>
          <w:tcPr>
            <w:tcW w:type="dxa" w:w="1531"/>
            <w:tcMar>
              <w:top w:w="70" w:type="dxa"/>
              <w:left w:w="80" w:type="dxa"/>
              <w:bottom w:w="70" w:type="dxa"/>
              <w:right w:w="80" w:type="dxa"/>
            </w:tcMar>
          </w:tcPr>
          <w:p>
            <w:r>
              <w:rPr>
                <w:sz w:val="15"/>
              </w:rPr>
              <w:t>§27; INV-COM-06; API/event contract tests; requirement COM-06-R02</w:t>
            </w:r>
          </w:p>
        </w:tc>
        <w:tc>
          <w:tcPr>
            <w:tcW w:type="dxa" w:w="1531"/>
            <w:tcMar>
              <w:top w:w="70" w:type="dxa"/>
              <w:left w:w="80" w:type="dxa"/>
              <w:bottom w:w="70" w:type="dxa"/>
              <w:right w:w="80" w:type="dxa"/>
            </w:tcMar>
          </w:tcPr>
          <w:p>
            <w:r>
              <w:rPr>
                <w:sz w:val="15"/>
              </w:rPr>
              <w:t>§28; RB-COM-06</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COM-06-R03</w:t>
            </w:r>
          </w:p>
        </w:tc>
        <w:tc>
          <w:tcPr>
            <w:tcW w:type="dxa" w:w="1531"/>
            <w:tcMar>
              <w:top w:w="70" w:type="dxa"/>
              <w:left w:w="80" w:type="dxa"/>
              <w:bottom w:w="70" w:type="dxa"/>
              <w:right w:w="80" w:type="dxa"/>
            </w:tcMar>
          </w:tcPr>
          <w:p>
            <w:r>
              <w:rPr>
                <w:sz w:val="15"/>
              </w:rPr>
              <w:t>Inventory, Purchasing, Suppliers &amp; Stock Control</w:t>
            </w:r>
          </w:p>
        </w:tc>
        <w:tc>
          <w:tcPr>
            <w:tcW w:type="dxa" w:w="1531"/>
            <w:tcMar>
              <w:top w:w="70" w:type="dxa"/>
              <w:left w:w="80" w:type="dxa"/>
              <w:bottom w:w="70" w:type="dxa"/>
              <w:right w:w="80" w:type="dxa"/>
            </w:tcMar>
          </w:tcPr>
          <w:p>
            <w:r>
              <w:rPr>
                <w:sz w:val="15"/>
              </w:rPr>
              <w:t>Purchase requisition, approval, purchase order, receiving, variance and supplier invoice matching.</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COM-06</w:t>
            </w:r>
          </w:p>
        </w:tc>
        <w:tc>
          <w:tcPr>
            <w:tcW w:type="dxa" w:w="1531"/>
            <w:tcMar>
              <w:top w:w="70" w:type="dxa"/>
              <w:left w:w="80" w:type="dxa"/>
              <w:bottom w:w="70" w:type="dxa"/>
              <w:right w:w="80" w:type="dxa"/>
            </w:tcMar>
          </w:tcPr>
          <w:p>
            <w:r>
              <w:rPr>
                <w:sz w:val="15"/>
              </w:rPr>
              <w:t>§10.17 COM-06 Implementation Contract; §14/§15</w:t>
            </w:r>
          </w:p>
        </w:tc>
        <w:tc>
          <w:tcPr>
            <w:tcW w:type="dxa" w:w="1531"/>
            <w:tcMar>
              <w:top w:w="70" w:type="dxa"/>
              <w:left w:w="80" w:type="dxa"/>
              <w:bottom w:w="70" w:type="dxa"/>
              <w:right w:w="80" w:type="dxa"/>
            </w:tcMar>
          </w:tcPr>
          <w:p>
            <w:r>
              <w:rPr>
                <w:sz w:val="15"/>
              </w:rPr>
              <w:t>§27; INV-COM-06; API/event contract tests; requirement COM-06-R03</w:t>
            </w:r>
          </w:p>
        </w:tc>
        <w:tc>
          <w:tcPr>
            <w:tcW w:type="dxa" w:w="1531"/>
            <w:tcMar>
              <w:top w:w="70" w:type="dxa"/>
              <w:left w:w="80" w:type="dxa"/>
              <w:bottom w:w="70" w:type="dxa"/>
              <w:right w:w="80" w:type="dxa"/>
            </w:tcMar>
          </w:tcPr>
          <w:p>
            <w:r>
              <w:rPr>
                <w:sz w:val="15"/>
              </w:rPr>
              <w:t>§28; RB-COM-06</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COM-06-R04</w:t>
            </w:r>
          </w:p>
        </w:tc>
        <w:tc>
          <w:tcPr>
            <w:tcW w:type="dxa" w:w="1531"/>
            <w:tcMar>
              <w:top w:w="70" w:type="dxa"/>
              <w:left w:w="80" w:type="dxa"/>
              <w:bottom w:w="70" w:type="dxa"/>
              <w:right w:w="80" w:type="dxa"/>
            </w:tcMar>
          </w:tcPr>
          <w:p>
            <w:r>
              <w:rPr>
                <w:sz w:val="15"/>
              </w:rPr>
              <w:t>Inventory, Purchasing, Suppliers &amp; Stock Control</w:t>
            </w:r>
          </w:p>
        </w:tc>
        <w:tc>
          <w:tcPr>
            <w:tcW w:type="dxa" w:w="1531"/>
            <w:tcMar>
              <w:top w:w="70" w:type="dxa"/>
              <w:left w:w="80" w:type="dxa"/>
              <w:bottom w:w="70" w:type="dxa"/>
              <w:right w:w="80" w:type="dxa"/>
            </w:tcMar>
          </w:tcPr>
          <w:p>
            <w:r>
              <w:rPr>
                <w:sz w:val="15"/>
              </w:rPr>
              <w:t>Inter-location transfer, cycle count, stock adjustment, wastage and reason-coded shrinkage.</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COM-06</w:t>
            </w:r>
          </w:p>
        </w:tc>
        <w:tc>
          <w:tcPr>
            <w:tcW w:type="dxa" w:w="1531"/>
            <w:tcMar>
              <w:top w:w="70" w:type="dxa"/>
              <w:left w:w="80" w:type="dxa"/>
              <w:bottom w:w="70" w:type="dxa"/>
              <w:right w:w="80" w:type="dxa"/>
            </w:tcMar>
          </w:tcPr>
          <w:p>
            <w:r>
              <w:rPr>
                <w:sz w:val="15"/>
              </w:rPr>
              <w:t>§10.17 COM-06 Implementation Contract; §14/§15</w:t>
            </w:r>
          </w:p>
        </w:tc>
        <w:tc>
          <w:tcPr>
            <w:tcW w:type="dxa" w:w="1531"/>
            <w:tcMar>
              <w:top w:w="70" w:type="dxa"/>
              <w:left w:w="80" w:type="dxa"/>
              <w:bottom w:w="70" w:type="dxa"/>
              <w:right w:w="80" w:type="dxa"/>
            </w:tcMar>
          </w:tcPr>
          <w:p>
            <w:r>
              <w:rPr>
                <w:sz w:val="15"/>
              </w:rPr>
              <w:t>§27; INV-COM-06; API/event contract tests; requirement COM-06-R04</w:t>
            </w:r>
          </w:p>
        </w:tc>
        <w:tc>
          <w:tcPr>
            <w:tcW w:type="dxa" w:w="1531"/>
            <w:tcMar>
              <w:top w:w="70" w:type="dxa"/>
              <w:left w:w="80" w:type="dxa"/>
              <w:bottom w:w="70" w:type="dxa"/>
              <w:right w:w="80" w:type="dxa"/>
            </w:tcMar>
          </w:tcPr>
          <w:p>
            <w:r>
              <w:rPr>
                <w:sz w:val="15"/>
              </w:rPr>
              <w:t>§28; RB-COM-06</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COM-06-R05</w:t>
            </w:r>
          </w:p>
        </w:tc>
        <w:tc>
          <w:tcPr>
            <w:tcW w:type="dxa" w:w="1531"/>
            <w:tcMar>
              <w:top w:w="70" w:type="dxa"/>
              <w:left w:w="80" w:type="dxa"/>
              <w:bottom w:w="70" w:type="dxa"/>
              <w:right w:w="80" w:type="dxa"/>
            </w:tcMar>
          </w:tcPr>
          <w:p>
            <w:r>
              <w:rPr>
                <w:sz w:val="15"/>
              </w:rPr>
              <w:t>Inventory, Purchasing, Suppliers &amp; Stock Control</w:t>
            </w:r>
          </w:p>
        </w:tc>
        <w:tc>
          <w:tcPr>
            <w:tcW w:type="dxa" w:w="1531"/>
            <w:tcMar>
              <w:top w:w="70" w:type="dxa"/>
              <w:left w:w="80" w:type="dxa"/>
              <w:bottom w:w="70" w:type="dxa"/>
              <w:right w:w="80" w:type="dxa"/>
            </w:tcMar>
          </w:tcPr>
          <w:p>
            <w:r>
              <w:rPr>
                <w:sz w:val="15"/>
              </w:rPr>
              <w:t>Reorder points, suggested purchasing, sales velocity and expiry-risk alerts.</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COM-06</w:t>
            </w:r>
          </w:p>
        </w:tc>
        <w:tc>
          <w:tcPr>
            <w:tcW w:type="dxa" w:w="1531"/>
            <w:tcMar>
              <w:top w:w="70" w:type="dxa"/>
              <w:left w:w="80" w:type="dxa"/>
              <w:bottom w:w="70" w:type="dxa"/>
              <w:right w:w="80" w:type="dxa"/>
            </w:tcMar>
          </w:tcPr>
          <w:p>
            <w:r>
              <w:rPr>
                <w:sz w:val="15"/>
              </w:rPr>
              <w:t>§10.17 COM-06 Implementation Contract; §14/§15</w:t>
            </w:r>
          </w:p>
        </w:tc>
        <w:tc>
          <w:tcPr>
            <w:tcW w:type="dxa" w:w="1531"/>
            <w:tcMar>
              <w:top w:w="70" w:type="dxa"/>
              <w:left w:w="80" w:type="dxa"/>
              <w:bottom w:w="70" w:type="dxa"/>
              <w:right w:w="80" w:type="dxa"/>
            </w:tcMar>
          </w:tcPr>
          <w:p>
            <w:r>
              <w:rPr>
                <w:sz w:val="15"/>
              </w:rPr>
              <w:t>§27; INV-COM-06; API/event contract tests; requirement COM-06-R05</w:t>
            </w:r>
          </w:p>
        </w:tc>
        <w:tc>
          <w:tcPr>
            <w:tcW w:type="dxa" w:w="1531"/>
            <w:tcMar>
              <w:top w:w="70" w:type="dxa"/>
              <w:left w:w="80" w:type="dxa"/>
              <w:bottom w:w="70" w:type="dxa"/>
              <w:right w:w="80" w:type="dxa"/>
            </w:tcMar>
          </w:tcPr>
          <w:p>
            <w:r>
              <w:rPr>
                <w:sz w:val="15"/>
              </w:rPr>
              <w:t>§28; RB-COM-06</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COM-06-R06</w:t>
            </w:r>
          </w:p>
        </w:tc>
        <w:tc>
          <w:tcPr>
            <w:tcW w:type="dxa" w:w="1531"/>
            <w:tcMar>
              <w:top w:w="70" w:type="dxa"/>
              <w:left w:w="80" w:type="dxa"/>
              <w:bottom w:w="70" w:type="dxa"/>
              <w:right w:w="80" w:type="dxa"/>
            </w:tcMar>
          </w:tcPr>
          <w:p>
            <w:r>
              <w:rPr>
                <w:sz w:val="15"/>
              </w:rPr>
              <w:t>Inventory, Purchasing, Suppliers &amp; Stock Control</w:t>
            </w:r>
          </w:p>
        </w:tc>
        <w:tc>
          <w:tcPr>
            <w:tcW w:type="dxa" w:w="1531"/>
            <w:tcMar>
              <w:top w:w="70" w:type="dxa"/>
              <w:left w:w="80" w:type="dxa"/>
              <w:bottom w:w="70" w:type="dxa"/>
              <w:right w:w="80" w:type="dxa"/>
            </w:tcMar>
          </w:tcPr>
          <w:p>
            <w:r>
              <w:rPr>
                <w:sz w:val="15"/>
              </w:rPr>
              <w:t>Cost history, margin, landed cost and valuation export.</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COM-06</w:t>
            </w:r>
          </w:p>
        </w:tc>
        <w:tc>
          <w:tcPr>
            <w:tcW w:type="dxa" w:w="1531"/>
            <w:tcMar>
              <w:top w:w="70" w:type="dxa"/>
              <w:left w:w="80" w:type="dxa"/>
              <w:bottom w:w="70" w:type="dxa"/>
              <w:right w:w="80" w:type="dxa"/>
            </w:tcMar>
          </w:tcPr>
          <w:p>
            <w:r>
              <w:rPr>
                <w:sz w:val="15"/>
              </w:rPr>
              <w:t>§10.17 COM-06 Implementation Contract; §14/§15</w:t>
            </w:r>
          </w:p>
        </w:tc>
        <w:tc>
          <w:tcPr>
            <w:tcW w:type="dxa" w:w="1531"/>
            <w:tcMar>
              <w:top w:w="70" w:type="dxa"/>
              <w:left w:w="80" w:type="dxa"/>
              <w:bottom w:w="70" w:type="dxa"/>
              <w:right w:w="80" w:type="dxa"/>
            </w:tcMar>
          </w:tcPr>
          <w:p>
            <w:r>
              <w:rPr>
                <w:sz w:val="15"/>
              </w:rPr>
              <w:t>§27; INV-COM-06; API/event contract tests; requirement COM-06-R06</w:t>
            </w:r>
          </w:p>
        </w:tc>
        <w:tc>
          <w:tcPr>
            <w:tcW w:type="dxa" w:w="1531"/>
            <w:tcMar>
              <w:top w:w="70" w:type="dxa"/>
              <w:left w:w="80" w:type="dxa"/>
              <w:bottom w:w="70" w:type="dxa"/>
              <w:right w:w="80" w:type="dxa"/>
            </w:tcMar>
          </w:tcPr>
          <w:p>
            <w:r>
              <w:rPr>
                <w:sz w:val="15"/>
              </w:rPr>
              <w:t>§28; RB-COM-06</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COM-06-R07</w:t>
            </w:r>
          </w:p>
        </w:tc>
        <w:tc>
          <w:tcPr>
            <w:tcW w:type="dxa" w:w="1531"/>
            <w:tcMar>
              <w:top w:w="70" w:type="dxa"/>
              <w:left w:w="80" w:type="dxa"/>
              <w:bottom w:w="70" w:type="dxa"/>
              <w:right w:w="80" w:type="dxa"/>
            </w:tcMar>
          </w:tcPr>
          <w:p>
            <w:r>
              <w:rPr>
                <w:sz w:val="15"/>
              </w:rPr>
              <w:t>Inventory, Purchasing, Suppliers &amp; Stock Control</w:t>
            </w:r>
          </w:p>
        </w:tc>
        <w:tc>
          <w:tcPr>
            <w:tcW w:type="dxa" w:w="1531"/>
            <w:tcMar>
              <w:top w:w="70" w:type="dxa"/>
              <w:left w:w="80" w:type="dxa"/>
              <w:bottom w:w="70" w:type="dxa"/>
              <w:right w:w="80" w:type="dxa"/>
            </w:tcMar>
          </w:tcPr>
          <w:p>
            <w:r>
              <w:rPr>
                <w:sz w:val="15"/>
              </w:rPr>
              <w:t>Inventory reservations linked to orders and fulfillment.</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COM-06</w:t>
            </w:r>
          </w:p>
        </w:tc>
        <w:tc>
          <w:tcPr>
            <w:tcW w:type="dxa" w:w="1531"/>
            <w:tcMar>
              <w:top w:w="70" w:type="dxa"/>
              <w:left w:w="80" w:type="dxa"/>
              <w:bottom w:w="70" w:type="dxa"/>
              <w:right w:w="80" w:type="dxa"/>
            </w:tcMar>
          </w:tcPr>
          <w:p>
            <w:r>
              <w:rPr>
                <w:sz w:val="15"/>
              </w:rPr>
              <w:t>§10.17 COM-06 Implementation Contract; §14/§15</w:t>
            </w:r>
          </w:p>
        </w:tc>
        <w:tc>
          <w:tcPr>
            <w:tcW w:type="dxa" w:w="1531"/>
            <w:tcMar>
              <w:top w:w="70" w:type="dxa"/>
              <w:left w:w="80" w:type="dxa"/>
              <w:bottom w:w="70" w:type="dxa"/>
              <w:right w:w="80" w:type="dxa"/>
            </w:tcMar>
          </w:tcPr>
          <w:p>
            <w:r>
              <w:rPr>
                <w:sz w:val="15"/>
              </w:rPr>
              <w:t>§27; INV-COM-06; API/event contract tests; requirement COM-06-R07</w:t>
            </w:r>
          </w:p>
        </w:tc>
        <w:tc>
          <w:tcPr>
            <w:tcW w:type="dxa" w:w="1531"/>
            <w:tcMar>
              <w:top w:w="70" w:type="dxa"/>
              <w:left w:w="80" w:type="dxa"/>
              <w:bottom w:w="70" w:type="dxa"/>
              <w:right w:w="80" w:type="dxa"/>
            </w:tcMar>
          </w:tcPr>
          <w:p>
            <w:r>
              <w:rPr>
                <w:sz w:val="15"/>
              </w:rPr>
              <w:t>§28; RB-COM-06</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OPS-01-R01</w:t>
            </w:r>
          </w:p>
        </w:tc>
        <w:tc>
          <w:tcPr>
            <w:tcW w:type="dxa" w:w="1531"/>
            <w:tcMar>
              <w:top w:w="70" w:type="dxa"/>
              <w:left w:w="80" w:type="dxa"/>
              <w:bottom w:w="70" w:type="dxa"/>
              <w:right w:w="80" w:type="dxa"/>
            </w:tcMar>
          </w:tcPr>
          <w:p>
            <w:r>
              <w:rPr>
                <w:sz w:val="15"/>
              </w:rPr>
              <w:t>Scheduling, Resources &amp; Capacity</w:t>
            </w:r>
          </w:p>
        </w:tc>
        <w:tc>
          <w:tcPr>
            <w:tcW w:type="dxa" w:w="1531"/>
            <w:tcMar>
              <w:top w:w="70" w:type="dxa"/>
              <w:left w:w="80" w:type="dxa"/>
              <w:bottom w:w="70" w:type="dxa"/>
              <w:right w:w="80" w:type="dxa"/>
            </w:tcMar>
          </w:tcPr>
          <w:p>
            <w:r>
              <w:rPr>
                <w:sz w:val="15"/>
              </w:rPr>
              <w:t>Resource model for staff, room, zone, court, equipment, service and composite requirements.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OPS-01</w:t>
            </w:r>
          </w:p>
        </w:tc>
        <w:tc>
          <w:tcPr>
            <w:tcW w:type="dxa" w:w="1531"/>
            <w:tcMar>
              <w:top w:w="70" w:type="dxa"/>
              <w:left w:w="80" w:type="dxa"/>
              <w:bottom w:w="70" w:type="dxa"/>
              <w:right w:w="80" w:type="dxa"/>
            </w:tcMar>
          </w:tcPr>
          <w:p>
            <w:r>
              <w:rPr>
                <w:sz w:val="15"/>
              </w:rPr>
              <w:t>§10.18 OPS-01 Implementation Contract; §15/§16</w:t>
            </w:r>
          </w:p>
        </w:tc>
        <w:tc>
          <w:tcPr>
            <w:tcW w:type="dxa" w:w="1531"/>
            <w:tcMar>
              <w:top w:w="70" w:type="dxa"/>
              <w:left w:w="80" w:type="dxa"/>
              <w:bottom w:w="70" w:type="dxa"/>
              <w:right w:w="80" w:type="dxa"/>
            </w:tcMar>
          </w:tcPr>
          <w:p>
            <w:r>
              <w:rPr>
                <w:sz w:val="15"/>
              </w:rPr>
              <w:t>§27; INV-OPS-01; API/event contract tests; requirement OPS-01-R01</w:t>
            </w:r>
          </w:p>
        </w:tc>
        <w:tc>
          <w:tcPr>
            <w:tcW w:type="dxa" w:w="1531"/>
            <w:tcMar>
              <w:top w:w="70" w:type="dxa"/>
              <w:left w:w="80" w:type="dxa"/>
              <w:bottom w:w="70" w:type="dxa"/>
              <w:right w:w="80" w:type="dxa"/>
            </w:tcMar>
          </w:tcPr>
          <w:p>
            <w:r>
              <w:rPr>
                <w:sz w:val="15"/>
              </w:rPr>
              <w:t>§28; RB-OPS-01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OPS-01-R02</w:t>
            </w:r>
          </w:p>
        </w:tc>
        <w:tc>
          <w:tcPr>
            <w:tcW w:type="dxa" w:w="1531"/>
            <w:tcMar>
              <w:top w:w="70" w:type="dxa"/>
              <w:left w:w="80" w:type="dxa"/>
              <w:bottom w:w="70" w:type="dxa"/>
              <w:right w:w="80" w:type="dxa"/>
            </w:tcMar>
          </w:tcPr>
          <w:p>
            <w:r>
              <w:rPr>
                <w:sz w:val="15"/>
              </w:rPr>
              <w:t>Scheduling, Resources &amp; Capacity</w:t>
            </w:r>
          </w:p>
        </w:tc>
        <w:tc>
          <w:tcPr>
            <w:tcW w:type="dxa" w:w="1531"/>
            <w:tcMar>
              <w:top w:w="70" w:type="dxa"/>
              <w:left w:w="80" w:type="dxa"/>
              <w:bottom w:w="70" w:type="dxa"/>
              <w:right w:w="80" w:type="dxa"/>
            </w:tcMar>
          </w:tcPr>
          <w:p>
            <w:r>
              <w:rPr>
                <w:sz w:val="15"/>
              </w:rPr>
              <w:t>One-time and recurring schedules with templates, exceptions, seasonality and time-zone correctness.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OPS-01</w:t>
            </w:r>
          </w:p>
        </w:tc>
        <w:tc>
          <w:tcPr>
            <w:tcW w:type="dxa" w:w="1531"/>
            <w:tcMar>
              <w:top w:w="70" w:type="dxa"/>
              <w:left w:w="80" w:type="dxa"/>
              <w:bottom w:w="70" w:type="dxa"/>
              <w:right w:w="80" w:type="dxa"/>
            </w:tcMar>
          </w:tcPr>
          <w:p>
            <w:r>
              <w:rPr>
                <w:sz w:val="15"/>
              </w:rPr>
              <w:t>§10.18 OPS-01 Implementation Contract; §15/§16</w:t>
            </w:r>
          </w:p>
        </w:tc>
        <w:tc>
          <w:tcPr>
            <w:tcW w:type="dxa" w:w="1531"/>
            <w:tcMar>
              <w:top w:w="70" w:type="dxa"/>
              <w:left w:w="80" w:type="dxa"/>
              <w:bottom w:w="70" w:type="dxa"/>
              <w:right w:w="80" w:type="dxa"/>
            </w:tcMar>
          </w:tcPr>
          <w:p>
            <w:r>
              <w:rPr>
                <w:sz w:val="15"/>
              </w:rPr>
              <w:t>§27; INV-OPS-01; API/event contract tests; requirement OPS-01-R02</w:t>
            </w:r>
          </w:p>
        </w:tc>
        <w:tc>
          <w:tcPr>
            <w:tcW w:type="dxa" w:w="1531"/>
            <w:tcMar>
              <w:top w:w="70" w:type="dxa"/>
              <w:left w:w="80" w:type="dxa"/>
              <w:bottom w:w="70" w:type="dxa"/>
              <w:right w:w="80" w:type="dxa"/>
            </w:tcMar>
          </w:tcPr>
          <w:p>
            <w:r>
              <w:rPr>
                <w:sz w:val="15"/>
              </w:rPr>
              <w:t>§28; RB-OPS-01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OPS-01-R03</w:t>
            </w:r>
          </w:p>
        </w:tc>
        <w:tc>
          <w:tcPr>
            <w:tcW w:type="dxa" w:w="1531"/>
            <w:tcMar>
              <w:top w:w="70" w:type="dxa"/>
              <w:left w:w="80" w:type="dxa"/>
              <w:bottom w:w="70" w:type="dxa"/>
              <w:right w:w="80" w:type="dxa"/>
            </w:tcMar>
          </w:tcPr>
          <w:p>
            <w:r>
              <w:rPr>
                <w:sz w:val="15"/>
              </w:rPr>
              <w:t>Scheduling, Resources &amp; Capacity</w:t>
            </w:r>
          </w:p>
        </w:tc>
        <w:tc>
          <w:tcPr>
            <w:tcW w:type="dxa" w:w="1531"/>
            <w:tcMar>
              <w:top w:w="70" w:type="dxa"/>
              <w:left w:w="80" w:type="dxa"/>
              <w:bottom w:w="70" w:type="dxa"/>
              <w:right w:w="80" w:type="dxa"/>
            </w:tcMar>
          </w:tcPr>
          <w:p>
            <w:r>
              <w:rPr>
                <w:sz w:val="15"/>
              </w:rPr>
              <w:t>Availability, working hours, breaks, time off, substitutions and cross-location travel buffers.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OPS-01</w:t>
            </w:r>
          </w:p>
        </w:tc>
        <w:tc>
          <w:tcPr>
            <w:tcW w:type="dxa" w:w="1531"/>
            <w:tcMar>
              <w:top w:w="70" w:type="dxa"/>
              <w:left w:w="80" w:type="dxa"/>
              <w:bottom w:w="70" w:type="dxa"/>
              <w:right w:w="80" w:type="dxa"/>
            </w:tcMar>
          </w:tcPr>
          <w:p>
            <w:r>
              <w:rPr>
                <w:sz w:val="15"/>
              </w:rPr>
              <w:t>§10.18 OPS-01 Implementation Contract; §15/§16</w:t>
            </w:r>
          </w:p>
        </w:tc>
        <w:tc>
          <w:tcPr>
            <w:tcW w:type="dxa" w:w="1531"/>
            <w:tcMar>
              <w:top w:w="70" w:type="dxa"/>
              <w:left w:w="80" w:type="dxa"/>
              <w:bottom w:w="70" w:type="dxa"/>
              <w:right w:w="80" w:type="dxa"/>
            </w:tcMar>
          </w:tcPr>
          <w:p>
            <w:r>
              <w:rPr>
                <w:sz w:val="15"/>
              </w:rPr>
              <w:t>§27; INV-OPS-01; API/event contract tests; requirement OPS-01-R03</w:t>
            </w:r>
          </w:p>
        </w:tc>
        <w:tc>
          <w:tcPr>
            <w:tcW w:type="dxa" w:w="1531"/>
            <w:tcMar>
              <w:top w:w="70" w:type="dxa"/>
              <w:left w:w="80" w:type="dxa"/>
              <w:bottom w:w="70" w:type="dxa"/>
              <w:right w:w="80" w:type="dxa"/>
            </w:tcMar>
          </w:tcPr>
          <w:p>
            <w:r>
              <w:rPr>
                <w:sz w:val="15"/>
              </w:rPr>
              <w:t>§28; RB-OPS-01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OPS-01-R04</w:t>
            </w:r>
          </w:p>
        </w:tc>
        <w:tc>
          <w:tcPr>
            <w:tcW w:type="dxa" w:w="1531"/>
            <w:tcMar>
              <w:top w:w="70" w:type="dxa"/>
              <w:left w:w="80" w:type="dxa"/>
              <w:bottom w:w="70" w:type="dxa"/>
              <w:right w:w="80" w:type="dxa"/>
            </w:tcMar>
          </w:tcPr>
          <w:p>
            <w:r>
              <w:rPr>
                <w:sz w:val="15"/>
              </w:rPr>
              <w:t>Scheduling, Resources &amp; Capacity</w:t>
            </w:r>
          </w:p>
        </w:tc>
        <w:tc>
          <w:tcPr>
            <w:tcW w:type="dxa" w:w="1531"/>
            <w:tcMar>
              <w:top w:w="70" w:type="dxa"/>
              <w:left w:w="80" w:type="dxa"/>
              <w:bottom w:w="70" w:type="dxa"/>
              <w:right w:w="80" w:type="dxa"/>
            </w:tcMar>
          </w:tcPr>
          <w:p>
            <w:r>
              <w:rPr>
                <w:sz w:val="15"/>
              </w:rPr>
              <w:t>Capacity, setup/cleanup time, age/skill restrictions, equipment requirements and entitlement checks.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OPS-01</w:t>
            </w:r>
          </w:p>
        </w:tc>
        <w:tc>
          <w:tcPr>
            <w:tcW w:type="dxa" w:w="1531"/>
            <w:tcMar>
              <w:top w:w="70" w:type="dxa"/>
              <w:left w:w="80" w:type="dxa"/>
              <w:bottom w:w="70" w:type="dxa"/>
              <w:right w:w="80" w:type="dxa"/>
            </w:tcMar>
          </w:tcPr>
          <w:p>
            <w:r>
              <w:rPr>
                <w:sz w:val="15"/>
              </w:rPr>
              <w:t>§10.18 OPS-01 Implementation Contract; §15/§16</w:t>
            </w:r>
          </w:p>
        </w:tc>
        <w:tc>
          <w:tcPr>
            <w:tcW w:type="dxa" w:w="1531"/>
            <w:tcMar>
              <w:top w:w="70" w:type="dxa"/>
              <w:left w:w="80" w:type="dxa"/>
              <w:bottom w:w="70" w:type="dxa"/>
              <w:right w:w="80" w:type="dxa"/>
            </w:tcMar>
          </w:tcPr>
          <w:p>
            <w:r>
              <w:rPr>
                <w:sz w:val="15"/>
              </w:rPr>
              <w:t>§27; INV-OPS-01; API/event contract tests; requirement OPS-01-R04</w:t>
            </w:r>
          </w:p>
        </w:tc>
        <w:tc>
          <w:tcPr>
            <w:tcW w:type="dxa" w:w="1531"/>
            <w:tcMar>
              <w:top w:w="70" w:type="dxa"/>
              <w:left w:w="80" w:type="dxa"/>
              <w:bottom w:w="70" w:type="dxa"/>
              <w:right w:w="80" w:type="dxa"/>
            </w:tcMar>
          </w:tcPr>
          <w:p>
            <w:r>
              <w:rPr>
                <w:sz w:val="15"/>
              </w:rPr>
              <w:t>§28; RB-OPS-01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OPS-01-R05</w:t>
            </w:r>
          </w:p>
        </w:tc>
        <w:tc>
          <w:tcPr>
            <w:tcW w:type="dxa" w:w="1531"/>
            <w:tcMar>
              <w:top w:w="70" w:type="dxa"/>
              <w:left w:w="80" w:type="dxa"/>
              <w:bottom w:w="70" w:type="dxa"/>
              <w:right w:w="80" w:type="dxa"/>
            </w:tcMar>
          </w:tcPr>
          <w:p>
            <w:r>
              <w:rPr>
                <w:sz w:val="15"/>
              </w:rPr>
              <w:t>Scheduling, Resources &amp; Capacity</w:t>
            </w:r>
          </w:p>
        </w:tc>
        <w:tc>
          <w:tcPr>
            <w:tcW w:type="dxa" w:w="1531"/>
            <w:tcMar>
              <w:top w:w="70" w:type="dxa"/>
              <w:left w:w="80" w:type="dxa"/>
              <w:bottom w:w="70" w:type="dxa"/>
              <w:right w:w="80" w:type="dxa"/>
            </w:tcMar>
          </w:tcPr>
          <w:p>
            <w:r>
              <w:rPr>
                <w:sz w:val="15"/>
              </w:rPr>
              <w:t>Conflict detection and resolution for people, space, equipment and policies.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OPS-01</w:t>
            </w:r>
          </w:p>
        </w:tc>
        <w:tc>
          <w:tcPr>
            <w:tcW w:type="dxa" w:w="1531"/>
            <w:tcMar>
              <w:top w:w="70" w:type="dxa"/>
              <w:left w:w="80" w:type="dxa"/>
              <w:bottom w:w="70" w:type="dxa"/>
              <w:right w:w="80" w:type="dxa"/>
            </w:tcMar>
          </w:tcPr>
          <w:p>
            <w:r>
              <w:rPr>
                <w:sz w:val="15"/>
              </w:rPr>
              <w:t>§10.18 OPS-01 Implementation Contract; §15/§16</w:t>
            </w:r>
          </w:p>
        </w:tc>
        <w:tc>
          <w:tcPr>
            <w:tcW w:type="dxa" w:w="1531"/>
            <w:tcMar>
              <w:top w:w="70" w:type="dxa"/>
              <w:left w:w="80" w:type="dxa"/>
              <w:bottom w:w="70" w:type="dxa"/>
              <w:right w:w="80" w:type="dxa"/>
            </w:tcMar>
          </w:tcPr>
          <w:p>
            <w:r>
              <w:rPr>
                <w:sz w:val="15"/>
              </w:rPr>
              <w:t>§27; INV-OPS-01; API/event contract tests; requirement OPS-01-R05</w:t>
            </w:r>
          </w:p>
        </w:tc>
        <w:tc>
          <w:tcPr>
            <w:tcW w:type="dxa" w:w="1531"/>
            <w:tcMar>
              <w:top w:w="70" w:type="dxa"/>
              <w:left w:w="80" w:type="dxa"/>
              <w:bottom w:w="70" w:type="dxa"/>
              <w:right w:w="80" w:type="dxa"/>
            </w:tcMar>
          </w:tcPr>
          <w:p>
            <w:r>
              <w:rPr>
                <w:sz w:val="15"/>
              </w:rPr>
              <w:t>§28; RB-OPS-01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OPS-01-R06</w:t>
            </w:r>
          </w:p>
        </w:tc>
        <w:tc>
          <w:tcPr>
            <w:tcW w:type="dxa" w:w="1531"/>
            <w:tcMar>
              <w:top w:w="70" w:type="dxa"/>
              <w:left w:w="80" w:type="dxa"/>
              <w:bottom w:w="70" w:type="dxa"/>
              <w:right w:w="80" w:type="dxa"/>
            </w:tcMar>
          </w:tcPr>
          <w:p>
            <w:r>
              <w:rPr>
                <w:sz w:val="15"/>
              </w:rPr>
              <w:t>Scheduling, Resources &amp; Capacity</w:t>
            </w:r>
          </w:p>
        </w:tc>
        <w:tc>
          <w:tcPr>
            <w:tcW w:type="dxa" w:w="1531"/>
            <w:tcMar>
              <w:top w:w="70" w:type="dxa"/>
              <w:left w:w="80" w:type="dxa"/>
              <w:bottom w:w="70" w:type="dxa"/>
              <w:right w:w="80" w:type="dxa"/>
            </w:tcMar>
          </w:tcPr>
          <w:p>
            <w:r>
              <w:rPr>
                <w:sz w:val="15"/>
              </w:rPr>
              <w:t>Schedule publishing, draft changes, member impact preview and notification plan.</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OPS-01</w:t>
            </w:r>
          </w:p>
        </w:tc>
        <w:tc>
          <w:tcPr>
            <w:tcW w:type="dxa" w:w="1531"/>
            <w:tcMar>
              <w:top w:w="70" w:type="dxa"/>
              <w:left w:w="80" w:type="dxa"/>
              <w:bottom w:w="70" w:type="dxa"/>
              <w:right w:w="80" w:type="dxa"/>
            </w:tcMar>
          </w:tcPr>
          <w:p>
            <w:r>
              <w:rPr>
                <w:sz w:val="15"/>
              </w:rPr>
              <w:t>§10.18 OPS-01 Implementation Contract; §15/§16</w:t>
            </w:r>
          </w:p>
        </w:tc>
        <w:tc>
          <w:tcPr>
            <w:tcW w:type="dxa" w:w="1531"/>
            <w:tcMar>
              <w:top w:w="70" w:type="dxa"/>
              <w:left w:w="80" w:type="dxa"/>
              <w:bottom w:w="70" w:type="dxa"/>
              <w:right w:w="80" w:type="dxa"/>
            </w:tcMar>
          </w:tcPr>
          <w:p>
            <w:r>
              <w:rPr>
                <w:sz w:val="15"/>
              </w:rPr>
              <w:t>§27; INV-OPS-01; API/event contract tests; requirement OPS-01-R06</w:t>
            </w:r>
          </w:p>
        </w:tc>
        <w:tc>
          <w:tcPr>
            <w:tcW w:type="dxa" w:w="1531"/>
            <w:tcMar>
              <w:top w:w="70" w:type="dxa"/>
              <w:left w:w="80" w:type="dxa"/>
              <w:bottom w:w="70" w:type="dxa"/>
              <w:right w:w="80" w:type="dxa"/>
            </w:tcMar>
          </w:tcPr>
          <w:p>
            <w:r>
              <w:rPr>
                <w:sz w:val="15"/>
              </w:rPr>
              <w:t>§28; RB-OPS-01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OPS-01-R07</w:t>
            </w:r>
          </w:p>
        </w:tc>
        <w:tc>
          <w:tcPr>
            <w:tcW w:type="dxa" w:w="1531"/>
            <w:tcMar>
              <w:top w:w="70" w:type="dxa"/>
              <w:left w:w="80" w:type="dxa"/>
              <w:bottom w:w="70" w:type="dxa"/>
              <w:right w:w="80" w:type="dxa"/>
            </w:tcMar>
          </w:tcPr>
          <w:p>
            <w:r>
              <w:rPr>
                <w:sz w:val="15"/>
              </w:rPr>
              <w:t>Scheduling, Resources &amp; Capacity</w:t>
            </w:r>
          </w:p>
        </w:tc>
        <w:tc>
          <w:tcPr>
            <w:tcW w:type="dxa" w:w="1531"/>
            <w:tcMar>
              <w:top w:w="70" w:type="dxa"/>
              <w:left w:w="80" w:type="dxa"/>
              <w:bottom w:w="70" w:type="dxa"/>
              <w:right w:w="80" w:type="dxa"/>
            </w:tcMar>
          </w:tcPr>
          <w:p>
            <w:r>
              <w:rPr>
                <w:sz w:val="15"/>
              </w:rPr>
              <w:t>Instructor substitution, cancellation, relocation and attendance handoff.</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OPS-01</w:t>
            </w:r>
          </w:p>
        </w:tc>
        <w:tc>
          <w:tcPr>
            <w:tcW w:type="dxa" w:w="1531"/>
            <w:tcMar>
              <w:top w:w="70" w:type="dxa"/>
              <w:left w:w="80" w:type="dxa"/>
              <w:bottom w:w="70" w:type="dxa"/>
              <w:right w:w="80" w:type="dxa"/>
            </w:tcMar>
          </w:tcPr>
          <w:p>
            <w:r>
              <w:rPr>
                <w:sz w:val="15"/>
              </w:rPr>
              <w:t>§10.18 OPS-01 Implementation Contract; §15/§16</w:t>
            </w:r>
          </w:p>
        </w:tc>
        <w:tc>
          <w:tcPr>
            <w:tcW w:type="dxa" w:w="1531"/>
            <w:tcMar>
              <w:top w:w="70" w:type="dxa"/>
              <w:left w:w="80" w:type="dxa"/>
              <w:bottom w:w="70" w:type="dxa"/>
              <w:right w:w="80" w:type="dxa"/>
            </w:tcMar>
          </w:tcPr>
          <w:p>
            <w:r>
              <w:rPr>
                <w:sz w:val="15"/>
              </w:rPr>
              <w:t>§27; INV-OPS-01; API/event contract tests; requirement OPS-01-R07</w:t>
            </w:r>
          </w:p>
        </w:tc>
        <w:tc>
          <w:tcPr>
            <w:tcW w:type="dxa" w:w="1531"/>
            <w:tcMar>
              <w:top w:w="70" w:type="dxa"/>
              <w:left w:w="80" w:type="dxa"/>
              <w:bottom w:w="70" w:type="dxa"/>
              <w:right w:w="80" w:type="dxa"/>
            </w:tcMar>
          </w:tcPr>
          <w:p>
            <w:r>
              <w:rPr>
                <w:sz w:val="15"/>
              </w:rPr>
              <w:t>§28; RB-OPS-01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OPS-02-R01</w:t>
            </w:r>
          </w:p>
        </w:tc>
        <w:tc>
          <w:tcPr>
            <w:tcW w:type="dxa" w:w="1531"/>
            <w:tcMar>
              <w:top w:w="70" w:type="dxa"/>
              <w:left w:w="80" w:type="dxa"/>
              <w:bottom w:w="70" w:type="dxa"/>
              <w:right w:w="80" w:type="dxa"/>
            </w:tcMar>
          </w:tcPr>
          <w:p>
            <w:r>
              <w:rPr>
                <w:sz w:val="15"/>
              </w:rPr>
              <w:t>Booking, Waitlist &amp; No-show Intelligence</w:t>
            </w:r>
          </w:p>
        </w:tc>
        <w:tc>
          <w:tcPr>
            <w:tcW w:type="dxa" w:w="1531"/>
            <w:tcMar>
              <w:top w:w="70" w:type="dxa"/>
              <w:left w:w="80" w:type="dxa"/>
              <w:bottom w:w="70" w:type="dxa"/>
              <w:right w:w="80" w:type="dxa"/>
            </w:tcMar>
          </w:tcPr>
          <w:p>
            <w:r>
              <w:rPr>
                <w:sz w:val="15"/>
              </w:rPr>
              <w:t>Book, reschedule, cancel and recurring booking across eligible services and resources.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OPS-02</w:t>
            </w:r>
          </w:p>
        </w:tc>
        <w:tc>
          <w:tcPr>
            <w:tcW w:type="dxa" w:w="1531"/>
            <w:tcMar>
              <w:top w:w="70" w:type="dxa"/>
              <w:left w:w="80" w:type="dxa"/>
              <w:bottom w:w="70" w:type="dxa"/>
              <w:right w:w="80" w:type="dxa"/>
            </w:tcMar>
          </w:tcPr>
          <w:p>
            <w:r>
              <w:rPr>
                <w:sz w:val="15"/>
              </w:rPr>
              <w:t>§10.19 OPS-02 Implementation Contract; §15/§16</w:t>
            </w:r>
          </w:p>
        </w:tc>
        <w:tc>
          <w:tcPr>
            <w:tcW w:type="dxa" w:w="1531"/>
            <w:tcMar>
              <w:top w:w="70" w:type="dxa"/>
              <w:left w:w="80" w:type="dxa"/>
              <w:bottom w:w="70" w:type="dxa"/>
              <w:right w:w="80" w:type="dxa"/>
            </w:tcMar>
          </w:tcPr>
          <w:p>
            <w:r>
              <w:rPr>
                <w:sz w:val="15"/>
              </w:rPr>
              <w:t>§27; INV-OPS-02; API/event contract tests; requirement OPS-02-R01</w:t>
            </w:r>
          </w:p>
        </w:tc>
        <w:tc>
          <w:tcPr>
            <w:tcW w:type="dxa" w:w="1531"/>
            <w:tcMar>
              <w:top w:w="70" w:type="dxa"/>
              <w:left w:w="80" w:type="dxa"/>
              <w:bottom w:w="70" w:type="dxa"/>
              <w:right w:w="80" w:type="dxa"/>
            </w:tcMar>
          </w:tcPr>
          <w:p>
            <w:r>
              <w:rPr>
                <w:sz w:val="15"/>
              </w:rPr>
              <w:t>§28; RB-OPS-02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OPS-02-R02</w:t>
            </w:r>
          </w:p>
        </w:tc>
        <w:tc>
          <w:tcPr>
            <w:tcW w:type="dxa" w:w="1531"/>
            <w:tcMar>
              <w:top w:w="70" w:type="dxa"/>
              <w:left w:w="80" w:type="dxa"/>
              <w:bottom w:w="70" w:type="dxa"/>
              <w:right w:w="80" w:type="dxa"/>
            </w:tcMar>
          </w:tcPr>
          <w:p>
            <w:r>
              <w:rPr>
                <w:sz w:val="15"/>
              </w:rPr>
              <w:t>Booking, Waitlist &amp; No-show Intelligence</w:t>
            </w:r>
          </w:p>
        </w:tc>
        <w:tc>
          <w:tcPr>
            <w:tcW w:type="dxa" w:w="1531"/>
            <w:tcMar>
              <w:top w:w="70" w:type="dxa"/>
              <w:left w:w="80" w:type="dxa"/>
              <w:bottom w:w="70" w:type="dxa"/>
              <w:right w:w="80" w:type="dxa"/>
            </w:tcMar>
          </w:tcPr>
          <w:p>
            <w:r>
              <w:rPr>
                <w:sz w:val="15"/>
              </w:rPr>
              <w:t>Booking windows, cancellation windows, lead time, capacity, quotas, priority and membership eligibility.</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OPS-02</w:t>
            </w:r>
          </w:p>
        </w:tc>
        <w:tc>
          <w:tcPr>
            <w:tcW w:type="dxa" w:w="1531"/>
            <w:tcMar>
              <w:top w:w="70" w:type="dxa"/>
              <w:left w:w="80" w:type="dxa"/>
              <w:bottom w:w="70" w:type="dxa"/>
              <w:right w:w="80" w:type="dxa"/>
            </w:tcMar>
          </w:tcPr>
          <w:p>
            <w:r>
              <w:rPr>
                <w:sz w:val="15"/>
              </w:rPr>
              <w:t>§10.19 OPS-02 Implementation Contract; §15/§16</w:t>
            </w:r>
          </w:p>
        </w:tc>
        <w:tc>
          <w:tcPr>
            <w:tcW w:type="dxa" w:w="1531"/>
            <w:tcMar>
              <w:top w:w="70" w:type="dxa"/>
              <w:left w:w="80" w:type="dxa"/>
              <w:bottom w:w="70" w:type="dxa"/>
              <w:right w:w="80" w:type="dxa"/>
            </w:tcMar>
          </w:tcPr>
          <w:p>
            <w:r>
              <w:rPr>
                <w:sz w:val="15"/>
              </w:rPr>
              <w:t>§27; INV-OPS-02; API/event contract tests; requirement OPS-02-R02</w:t>
            </w:r>
          </w:p>
        </w:tc>
        <w:tc>
          <w:tcPr>
            <w:tcW w:type="dxa" w:w="1531"/>
            <w:tcMar>
              <w:top w:w="70" w:type="dxa"/>
              <w:left w:w="80" w:type="dxa"/>
              <w:bottom w:w="70" w:type="dxa"/>
              <w:right w:w="80" w:type="dxa"/>
            </w:tcMar>
          </w:tcPr>
          <w:p>
            <w:r>
              <w:rPr>
                <w:sz w:val="15"/>
              </w:rPr>
              <w:t>§28; RB-OPS-02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OPS-02-R03</w:t>
            </w:r>
          </w:p>
        </w:tc>
        <w:tc>
          <w:tcPr>
            <w:tcW w:type="dxa" w:w="1531"/>
            <w:tcMar>
              <w:top w:w="70" w:type="dxa"/>
              <w:left w:w="80" w:type="dxa"/>
              <w:bottom w:w="70" w:type="dxa"/>
              <w:right w:w="80" w:type="dxa"/>
            </w:tcMar>
          </w:tcPr>
          <w:p>
            <w:r>
              <w:rPr>
                <w:sz w:val="15"/>
              </w:rPr>
              <w:t>Booking, Waitlist &amp; No-show Intelligence</w:t>
            </w:r>
          </w:p>
        </w:tc>
        <w:tc>
          <w:tcPr>
            <w:tcW w:type="dxa" w:w="1531"/>
            <w:tcMar>
              <w:top w:w="70" w:type="dxa"/>
              <w:left w:w="80" w:type="dxa"/>
              <w:bottom w:w="70" w:type="dxa"/>
              <w:right w:w="80" w:type="dxa"/>
            </w:tcMar>
          </w:tcPr>
          <w:p>
            <w:r>
              <w:rPr>
                <w:sz w:val="15"/>
              </w:rPr>
              <w:t>Waitlist position, automatic promotion, timed confirmation, fallback and member preferences.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OPS-02</w:t>
            </w:r>
          </w:p>
        </w:tc>
        <w:tc>
          <w:tcPr>
            <w:tcW w:type="dxa" w:w="1531"/>
            <w:tcMar>
              <w:top w:w="70" w:type="dxa"/>
              <w:left w:w="80" w:type="dxa"/>
              <w:bottom w:w="70" w:type="dxa"/>
              <w:right w:w="80" w:type="dxa"/>
            </w:tcMar>
          </w:tcPr>
          <w:p>
            <w:r>
              <w:rPr>
                <w:sz w:val="15"/>
              </w:rPr>
              <w:t>§10.19 OPS-02 Implementation Contract; §15/§16</w:t>
            </w:r>
          </w:p>
        </w:tc>
        <w:tc>
          <w:tcPr>
            <w:tcW w:type="dxa" w:w="1531"/>
            <w:tcMar>
              <w:top w:w="70" w:type="dxa"/>
              <w:left w:w="80" w:type="dxa"/>
              <w:bottom w:w="70" w:type="dxa"/>
              <w:right w:w="80" w:type="dxa"/>
            </w:tcMar>
          </w:tcPr>
          <w:p>
            <w:r>
              <w:rPr>
                <w:sz w:val="15"/>
              </w:rPr>
              <w:t>§27; INV-OPS-02; API/event contract tests; requirement OPS-02-R03</w:t>
            </w:r>
          </w:p>
        </w:tc>
        <w:tc>
          <w:tcPr>
            <w:tcW w:type="dxa" w:w="1531"/>
            <w:tcMar>
              <w:top w:w="70" w:type="dxa"/>
              <w:left w:w="80" w:type="dxa"/>
              <w:bottom w:w="70" w:type="dxa"/>
              <w:right w:w="80" w:type="dxa"/>
            </w:tcMar>
          </w:tcPr>
          <w:p>
            <w:r>
              <w:rPr>
                <w:sz w:val="15"/>
              </w:rPr>
              <w:t>§28; RB-OPS-02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OPS-02-R04</w:t>
            </w:r>
          </w:p>
        </w:tc>
        <w:tc>
          <w:tcPr>
            <w:tcW w:type="dxa" w:w="1531"/>
            <w:tcMar>
              <w:top w:w="70" w:type="dxa"/>
              <w:left w:w="80" w:type="dxa"/>
              <w:bottom w:w="70" w:type="dxa"/>
              <w:right w:w="80" w:type="dxa"/>
            </w:tcMar>
          </w:tcPr>
          <w:p>
            <w:r>
              <w:rPr>
                <w:sz w:val="15"/>
              </w:rPr>
              <w:t>Booking, Waitlist &amp; No-show Intelligence</w:t>
            </w:r>
          </w:p>
        </w:tc>
        <w:tc>
          <w:tcPr>
            <w:tcW w:type="dxa" w:w="1531"/>
            <w:tcMar>
              <w:top w:w="70" w:type="dxa"/>
              <w:left w:w="80" w:type="dxa"/>
              <w:bottom w:w="70" w:type="dxa"/>
              <w:right w:w="80" w:type="dxa"/>
            </w:tcMar>
          </w:tcPr>
          <w:p>
            <w:r>
              <w:rPr>
                <w:sz w:val="15"/>
              </w:rPr>
              <w:t>No-show and late-cancel policy with fee, credit loss, warning, strike and appeal.</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OPS-02</w:t>
            </w:r>
          </w:p>
        </w:tc>
        <w:tc>
          <w:tcPr>
            <w:tcW w:type="dxa" w:w="1531"/>
            <w:tcMar>
              <w:top w:w="70" w:type="dxa"/>
              <w:left w:w="80" w:type="dxa"/>
              <w:bottom w:w="70" w:type="dxa"/>
              <w:right w:w="80" w:type="dxa"/>
            </w:tcMar>
          </w:tcPr>
          <w:p>
            <w:r>
              <w:rPr>
                <w:sz w:val="15"/>
              </w:rPr>
              <w:t>§10.19 OPS-02 Implementation Contract; §15/§16</w:t>
            </w:r>
          </w:p>
        </w:tc>
        <w:tc>
          <w:tcPr>
            <w:tcW w:type="dxa" w:w="1531"/>
            <w:tcMar>
              <w:top w:w="70" w:type="dxa"/>
              <w:left w:w="80" w:type="dxa"/>
              <w:bottom w:w="70" w:type="dxa"/>
              <w:right w:w="80" w:type="dxa"/>
            </w:tcMar>
          </w:tcPr>
          <w:p>
            <w:r>
              <w:rPr>
                <w:sz w:val="15"/>
              </w:rPr>
              <w:t>§27; INV-OPS-02; API/event contract tests; requirement OPS-02-R04</w:t>
            </w:r>
          </w:p>
        </w:tc>
        <w:tc>
          <w:tcPr>
            <w:tcW w:type="dxa" w:w="1531"/>
            <w:tcMar>
              <w:top w:w="70" w:type="dxa"/>
              <w:left w:w="80" w:type="dxa"/>
              <w:bottom w:w="70" w:type="dxa"/>
              <w:right w:w="80" w:type="dxa"/>
            </w:tcMar>
          </w:tcPr>
          <w:p>
            <w:r>
              <w:rPr>
                <w:sz w:val="15"/>
              </w:rPr>
              <w:t>§28; RB-OPS-02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OPS-02-R05</w:t>
            </w:r>
          </w:p>
        </w:tc>
        <w:tc>
          <w:tcPr>
            <w:tcW w:type="dxa" w:w="1531"/>
            <w:tcMar>
              <w:top w:w="70" w:type="dxa"/>
              <w:left w:w="80" w:type="dxa"/>
              <w:bottom w:w="70" w:type="dxa"/>
              <w:right w:w="80" w:type="dxa"/>
            </w:tcMar>
          </w:tcPr>
          <w:p>
            <w:r>
              <w:rPr>
                <w:sz w:val="15"/>
              </w:rPr>
              <w:t>Booking, Waitlist &amp; No-show Intelligence</w:t>
            </w:r>
          </w:p>
        </w:tc>
        <w:tc>
          <w:tcPr>
            <w:tcW w:type="dxa" w:w="1531"/>
            <w:tcMar>
              <w:top w:w="70" w:type="dxa"/>
              <w:left w:w="80" w:type="dxa"/>
              <w:bottom w:w="70" w:type="dxa"/>
              <w:right w:w="80" w:type="dxa"/>
            </w:tcMar>
          </w:tcPr>
          <w:p>
            <w:r>
              <w:rPr>
                <w:sz w:val="15"/>
              </w:rPr>
              <w:t>Predictive no-show score used for reminders and controlled overbooking, never opaque denial.</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OPS-02</w:t>
            </w:r>
          </w:p>
        </w:tc>
        <w:tc>
          <w:tcPr>
            <w:tcW w:type="dxa" w:w="1531"/>
            <w:tcMar>
              <w:top w:w="70" w:type="dxa"/>
              <w:left w:w="80" w:type="dxa"/>
              <w:bottom w:w="70" w:type="dxa"/>
              <w:right w:w="80" w:type="dxa"/>
            </w:tcMar>
          </w:tcPr>
          <w:p>
            <w:r>
              <w:rPr>
                <w:sz w:val="15"/>
              </w:rPr>
              <w:t>§10.19 OPS-02 Implementation Contract; §15/§16</w:t>
            </w:r>
          </w:p>
        </w:tc>
        <w:tc>
          <w:tcPr>
            <w:tcW w:type="dxa" w:w="1531"/>
            <w:tcMar>
              <w:top w:w="70" w:type="dxa"/>
              <w:left w:w="80" w:type="dxa"/>
              <w:bottom w:w="70" w:type="dxa"/>
              <w:right w:w="80" w:type="dxa"/>
            </w:tcMar>
          </w:tcPr>
          <w:p>
            <w:r>
              <w:rPr>
                <w:sz w:val="15"/>
              </w:rPr>
              <w:t>§27; INV-OPS-02; API/event contract tests; requirement OPS-02-R05</w:t>
            </w:r>
          </w:p>
        </w:tc>
        <w:tc>
          <w:tcPr>
            <w:tcW w:type="dxa" w:w="1531"/>
            <w:tcMar>
              <w:top w:w="70" w:type="dxa"/>
              <w:left w:w="80" w:type="dxa"/>
              <w:bottom w:w="70" w:type="dxa"/>
              <w:right w:w="80" w:type="dxa"/>
            </w:tcMar>
          </w:tcPr>
          <w:p>
            <w:r>
              <w:rPr>
                <w:sz w:val="15"/>
              </w:rPr>
              <w:t>§28; RB-OPS-02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OPS-02-R06</w:t>
            </w:r>
          </w:p>
        </w:tc>
        <w:tc>
          <w:tcPr>
            <w:tcW w:type="dxa" w:w="1531"/>
            <w:tcMar>
              <w:top w:w="70" w:type="dxa"/>
              <w:left w:w="80" w:type="dxa"/>
              <w:bottom w:w="70" w:type="dxa"/>
              <w:right w:w="80" w:type="dxa"/>
            </w:tcMar>
          </w:tcPr>
          <w:p>
            <w:r>
              <w:rPr>
                <w:sz w:val="15"/>
              </w:rPr>
              <w:t>Booking, Waitlist &amp; No-show Intelligence</w:t>
            </w:r>
          </w:p>
        </w:tc>
        <w:tc>
          <w:tcPr>
            <w:tcW w:type="dxa" w:w="1531"/>
            <w:tcMar>
              <w:top w:w="70" w:type="dxa"/>
              <w:left w:w="80" w:type="dxa"/>
              <w:bottom w:w="70" w:type="dxa"/>
              <w:right w:w="80" w:type="dxa"/>
            </w:tcMar>
          </w:tcPr>
          <w:p>
            <w:r>
              <w:rPr>
                <w:sz w:val="15"/>
              </w:rPr>
              <w:t>Calendar synchronization, reminders, check-in linkage and attendance completion.</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OPS-02</w:t>
            </w:r>
          </w:p>
        </w:tc>
        <w:tc>
          <w:tcPr>
            <w:tcW w:type="dxa" w:w="1531"/>
            <w:tcMar>
              <w:top w:w="70" w:type="dxa"/>
              <w:left w:w="80" w:type="dxa"/>
              <w:bottom w:w="70" w:type="dxa"/>
              <w:right w:w="80" w:type="dxa"/>
            </w:tcMar>
          </w:tcPr>
          <w:p>
            <w:r>
              <w:rPr>
                <w:sz w:val="15"/>
              </w:rPr>
              <w:t>§10.19 OPS-02 Implementation Contract; §15/§16</w:t>
            </w:r>
          </w:p>
        </w:tc>
        <w:tc>
          <w:tcPr>
            <w:tcW w:type="dxa" w:w="1531"/>
            <w:tcMar>
              <w:top w:w="70" w:type="dxa"/>
              <w:left w:w="80" w:type="dxa"/>
              <w:bottom w:w="70" w:type="dxa"/>
              <w:right w:w="80" w:type="dxa"/>
            </w:tcMar>
          </w:tcPr>
          <w:p>
            <w:r>
              <w:rPr>
                <w:sz w:val="15"/>
              </w:rPr>
              <w:t>§27; INV-OPS-02; API/event contract tests; requirement OPS-02-R06</w:t>
            </w:r>
          </w:p>
        </w:tc>
        <w:tc>
          <w:tcPr>
            <w:tcW w:type="dxa" w:w="1531"/>
            <w:tcMar>
              <w:top w:w="70" w:type="dxa"/>
              <w:left w:w="80" w:type="dxa"/>
              <w:bottom w:w="70" w:type="dxa"/>
              <w:right w:w="80" w:type="dxa"/>
            </w:tcMar>
          </w:tcPr>
          <w:p>
            <w:r>
              <w:rPr>
                <w:sz w:val="15"/>
              </w:rPr>
              <w:t>§28; RB-OPS-02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OPS-02-R07</w:t>
            </w:r>
          </w:p>
        </w:tc>
        <w:tc>
          <w:tcPr>
            <w:tcW w:type="dxa" w:w="1531"/>
            <w:tcMar>
              <w:top w:w="70" w:type="dxa"/>
              <w:left w:w="80" w:type="dxa"/>
              <w:bottom w:w="70" w:type="dxa"/>
              <w:right w:w="80" w:type="dxa"/>
            </w:tcMar>
          </w:tcPr>
          <w:p>
            <w:r>
              <w:rPr>
                <w:sz w:val="15"/>
              </w:rPr>
              <w:t>Booking, Waitlist &amp; No-show Intelligence</w:t>
            </w:r>
          </w:p>
        </w:tc>
        <w:tc>
          <w:tcPr>
            <w:tcW w:type="dxa" w:w="1531"/>
            <w:tcMar>
              <w:top w:w="70" w:type="dxa"/>
              <w:left w:w="80" w:type="dxa"/>
              <w:bottom w:w="70" w:type="dxa"/>
              <w:right w:w="80" w:type="dxa"/>
            </w:tcMar>
          </w:tcPr>
          <w:p>
            <w:r>
              <w:rPr>
                <w:sz w:val="15"/>
              </w:rPr>
              <w:t>Group, household, guest and corporate booking with permission and eligibility rules.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OPS-02</w:t>
            </w:r>
          </w:p>
        </w:tc>
        <w:tc>
          <w:tcPr>
            <w:tcW w:type="dxa" w:w="1531"/>
            <w:tcMar>
              <w:top w:w="70" w:type="dxa"/>
              <w:left w:w="80" w:type="dxa"/>
              <w:bottom w:w="70" w:type="dxa"/>
              <w:right w:w="80" w:type="dxa"/>
            </w:tcMar>
          </w:tcPr>
          <w:p>
            <w:r>
              <w:rPr>
                <w:sz w:val="15"/>
              </w:rPr>
              <w:t>§10.19 OPS-02 Implementation Contract; §15/§16</w:t>
            </w:r>
          </w:p>
        </w:tc>
        <w:tc>
          <w:tcPr>
            <w:tcW w:type="dxa" w:w="1531"/>
            <w:tcMar>
              <w:top w:w="70" w:type="dxa"/>
              <w:left w:w="80" w:type="dxa"/>
              <w:bottom w:w="70" w:type="dxa"/>
              <w:right w:w="80" w:type="dxa"/>
            </w:tcMar>
          </w:tcPr>
          <w:p>
            <w:r>
              <w:rPr>
                <w:sz w:val="15"/>
              </w:rPr>
              <w:t>§27; INV-OPS-02; API/event contract tests; requirement OPS-02-R07</w:t>
            </w:r>
          </w:p>
        </w:tc>
        <w:tc>
          <w:tcPr>
            <w:tcW w:type="dxa" w:w="1531"/>
            <w:tcMar>
              <w:top w:w="70" w:type="dxa"/>
              <w:left w:w="80" w:type="dxa"/>
              <w:bottom w:w="70" w:type="dxa"/>
              <w:right w:w="80" w:type="dxa"/>
            </w:tcMar>
          </w:tcPr>
          <w:p>
            <w:r>
              <w:rPr>
                <w:sz w:val="15"/>
              </w:rPr>
              <w:t>§28; RB-OPS-02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OPS-03-R01</w:t>
            </w:r>
          </w:p>
        </w:tc>
        <w:tc>
          <w:tcPr>
            <w:tcW w:type="dxa" w:w="1531"/>
            <w:tcMar>
              <w:top w:w="70" w:type="dxa"/>
              <w:left w:w="80" w:type="dxa"/>
              <w:bottom w:w="70" w:type="dxa"/>
              <w:right w:w="80" w:type="dxa"/>
            </w:tcMar>
          </w:tcPr>
          <w:p>
            <w:r>
              <w:rPr>
                <w:sz w:val="15"/>
              </w:rPr>
              <w:t>Check-in, Access Control &amp; Entitlement Decisions</w:t>
            </w:r>
          </w:p>
        </w:tc>
        <w:tc>
          <w:tcPr>
            <w:tcW w:type="dxa" w:w="1531"/>
            <w:tcMar>
              <w:top w:w="70" w:type="dxa"/>
              <w:left w:w="80" w:type="dxa"/>
              <w:bottom w:w="70" w:type="dxa"/>
              <w:right w:w="80" w:type="dxa"/>
            </w:tcMar>
          </w:tcPr>
          <w:p>
            <w:r>
              <w:rPr>
                <w:sz w:val="15"/>
              </w:rPr>
              <w:t>Real-time decision pipeline: identify person, resolve credential, evaluate entitlement and policy, then actuate device.</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OPS-03</w:t>
            </w:r>
          </w:p>
        </w:tc>
        <w:tc>
          <w:tcPr>
            <w:tcW w:type="dxa" w:w="1531"/>
            <w:tcMar>
              <w:top w:w="70" w:type="dxa"/>
              <w:left w:w="80" w:type="dxa"/>
              <w:bottom w:w="70" w:type="dxa"/>
              <w:right w:w="80" w:type="dxa"/>
            </w:tcMar>
          </w:tcPr>
          <w:p>
            <w:r>
              <w:rPr>
                <w:sz w:val="15"/>
              </w:rPr>
              <w:t>§10.20 OPS-03 Implementation Contract; §15/§16</w:t>
            </w:r>
          </w:p>
        </w:tc>
        <w:tc>
          <w:tcPr>
            <w:tcW w:type="dxa" w:w="1531"/>
            <w:tcMar>
              <w:top w:w="70" w:type="dxa"/>
              <w:left w:w="80" w:type="dxa"/>
              <w:bottom w:w="70" w:type="dxa"/>
              <w:right w:w="80" w:type="dxa"/>
            </w:tcMar>
          </w:tcPr>
          <w:p>
            <w:r>
              <w:rPr>
                <w:sz w:val="15"/>
              </w:rPr>
              <w:t>§27; INV-OPS-03; API/event contract tests; requirement OPS-03-R01</w:t>
            </w:r>
          </w:p>
        </w:tc>
        <w:tc>
          <w:tcPr>
            <w:tcW w:type="dxa" w:w="1531"/>
            <w:tcMar>
              <w:top w:w="70" w:type="dxa"/>
              <w:left w:w="80" w:type="dxa"/>
              <w:bottom w:w="70" w:type="dxa"/>
              <w:right w:w="80" w:type="dxa"/>
            </w:tcMar>
          </w:tcPr>
          <w:p>
            <w:r>
              <w:rPr>
                <w:sz w:val="15"/>
              </w:rPr>
              <w:t>§28; RB-OPS-03</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OPS-03-R02</w:t>
            </w:r>
          </w:p>
        </w:tc>
        <w:tc>
          <w:tcPr>
            <w:tcW w:type="dxa" w:w="1531"/>
            <w:tcMar>
              <w:top w:w="70" w:type="dxa"/>
              <w:left w:w="80" w:type="dxa"/>
              <w:bottom w:w="70" w:type="dxa"/>
              <w:right w:w="80" w:type="dxa"/>
            </w:tcMar>
          </w:tcPr>
          <w:p>
            <w:r>
              <w:rPr>
                <w:sz w:val="15"/>
              </w:rPr>
              <w:t>Check-in, Access Control &amp; Entitlement Decisions</w:t>
            </w:r>
          </w:p>
        </w:tc>
        <w:tc>
          <w:tcPr>
            <w:tcW w:type="dxa" w:w="1531"/>
            <w:tcMar>
              <w:top w:w="70" w:type="dxa"/>
              <w:left w:w="80" w:type="dxa"/>
              <w:bottom w:w="70" w:type="dxa"/>
              <w:right w:w="80" w:type="dxa"/>
            </w:tcMar>
          </w:tcPr>
          <w:p>
            <w:r>
              <w:rPr>
                <w:sz w:val="15"/>
              </w:rPr>
              <w:t>QR, NFC, wallet pass, card, PIN, staff-assisted and optional biometric credentials.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OPS-03</w:t>
            </w:r>
          </w:p>
        </w:tc>
        <w:tc>
          <w:tcPr>
            <w:tcW w:type="dxa" w:w="1531"/>
            <w:tcMar>
              <w:top w:w="70" w:type="dxa"/>
              <w:left w:w="80" w:type="dxa"/>
              <w:bottom w:w="70" w:type="dxa"/>
              <w:right w:w="80" w:type="dxa"/>
            </w:tcMar>
          </w:tcPr>
          <w:p>
            <w:r>
              <w:rPr>
                <w:sz w:val="15"/>
              </w:rPr>
              <w:t>§10.20 OPS-03 Implementation Contract; §15/§16</w:t>
            </w:r>
          </w:p>
        </w:tc>
        <w:tc>
          <w:tcPr>
            <w:tcW w:type="dxa" w:w="1531"/>
            <w:tcMar>
              <w:top w:w="70" w:type="dxa"/>
              <w:left w:w="80" w:type="dxa"/>
              <w:bottom w:w="70" w:type="dxa"/>
              <w:right w:w="80" w:type="dxa"/>
            </w:tcMar>
          </w:tcPr>
          <w:p>
            <w:r>
              <w:rPr>
                <w:sz w:val="15"/>
              </w:rPr>
              <w:t>§27; INV-OPS-03; API/event contract tests; requirement OPS-03-R02</w:t>
            </w:r>
          </w:p>
        </w:tc>
        <w:tc>
          <w:tcPr>
            <w:tcW w:type="dxa" w:w="1531"/>
            <w:tcMar>
              <w:top w:w="70" w:type="dxa"/>
              <w:left w:w="80" w:type="dxa"/>
              <w:bottom w:w="70" w:type="dxa"/>
              <w:right w:w="80" w:type="dxa"/>
            </w:tcMar>
          </w:tcPr>
          <w:p>
            <w:r>
              <w:rPr>
                <w:sz w:val="15"/>
              </w:rPr>
              <w:t>§28; RB-OPS-03</w:t>
            </w:r>
          </w:p>
        </w:tc>
        <w:tc>
          <w:tcPr>
            <w:tcW w:type="dxa" w:w="1531"/>
            <w:tcMar>
              <w:top w:w="70" w:type="dxa"/>
              <w:left w:w="80" w:type="dxa"/>
              <w:bottom w:w="70" w:type="dxa"/>
              <w:right w:w="80" w:type="dxa"/>
            </w:tcMar>
          </w:tcPr>
          <w:p>
            <w:r>
              <w:rPr>
                <w:sz w:val="15"/>
              </w:rPr>
              <w:t>PARTIAL - external validation / later adapter evidence required</w:t>
            </w:r>
          </w:p>
        </w:tc>
      </w:tr>
      <w:tr>
        <w:tc>
          <w:tcPr>
            <w:tcW w:type="dxa" w:w="1531"/>
            <w:tcMar>
              <w:top w:w="70" w:type="dxa"/>
              <w:left w:w="80" w:type="dxa"/>
              <w:bottom w:w="70" w:type="dxa"/>
              <w:right w:w="80" w:type="dxa"/>
            </w:tcMar>
          </w:tcPr>
          <w:p>
            <w:r>
              <w:rPr>
                <w:sz w:val="15"/>
              </w:rPr>
              <w:t>OPS-03-R03</w:t>
            </w:r>
          </w:p>
        </w:tc>
        <w:tc>
          <w:tcPr>
            <w:tcW w:type="dxa" w:w="1531"/>
            <w:tcMar>
              <w:top w:w="70" w:type="dxa"/>
              <w:left w:w="80" w:type="dxa"/>
              <w:bottom w:w="70" w:type="dxa"/>
              <w:right w:w="80" w:type="dxa"/>
            </w:tcMar>
          </w:tcPr>
          <w:p>
            <w:r>
              <w:rPr>
                <w:sz w:val="15"/>
              </w:rPr>
              <w:t>Check-in, Access Control &amp; Entitlement Decisions</w:t>
            </w:r>
          </w:p>
        </w:tc>
        <w:tc>
          <w:tcPr>
            <w:tcW w:type="dxa" w:w="1531"/>
            <w:tcMar>
              <w:top w:w="70" w:type="dxa"/>
              <w:left w:w="80" w:type="dxa"/>
              <w:bottom w:w="70" w:type="dxa"/>
              <w:right w:w="80" w:type="dxa"/>
            </w:tcMar>
          </w:tcPr>
          <w:p>
            <w:r>
              <w:rPr>
                <w:sz w:val="15"/>
              </w:rPr>
              <w:t>Rules for location, zone, hours, membership state, capacity, outstanding balance, freeze, age and safety flags.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OPS-03</w:t>
            </w:r>
          </w:p>
        </w:tc>
        <w:tc>
          <w:tcPr>
            <w:tcW w:type="dxa" w:w="1531"/>
            <w:tcMar>
              <w:top w:w="70" w:type="dxa"/>
              <w:left w:w="80" w:type="dxa"/>
              <w:bottom w:w="70" w:type="dxa"/>
              <w:right w:w="80" w:type="dxa"/>
            </w:tcMar>
          </w:tcPr>
          <w:p>
            <w:r>
              <w:rPr>
                <w:sz w:val="15"/>
              </w:rPr>
              <w:t>§10.20 OPS-03 Implementation Contract; §15/§16</w:t>
            </w:r>
          </w:p>
        </w:tc>
        <w:tc>
          <w:tcPr>
            <w:tcW w:type="dxa" w:w="1531"/>
            <w:tcMar>
              <w:top w:w="70" w:type="dxa"/>
              <w:left w:w="80" w:type="dxa"/>
              <w:bottom w:w="70" w:type="dxa"/>
              <w:right w:w="80" w:type="dxa"/>
            </w:tcMar>
          </w:tcPr>
          <w:p>
            <w:r>
              <w:rPr>
                <w:sz w:val="15"/>
              </w:rPr>
              <w:t>§27; INV-OPS-03; API/event contract tests; requirement OPS-03-R03</w:t>
            </w:r>
          </w:p>
        </w:tc>
        <w:tc>
          <w:tcPr>
            <w:tcW w:type="dxa" w:w="1531"/>
            <w:tcMar>
              <w:top w:w="70" w:type="dxa"/>
              <w:left w:w="80" w:type="dxa"/>
              <w:bottom w:w="70" w:type="dxa"/>
              <w:right w:w="80" w:type="dxa"/>
            </w:tcMar>
          </w:tcPr>
          <w:p>
            <w:r>
              <w:rPr>
                <w:sz w:val="15"/>
              </w:rPr>
              <w:t>§28; RB-OPS-03</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OPS-03-R04</w:t>
            </w:r>
          </w:p>
        </w:tc>
        <w:tc>
          <w:tcPr>
            <w:tcW w:type="dxa" w:w="1531"/>
            <w:tcMar>
              <w:top w:w="70" w:type="dxa"/>
              <w:left w:w="80" w:type="dxa"/>
              <w:bottom w:w="70" w:type="dxa"/>
              <w:right w:w="80" w:type="dxa"/>
            </w:tcMar>
          </w:tcPr>
          <w:p>
            <w:r>
              <w:rPr>
                <w:sz w:val="15"/>
              </w:rPr>
              <w:t>Check-in, Access Control &amp; Entitlement Decisions</w:t>
            </w:r>
          </w:p>
        </w:tc>
        <w:tc>
          <w:tcPr>
            <w:tcW w:type="dxa" w:w="1531"/>
            <w:tcMar>
              <w:top w:w="70" w:type="dxa"/>
              <w:left w:w="80" w:type="dxa"/>
              <w:bottom w:w="70" w:type="dxa"/>
              <w:right w:w="80" w:type="dxa"/>
            </w:tcMar>
          </w:tcPr>
          <w:p>
            <w:r>
              <w:rPr>
                <w:sz w:val="15"/>
              </w:rPr>
              <w:t>Configurable grace and exception policies with staff override, reason and approval.</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OPS-03</w:t>
            </w:r>
          </w:p>
        </w:tc>
        <w:tc>
          <w:tcPr>
            <w:tcW w:type="dxa" w:w="1531"/>
            <w:tcMar>
              <w:top w:w="70" w:type="dxa"/>
              <w:left w:w="80" w:type="dxa"/>
              <w:bottom w:w="70" w:type="dxa"/>
              <w:right w:w="80" w:type="dxa"/>
            </w:tcMar>
          </w:tcPr>
          <w:p>
            <w:r>
              <w:rPr>
                <w:sz w:val="15"/>
              </w:rPr>
              <w:t>§10.20 OPS-03 Implementation Contract; §15/§16</w:t>
            </w:r>
          </w:p>
        </w:tc>
        <w:tc>
          <w:tcPr>
            <w:tcW w:type="dxa" w:w="1531"/>
            <w:tcMar>
              <w:top w:w="70" w:type="dxa"/>
              <w:left w:w="80" w:type="dxa"/>
              <w:bottom w:w="70" w:type="dxa"/>
              <w:right w:w="80" w:type="dxa"/>
            </w:tcMar>
          </w:tcPr>
          <w:p>
            <w:r>
              <w:rPr>
                <w:sz w:val="15"/>
              </w:rPr>
              <w:t>§27; INV-OPS-03; API/event contract tests; requirement OPS-03-R04</w:t>
            </w:r>
          </w:p>
        </w:tc>
        <w:tc>
          <w:tcPr>
            <w:tcW w:type="dxa" w:w="1531"/>
            <w:tcMar>
              <w:top w:w="70" w:type="dxa"/>
              <w:left w:w="80" w:type="dxa"/>
              <w:bottom w:w="70" w:type="dxa"/>
              <w:right w:w="80" w:type="dxa"/>
            </w:tcMar>
          </w:tcPr>
          <w:p>
            <w:r>
              <w:rPr>
                <w:sz w:val="15"/>
              </w:rPr>
              <w:t>§28; RB-OPS-03</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OPS-03-R05</w:t>
            </w:r>
          </w:p>
        </w:tc>
        <w:tc>
          <w:tcPr>
            <w:tcW w:type="dxa" w:w="1531"/>
            <w:tcMar>
              <w:top w:w="70" w:type="dxa"/>
              <w:left w:w="80" w:type="dxa"/>
              <w:bottom w:w="70" w:type="dxa"/>
              <w:right w:w="80" w:type="dxa"/>
            </w:tcMar>
          </w:tcPr>
          <w:p>
            <w:r>
              <w:rPr>
                <w:sz w:val="15"/>
              </w:rPr>
              <w:t>Check-in, Access Control &amp; Entitlement Decisions</w:t>
            </w:r>
          </w:p>
        </w:tc>
        <w:tc>
          <w:tcPr>
            <w:tcW w:type="dxa" w:w="1531"/>
            <w:tcMar>
              <w:top w:w="70" w:type="dxa"/>
              <w:left w:w="80" w:type="dxa"/>
              <w:bottom w:w="70" w:type="dxa"/>
              <w:right w:w="80" w:type="dxa"/>
            </w:tcMar>
          </w:tcPr>
          <w:p>
            <w:r>
              <w:rPr>
                <w:sz w:val="15"/>
              </w:rPr>
              <w:t>Offline entitlement cache, signed policy snapshots, duplicate-entry protection and eventual synchronization.</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OPS-03</w:t>
            </w:r>
          </w:p>
        </w:tc>
        <w:tc>
          <w:tcPr>
            <w:tcW w:type="dxa" w:w="1531"/>
            <w:tcMar>
              <w:top w:w="70" w:type="dxa"/>
              <w:left w:w="80" w:type="dxa"/>
              <w:bottom w:w="70" w:type="dxa"/>
              <w:right w:w="80" w:type="dxa"/>
            </w:tcMar>
          </w:tcPr>
          <w:p>
            <w:r>
              <w:rPr>
                <w:sz w:val="15"/>
              </w:rPr>
              <w:t>§10.20 OPS-03 Implementation Contract; §15/§16</w:t>
            </w:r>
          </w:p>
        </w:tc>
        <w:tc>
          <w:tcPr>
            <w:tcW w:type="dxa" w:w="1531"/>
            <w:tcMar>
              <w:top w:w="70" w:type="dxa"/>
              <w:left w:w="80" w:type="dxa"/>
              <w:bottom w:w="70" w:type="dxa"/>
              <w:right w:w="80" w:type="dxa"/>
            </w:tcMar>
          </w:tcPr>
          <w:p>
            <w:r>
              <w:rPr>
                <w:sz w:val="15"/>
              </w:rPr>
              <w:t>§27; INV-OPS-03; API/event contract tests; requirement OPS-03-R05</w:t>
            </w:r>
          </w:p>
        </w:tc>
        <w:tc>
          <w:tcPr>
            <w:tcW w:type="dxa" w:w="1531"/>
            <w:tcMar>
              <w:top w:w="70" w:type="dxa"/>
              <w:left w:w="80" w:type="dxa"/>
              <w:bottom w:w="70" w:type="dxa"/>
              <w:right w:w="80" w:type="dxa"/>
            </w:tcMar>
          </w:tcPr>
          <w:p>
            <w:r>
              <w:rPr>
                <w:sz w:val="15"/>
              </w:rPr>
              <w:t>§28; RB-OPS-03</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OPS-03-R06</w:t>
            </w:r>
          </w:p>
        </w:tc>
        <w:tc>
          <w:tcPr>
            <w:tcW w:type="dxa" w:w="1531"/>
            <w:tcMar>
              <w:top w:w="70" w:type="dxa"/>
              <w:left w:w="80" w:type="dxa"/>
              <w:bottom w:w="70" w:type="dxa"/>
              <w:right w:w="80" w:type="dxa"/>
            </w:tcMar>
          </w:tcPr>
          <w:p>
            <w:r>
              <w:rPr>
                <w:sz w:val="15"/>
              </w:rPr>
              <w:t>Check-in, Access Control &amp; Entitlement Decisions</w:t>
            </w:r>
          </w:p>
        </w:tc>
        <w:tc>
          <w:tcPr>
            <w:tcW w:type="dxa" w:w="1531"/>
            <w:tcMar>
              <w:top w:w="70" w:type="dxa"/>
              <w:left w:w="80" w:type="dxa"/>
              <w:bottom w:w="70" w:type="dxa"/>
              <w:right w:w="80" w:type="dxa"/>
            </w:tcMar>
          </w:tcPr>
          <w:p>
            <w:r>
              <w:rPr>
                <w:sz w:val="15"/>
              </w:rPr>
              <w:t>Live occupancy, entry/exit events, anti-passback and emergency unlock integration.</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OPS-03</w:t>
            </w:r>
          </w:p>
        </w:tc>
        <w:tc>
          <w:tcPr>
            <w:tcW w:type="dxa" w:w="1531"/>
            <w:tcMar>
              <w:top w:w="70" w:type="dxa"/>
              <w:left w:w="80" w:type="dxa"/>
              <w:bottom w:w="70" w:type="dxa"/>
              <w:right w:w="80" w:type="dxa"/>
            </w:tcMar>
          </w:tcPr>
          <w:p>
            <w:r>
              <w:rPr>
                <w:sz w:val="15"/>
              </w:rPr>
              <w:t>§10.20 OPS-03 Implementation Contract; §15/§16</w:t>
            </w:r>
          </w:p>
        </w:tc>
        <w:tc>
          <w:tcPr>
            <w:tcW w:type="dxa" w:w="1531"/>
            <w:tcMar>
              <w:top w:w="70" w:type="dxa"/>
              <w:left w:w="80" w:type="dxa"/>
              <w:bottom w:w="70" w:type="dxa"/>
              <w:right w:w="80" w:type="dxa"/>
            </w:tcMar>
          </w:tcPr>
          <w:p>
            <w:r>
              <w:rPr>
                <w:sz w:val="15"/>
              </w:rPr>
              <w:t>§27; INV-OPS-03; API/event contract tests; requirement OPS-03-R06</w:t>
            </w:r>
          </w:p>
        </w:tc>
        <w:tc>
          <w:tcPr>
            <w:tcW w:type="dxa" w:w="1531"/>
            <w:tcMar>
              <w:top w:w="70" w:type="dxa"/>
              <w:left w:w="80" w:type="dxa"/>
              <w:bottom w:w="70" w:type="dxa"/>
              <w:right w:w="80" w:type="dxa"/>
            </w:tcMar>
          </w:tcPr>
          <w:p>
            <w:r>
              <w:rPr>
                <w:sz w:val="15"/>
              </w:rPr>
              <w:t>§28; RB-OPS-03</w:t>
            </w:r>
          </w:p>
        </w:tc>
        <w:tc>
          <w:tcPr>
            <w:tcW w:type="dxa" w:w="1531"/>
            <w:tcMar>
              <w:top w:w="70" w:type="dxa"/>
              <w:left w:w="80" w:type="dxa"/>
              <w:bottom w:w="70" w:type="dxa"/>
              <w:right w:w="80" w:type="dxa"/>
            </w:tcMar>
          </w:tcPr>
          <w:p>
            <w:r>
              <w:rPr>
                <w:sz w:val="15"/>
              </w:rPr>
              <w:t>PARTIAL - external validation / later adapter evidence required</w:t>
            </w:r>
          </w:p>
        </w:tc>
      </w:tr>
      <w:tr>
        <w:tc>
          <w:tcPr>
            <w:tcW w:type="dxa" w:w="1531"/>
            <w:tcMar>
              <w:top w:w="70" w:type="dxa"/>
              <w:left w:w="80" w:type="dxa"/>
              <w:bottom w:w="70" w:type="dxa"/>
              <w:right w:w="80" w:type="dxa"/>
            </w:tcMar>
          </w:tcPr>
          <w:p>
            <w:r>
              <w:rPr>
                <w:sz w:val="15"/>
              </w:rPr>
              <w:t>OPS-03-R07</w:t>
            </w:r>
          </w:p>
        </w:tc>
        <w:tc>
          <w:tcPr>
            <w:tcW w:type="dxa" w:w="1531"/>
            <w:tcMar>
              <w:top w:w="70" w:type="dxa"/>
              <w:left w:w="80" w:type="dxa"/>
              <w:bottom w:w="70" w:type="dxa"/>
              <w:right w:w="80" w:type="dxa"/>
            </w:tcMar>
          </w:tcPr>
          <w:p>
            <w:r>
              <w:rPr>
                <w:sz w:val="15"/>
              </w:rPr>
              <w:t>Check-in, Access Control &amp; Entitlement Decisions</w:t>
            </w:r>
          </w:p>
        </w:tc>
        <w:tc>
          <w:tcPr>
            <w:tcW w:type="dxa" w:w="1531"/>
            <w:tcMar>
              <w:top w:w="70" w:type="dxa"/>
              <w:left w:w="80" w:type="dxa"/>
              <w:bottom w:w="70" w:type="dxa"/>
              <w:right w:w="80" w:type="dxa"/>
            </w:tcMar>
          </w:tcPr>
          <w:p>
            <w:r>
              <w:rPr>
                <w:sz w:val="15"/>
              </w:rPr>
              <w:t>Privacy-safe welcome/failure display and immediate fallback path.</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OPS-03</w:t>
            </w:r>
          </w:p>
        </w:tc>
        <w:tc>
          <w:tcPr>
            <w:tcW w:type="dxa" w:w="1531"/>
            <w:tcMar>
              <w:top w:w="70" w:type="dxa"/>
              <w:left w:w="80" w:type="dxa"/>
              <w:bottom w:w="70" w:type="dxa"/>
              <w:right w:w="80" w:type="dxa"/>
            </w:tcMar>
          </w:tcPr>
          <w:p>
            <w:r>
              <w:rPr>
                <w:sz w:val="15"/>
              </w:rPr>
              <w:t>§10.20 OPS-03 Implementation Contract; §15/§16</w:t>
            </w:r>
          </w:p>
        </w:tc>
        <w:tc>
          <w:tcPr>
            <w:tcW w:type="dxa" w:w="1531"/>
            <w:tcMar>
              <w:top w:w="70" w:type="dxa"/>
              <w:left w:w="80" w:type="dxa"/>
              <w:bottom w:w="70" w:type="dxa"/>
              <w:right w:w="80" w:type="dxa"/>
            </w:tcMar>
          </w:tcPr>
          <w:p>
            <w:r>
              <w:rPr>
                <w:sz w:val="15"/>
              </w:rPr>
              <w:t>§27; INV-OPS-03; API/event contract tests; requirement OPS-03-R07</w:t>
            </w:r>
          </w:p>
        </w:tc>
        <w:tc>
          <w:tcPr>
            <w:tcW w:type="dxa" w:w="1531"/>
            <w:tcMar>
              <w:top w:w="70" w:type="dxa"/>
              <w:left w:w="80" w:type="dxa"/>
              <w:bottom w:w="70" w:type="dxa"/>
              <w:right w:w="80" w:type="dxa"/>
            </w:tcMar>
          </w:tcPr>
          <w:p>
            <w:r>
              <w:rPr>
                <w:sz w:val="15"/>
              </w:rPr>
              <w:t>§28; RB-OPS-03</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OPS-04-R01</w:t>
            </w:r>
          </w:p>
        </w:tc>
        <w:tc>
          <w:tcPr>
            <w:tcW w:type="dxa" w:w="1531"/>
            <w:tcMar>
              <w:top w:w="70" w:type="dxa"/>
              <w:left w:w="80" w:type="dxa"/>
              <w:bottom w:w="70" w:type="dxa"/>
              <w:right w:w="80" w:type="dxa"/>
            </w:tcMar>
          </w:tcPr>
          <w:p>
            <w:r>
              <w:rPr>
                <w:sz w:val="15"/>
              </w:rPr>
              <w:t>Front Desk, Kiosk, Guest &amp; Visitor Operations</w:t>
            </w:r>
          </w:p>
        </w:tc>
        <w:tc>
          <w:tcPr>
            <w:tcW w:type="dxa" w:w="1531"/>
            <w:tcMar>
              <w:top w:w="70" w:type="dxa"/>
              <w:left w:w="80" w:type="dxa"/>
              <w:bottom w:w="70" w:type="dxa"/>
              <w:right w:w="80" w:type="dxa"/>
            </w:tcMar>
          </w:tcPr>
          <w:p>
            <w:r>
              <w:rPr>
                <w:sz w:val="15"/>
              </w:rPr>
              <w:t>Live arrivals with identity, membership/access status, alerts and next best action.</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OPS-04</w:t>
            </w:r>
          </w:p>
        </w:tc>
        <w:tc>
          <w:tcPr>
            <w:tcW w:type="dxa" w:w="1531"/>
            <w:tcMar>
              <w:top w:w="70" w:type="dxa"/>
              <w:left w:w="80" w:type="dxa"/>
              <w:bottom w:w="70" w:type="dxa"/>
              <w:right w:w="80" w:type="dxa"/>
            </w:tcMar>
          </w:tcPr>
          <w:p>
            <w:r>
              <w:rPr>
                <w:sz w:val="15"/>
              </w:rPr>
              <w:t>§10.21 OPS-04 Implementation Contract; §15/§16</w:t>
            </w:r>
          </w:p>
        </w:tc>
        <w:tc>
          <w:tcPr>
            <w:tcW w:type="dxa" w:w="1531"/>
            <w:tcMar>
              <w:top w:w="70" w:type="dxa"/>
              <w:left w:w="80" w:type="dxa"/>
              <w:bottom w:w="70" w:type="dxa"/>
              <w:right w:w="80" w:type="dxa"/>
            </w:tcMar>
          </w:tcPr>
          <w:p>
            <w:r>
              <w:rPr>
                <w:sz w:val="15"/>
              </w:rPr>
              <w:t>§27; INV-OPS-04; API/event contract tests; requirement OPS-04-R01</w:t>
            </w:r>
          </w:p>
        </w:tc>
        <w:tc>
          <w:tcPr>
            <w:tcW w:type="dxa" w:w="1531"/>
            <w:tcMar>
              <w:top w:w="70" w:type="dxa"/>
              <w:left w:w="80" w:type="dxa"/>
              <w:bottom w:w="70" w:type="dxa"/>
              <w:right w:w="80" w:type="dxa"/>
            </w:tcMar>
          </w:tcPr>
          <w:p>
            <w:r>
              <w:rPr>
                <w:sz w:val="15"/>
              </w:rPr>
              <w:t>§28; RB-OPS-04</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OPS-04-R02</w:t>
            </w:r>
          </w:p>
        </w:tc>
        <w:tc>
          <w:tcPr>
            <w:tcW w:type="dxa" w:w="1531"/>
            <w:tcMar>
              <w:top w:w="70" w:type="dxa"/>
              <w:left w:w="80" w:type="dxa"/>
              <w:bottom w:w="70" w:type="dxa"/>
              <w:right w:w="80" w:type="dxa"/>
            </w:tcMar>
          </w:tcPr>
          <w:p>
            <w:r>
              <w:rPr>
                <w:sz w:val="15"/>
              </w:rPr>
              <w:t>Front Desk, Kiosk, Guest &amp; Visitor Operations</w:t>
            </w:r>
          </w:p>
        </w:tc>
        <w:tc>
          <w:tcPr>
            <w:tcW w:type="dxa" w:w="1531"/>
            <w:tcMar>
              <w:top w:w="70" w:type="dxa"/>
              <w:left w:w="80" w:type="dxa"/>
              <w:bottom w:w="70" w:type="dxa"/>
              <w:right w:w="80" w:type="dxa"/>
            </w:tcMar>
          </w:tcPr>
          <w:p>
            <w:r>
              <w:rPr>
                <w:sz w:val="15"/>
              </w:rPr>
              <w:t>Fast global member search by name, phone, ID, QR, card or recent visit.</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OPS-04</w:t>
            </w:r>
          </w:p>
        </w:tc>
        <w:tc>
          <w:tcPr>
            <w:tcW w:type="dxa" w:w="1531"/>
            <w:tcMar>
              <w:top w:w="70" w:type="dxa"/>
              <w:left w:w="80" w:type="dxa"/>
              <w:bottom w:w="70" w:type="dxa"/>
              <w:right w:w="80" w:type="dxa"/>
            </w:tcMar>
          </w:tcPr>
          <w:p>
            <w:r>
              <w:rPr>
                <w:sz w:val="15"/>
              </w:rPr>
              <w:t>§10.21 OPS-04 Implementation Contract; §15/§16</w:t>
            </w:r>
          </w:p>
        </w:tc>
        <w:tc>
          <w:tcPr>
            <w:tcW w:type="dxa" w:w="1531"/>
            <w:tcMar>
              <w:top w:w="70" w:type="dxa"/>
              <w:left w:w="80" w:type="dxa"/>
              <w:bottom w:w="70" w:type="dxa"/>
              <w:right w:w="80" w:type="dxa"/>
            </w:tcMar>
          </w:tcPr>
          <w:p>
            <w:r>
              <w:rPr>
                <w:sz w:val="15"/>
              </w:rPr>
              <w:t>§27; INV-OPS-04; API/event contract tests; requirement OPS-04-R02</w:t>
            </w:r>
          </w:p>
        </w:tc>
        <w:tc>
          <w:tcPr>
            <w:tcW w:type="dxa" w:w="1531"/>
            <w:tcMar>
              <w:top w:w="70" w:type="dxa"/>
              <w:left w:w="80" w:type="dxa"/>
              <w:bottom w:w="70" w:type="dxa"/>
              <w:right w:w="80" w:type="dxa"/>
            </w:tcMar>
          </w:tcPr>
          <w:p>
            <w:r>
              <w:rPr>
                <w:sz w:val="15"/>
              </w:rPr>
              <w:t>§28; RB-OPS-04</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OPS-04-R03</w:t>
            </w:r>
          </w:p>
        </w:tc>
        <w:tc>
          <w:tcPr>
            <w:tcW w:type="dxa" w:w="1531"/>
            <w:tcMar>
              <w:top w:w="70" w:type="dxa"/>
              <w:left w:w="80" w:type="dxa"/>
              <w:bottom w:w="70" w:type="dxa"/>
              <w:right w:w="80" w:type="dxa"/>
            </w:tcMar>
          </w:tcPr>
          <w:p>
            <w:r>
              <w:rPr>
                <w:sz w:val="15"/>
              </w:rPr>
              <w:t>Front Desk, Kiosk, Guest &amp; Visitor Operations</w:t>
            </w:r>
          </w:p>
        </w:tc>
        <w:tc>
          <w:tcPr>
            <w:tcW w:type="dxa" w:w="1531"/>
            <w:tcMar>
              <w:top w:w="70" w:type="dxa"/>
              <w:left w:w="80" w:type="dxa"/>
              <w:bottom w:w="70" w:type="dxa"/>
              <w:right w:w="80" w:type="dxa"/>
            </w:tcMar>
          </w:tcPr>
          <w:p>
            <w:r>
              <w:rPr>
                <w:sz w:val="15"/>
              </w:rPr>
              <w:t>Resolve expired/frozen membership, failed payment, booking, waiver, guest or credential issue in context.</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OPS-04</w:t>
            </w:r>
          </w:p>
        </w:tc>
        <w:tc>
          <w:tcPr>
            <w:tcW w:type="dxa" w:w="1531"/>
            <w:tcMar>
              <w:top w:w="70" w:type="dxa"/>
              <w:left w:w="80" w:type="dxa"/>
              <w:bottom w:w="70" w:type="dxa"/>
              <w:right w:w="80" w:type="dxa"/>
            </w:tcMar>
          </w:tcPr>
          <w:p>
            <w:r>
              <w:rPr>
                <w:sz w:val="15"/>
              </w:rPr>
              <w:t>§10.21 OPS-04 Implementation Contract; §15/§16</w:t>
            </w:r>
          </w:p>
        </w:tc>
        <w:tc>
          <w:tcPr>
            <w:tcW w:type="dxa" w:w="1531"/>
            <w:tcMar>
              <w:top w:w="70" w:type="dxa"/>
              <w:left w:w="80" w:type="dxa"/>
              <w:bottom w:w="70" w:type="dxa"/>
              <w:right w:w="80" w:type="dxa"/>
            </w:tcMar>
          </w:tcPr>
          <w:p>
            <w:r>
              <w:rPr>
                <w:sz w:val="15"/>
              </w:rPr>
              <w:t>§27; INV-OPS-04; API/event contract tests; requirement OPS-04-R03</w:t>
            </w:r>
          </w:p>
        </w:tc>
        <w:tc>
          <w:tcPr>
            <w:tcW w:type="dxa" w:w="1531"/>
            <w:tcMar>
              <w:top w:w="70" w:type="dxa"/>
              <w:left w:w="80" w:type="dxa"/>
              <w:bottom w:w="70" w:type="dxa"/>
              <w:right w:w="80" w:type="dxa"/>
            </w:tcMar>
          </w:tcPr>
          <w:p>
            <w:r>
              <w:rPr>
                <w:sz w:val="15"/>
              </w:rPr>
              <w:t>§28; RB-OPS-04</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OPS-04-R04</w:t>
            </w:r>
          </w:p>
        </w:tc>
        <w:tc>
          <w:tcPr>
            <w:tcW w:type="dxa" w:w="1531"/>
            <w:tcMar>
              <w:top w:w="70" w:type="dxa"/>
              <w:left w:w="80" w:type="dxa"/>
              <w:bottom w:w="70" w:type="dxa"/>
              <w:right w:w="80" w:type="dxa"/>
            </w:tcMar>
          </w:tcPr>
          <w:p>
            <w:r>
              <w:rPr>
                <w:sz w:val="15"/>
              </w:rPr>
              <w:t>Front Desk, Kiosk, Guest &amp; Visitor Operations</w:t>
            </w:r>
          </w:p>
        </w:tc>
        <w:tc>
          <w:tcPr>
            <w:tcW w:type="dxa" w:w="1531"/>
            <w:tcMar>
              <w:top w:w="70" w:type="dxa"/>
              <w:left w:w="80" w:type="dxa"/>
              <w:bottom w:w="70" w:type="dxa"/>
              <w:right w:w="80" w:type="dxa"/>
            </w:tcMar>
          </w:tcPr>
          <w:p>
            <w:r>
              <w:rPr>
                <w:sz w:val="15"/>
              </w:rPr>
              <w:t>Walk-in, trial, day pass and guest registration with waiver, identity, payment and lead creation.</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OPS-04</w:t>
            </w:r>
          </w:p>
        </w:tc>
        <w:tc>
          <w:tcPr>
            <w:tcW w:type="dxa" w:w="1531"/>
            <w:tcMar>
              <w:top w:w="70" w:type="dxa"/>
              <w:left w:w="80" w:type="dxa"/>
              <w:bottom w:w="70" w:type="dxa"/>
              <w:right w:w="80" w:type="dxa"/>
            </w:tcMar>
          </w:tcPr>
          <w:p>
            <w:r>
              <w:rPr>
                <w:sz w:val="15"/>
              </w:rPr>
              <w:t>§10.21 OPS-04 Implementation Contract; §15/§16</w:t>
            </w:r>
          </w:p>
        </w:tc>
        <w:tc>
          <w:tcPr>
            <w:tcW w:type="dxa" w:w="1531"/>
            <w:tcMar>
              <w:top w:w="70" w:type="dxa"/>
              <w:left w:w="80" w:type="dxa"/>
              <w:bottom w:w="70" w:type="dxa"/>
              <w:right w:w="80" w:type="dxa"/>
            </w:tcMar>
          </w:tcPr>
          <w:p>
            <w:r>
              <w:rPr>
                <w:sz w:val="15"/>
              </w:rPr>
              <w:t>§27; INV-OPS-04; API/event contract tests; requirement OPS-04-R04</w:t>
            </w:r>
          </w:p>
        </w:tc>
        <w:tc>
          <w:tcPr>
            <w:tcW w:type="dxa" w:w="1531"/>
            <w:tcMar>
              <w:top w:w="70" w:type="dxa"/>
              <w:left w:w="80" w:type="dxa"/>
              <w:bottom w:w="70" w:type="dxa"/>
              <w:right w:w="80" w:type="dxa"/>
            </w:tcMar>
          </w:tcPr>
          <w:p>
            <w:r>
              <w:rPr>
                <w:sz w:val="15"/>
              </w:rPr>
              <w:t>§28; RB-OPS-04</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OPS-04-R05</w:t>
            </w:r>
          </w:p>
        </w:tc>
        <w:tc>
          <w:tcPr>
            <w:tcW w:type="dxa" w:w="1531"/>
            <w:tcMar>
              <w:top w:w="70" w:type="dxa"/>
              <w:left w:w="80" w:type="dxa"/>
              <w:bottom w:w="70" w:type="dxa"/>
              <w:right w:w="80" w:type="dxa"/>
            </w:tcMar>
          </w:tcPr>
          <w:p>
            <w:r>
              <w:rPr>
                <w:sz w:val="15"/>
              </w:rPr>
              <w:t>Front Desk, Kiosk, Guest &amp; Visitor Operations</w:t>
            </w:r>
          </w:p>
        </w:tc>
        <w:tc>
          <w:tcPr>
            <w:tcW w:type="dxa" w:w="1531"/>
            <w:tcMar>
              <w:top w:w="70" w:type="dxa"/>
              <w:left w:w="80" w:type="dxa"/>
              <w:bottom w:w="70" w:type="dxa"/>
              <w:right w:w="80" w:type="dxa"/>
            </w:tcMar>
          </w:tcPr>
          <w:p>
            <w:r>
              <w:rPr>
                <w:sz w:val="15"/>
              </w:rPr>
              <w:t>Reception mode combining check-in, bookings, POS, member actions and operational alerts.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OPS-04</w:t>
            </w:r>
          </w:p>
        </w:tc>
        <w:tc>
          <w:tcPr>
            <w:tcW w:type="dxa" w:w="1531"/>
            <w:tcMar>
              <w:top w:w="70" w:type="dxa"/>
              <w:left w:w="80" w:type="dxa"/>
              <w:bottom w:w="70" w:type="dxa"/>
              <w:right w:w="80" w:type="dxa"/>
            </w:tcMar>
          </w:tcPr>
          <w:p>
            <w:r>
              <w:rPr>
                <w:sz w:val="15"/>
              </w:rPr>
              <w:t>§10.21 OPS-04 Implementation Contract; §15/§16</w:t>
            </w:r>
          </w:p>
        </w:tc>
        <w:tc>
          <w:tcPr>
            <w:tcW w:type="dxa" w:w="1531"/>
            <w:tcMar>
              <w:top w:w="70" w:type="dxa"/>
              <w:left w:w="80" w:type="dxa"/>
              <w:bottom w:w="70" w:type="dxa"/>
              <w:right w:w="80" w:type="dxa"/>
            </w:tcMar>
          </w:tcPr>
          <w:p>
            <w:r>
              <w:rPr>
                <w:sz w:val="15"/>
              </w:rPr>
              <w:t>§27; INV-OPS-04; API/event contract tests; requirement OPS-04-R05</w:t>
            </w:r>
          </w:p>
        </w:tc>
        <w:tc>
          <w:tcPr>
            <w:tcW w:type="dxa" w:w="1531"/>
            <w:tcMar>
              <w:top w:w="70" w:type="dxa"/>
              <w:left w:w="80" w:type="dxa"/>
              <w:bottom w:w="70" w:type="dxa"/>
              <w:right w:w="80" w:type="dxa"/>
            </w:tcMar>
          </w:tcPr>
          <w:p>
            <w:r>
              <w:rPr>
                <w:sz w:val="15"/>
              </w:rPr>
              <w:t>§28; RB-OPS-04</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OPS-04-R06</w:t>
            </w:r>
          </w:p>
        </w:tc>
        <w:tc>
          <w:tcPr>
            <w:tcW w:type="dxa" w:w="1531"/>
            <w:tcMar>
              <w:top w:w="70" w:type="dxa"/>
              <w:left w:w="80" w:type="dxa"/>
              <w:bottom w:w="70" w:type="dxa"/>
              <w:right w:w="80" w:type="dxa"/>
            </w:tcMar>
          </w:tcPr>
          <w:p>
            <w:r>
              <w:rPr>
                <w:sz w:val="15"/>
              </w:rPr>
              <w:t>Front Desk, Kiosk, Guest &amp; Visitor Operations</w:t>
            </w:r>
          </w:p>
        </w:tc>
        <w:tc>
          <w:tcPr>
            <w:tcW w:type="dxa" w:w="1531"/>
            <w:tcMar>
              <w:top w:w="70" w:type="dxa"/>
              <w:left w:w="80" w:type="dxa"/>
              <w:bottom w:w="70" w:type="dxa"/>
              <w:right w:w="80" w:type="dxa"/>
            </w:tcMar>
          </w:tcPr>
          <w:p>
            <w:r>
              <w:rPr>
                <w:sz w:val="15"/>
              </w:rPr>
              <w:t>Kiosk mode for unattended check-in, renewal, day pass, waiver and guest registration.</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OPS-04</w:t>
            </w:r>
          </w:p>
        </w:tc>
        <w:tc>
          <w:tcPr>
            <w:tcW w:type="dxa" w:w="1531"/>
            <w:tcMar>
              <w:top w:w="70" w:type="dxa"/>
              <w:left w:w="80" w:type="dxa"/>
              <w:bottom w:w="70" w:type="dxa"/>
              <w:right w:w="80" w:type="dxa"/>
            </w:tcMar>
          </w:tcPr>
          <w:p>
            <w:r>
              <w:rPr>
                <w:sz w:val="15"/>
              </w:rPr>
              <w:t>§10.21 OPS-04 Implementation Contract; §15/§16</w:t>
            </w:r>
          </w:p>
        </w:tc>
        <w:tc>
          <w:tcPr>
            <w:tcW w:type="dxa" w:w="1531"/>
            <w:tcMar>
              <w:top w:w="70" w:type="dxa"/>
              <w:left w:w="80" w:type="dxa"/>
              <w:bottom w:w="70" w:type="dxa"/>
              <w:right w:w="80" w:type="dxa"/>
            </w:tcMar>
          </w:tcPr>
          <w:p>
            <w:r>
              <w:rPr>
                <w:sz w:val="15"/>
              </w:rPr>
              <w:t>§27; INV-OPS-04; API/event contract tests; requirement OPS-04-R06</w:t>
            </w:r>
          </w:p>
        </w:tc>
        <w:tc>
          <w:tcPr>
            <w:tcW w:type="dxa" w:w="1531"/>
            <w:tcMar>
              <w:top w:w="70" w:type="dxa"/>
              <w:left w:w="80" w:type="dxa"/>
              <w:bottom w:w="70" w:type="dxa"/>
              <w:right w:w="80" w:type="dxa"/>
            </w:tcMar>
          </w:tcPr>
          <w:p>
            <w:r>
              <w:rPr>
                <w:sz w:val="15"/>
              </w:rPr>
              <w:t>§28; RB-OPS-04</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OPS-04-R07</w:t>
            </w:r>
          </w:p>
        </w:tc>
        <w:tc>
          <w:tcPr>
            <w:tcW w:type="dxa" w:w="1531"/>
            <w:tcMar>
              <w:top w:w="70" w:type="dxa"/>
              <w:left w:w="80" w:type="dxa"/>
              <w:bottom w:w="70" w:type="dxa"/>
              <w:right w:w="80" w:type="dxa"/>
            </w:tcMar>
          </w:tcPr>
          <w:p>
            <w:r>
              <w:rPr>
                <w:sz w:val="15"/>
              </w:rPr>
              <w:t>Front Desk, Kiosk, Guest &amp; Visitor Operations</w:t>
            </w:r>
          </w:p>
        </w:tc>
        <w:tc>
          <w:tcPr>
            <w:tcW w:type="dxa" w:w="1531"/>
            <w:tcMar>
              <w:top w:w="70" w:type="dxa"/>
              <w:left w:w="80" w:type="dxa"/>
              <w:bottom w:w="70" w:type="dxa"/>
              <w:right w:w="80" w:type="dxa"/>
            </w:tcMar>
          </w:tcPr>
          <w:p>
            <w:r>
              <w:rPr>
                <w:sz w:val="15"/>
              </w:rPr>
              <w:t>Queue and handoff support for escalations to sales, manager, coach or finance.</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OPS-04</w:t>
            </w:r>
          </w:p>
        </w:tc>
        <w:tc>
          <w:tcPr>
            <w:tcW w:type="dxa" w:w="1531"/>
            <w:tcMar>
              <w:top w:w="70" w:type="dxa"/>
              <w:left w:w="80" w:type="dxa"/>
              <w:bottom w:w="70" w:type="dxa"/>
              <w:right w:w="80" w:type="dxa"/>
            </w:tcMar>
          </w:tcPr>
          <w:p>
            <w:r>
              <w:rPr>
                <w:sz w:val="15"/>
              </w:rPr>
              <w:t>§10.21 OPS-04 Implementation Contract; §15/§16</w:t>
            </w:r>
          </w:p>
        </w:tc>
        <w:tc>
          <w:tcPr>
            <w:tcW w:type="dxa" w:w="1531"/>
            <w:tcMar>
              <w:top w:w="70" w:type="dxa"/>
              <w:left w:w="80" w:type="dxa"/>
              <w:bottom w:w="70" w:type="dxa"/>
              <w:right w:w="80" w:type="dxa"/>
            </w:tcMar>
          </w:tcPr>
          <w:p>
            <w:r>
              <w:rPr>
                <w:sz w:val="15"/>
              </w:rPr>
              <w:t>§27; INV-OPS-04; API/event contract tests; requirement OPS-04-R07</w:t>
            </w:r>
          </w:p>
        </w:tc>
        <w:tc>
          <w:tcPr>
            <w:tcW w:type="dxa" w:w="1531"/>
            <w:tcMar>
              <w:top w:w="70" w:type="dxa"/>
              <w:left w:w="80" w:type="dxa"/>
              <w:bottom w:w="70" w:type="dxa"/>
              <w:right w:w="80" w:type="dxa"/>
            </w:tcMar>
          </w:tcPr>
          <w:p>
            <w:r>
              <w:rPr>
                <w:sz w:val="15"/>
              </w:rPr>
              <w:t>§28; RB-OPS-04</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OPS-05-R01</w:t>
            </w:r>
          </w:p>
        </w:tc>
        <w:tc>
          <w:tcPr>
            <w:tcW w:type="dxa" w:w="1531"/>
            <w:tcMar>
              <w:top w:w="70" w:type="dxa"/>
              <w:left w:w="80" w:type="dxa"/>
              <w:bottom w:w="70" w:type="dxa"/>
              <w:right w:w="80" w:type="dxa"/>
            </w:tcMar>
          </w:tcPr>
          <w:p>
            <w:r>
              <w:rPr>
                <w:sz w:val="15"/>
              </w:rPr>
              <w:t>Staff, Shifts, Attendance, Payroll &amp; Commissions</w:t>
            </w:r>
          </w:p>
        </w:tc>
        <w:tc>
          <w:tcPr>
            <w:tcW w:type="dxa" w:w="1531"/>
            <w:tcMar>
              <w:top w:w="70" w:type="dxa"/>
              <w:left w:w="80" w:type="dxa"/>
              <w:bottom w:w="70" w:type="dxa"/>
              <w:right w:w="80" w:type="dxa"/>
            </w:tcMar>
          </w:tcPr>
          <w:p>
            <w:r>
              <w:rPr>
                <w:sz w:val="15"/>
              </w:rPr>
              <w:t>Staff profile, employment/contract relationship, location assignment, qualifications and document expiry.</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OPS-05</w:t>
            </w:r>
          </w:p>
        </w:tc>
        <w:tc>
          <w:tcPr>
            <w:tcW w:type="dxa" w:w="1531"/>
            <w:tcMar>
              <w:top w:w="70" w:type="dxa"/>
              <w:left w:w="80" w:type="dxa"/>
              <w:bottom w:w="70" w:type="dxa"/>
              <w:right w:w="80" w:type="dxa"/>
            </w:tcMar>
          </w:tcPr>
          <w:p>
            <w:r>
              <w:rPr>
                <w:sz w:val="15"/>
              </w:rPr>
              <w:t>§10.22 OPS-05 Implementation Contract; §15/§16</w:t>
            </w:r>
          </w:p>
        </w:tc>
        <w:tc>
          <w:tcPr>
            <w:tcW w:type="dxa" w:w="1531"/>
            <w:tcMar>
              <w:top w:w="70" w:type="dxa"/>
              <w:left w:w="80" w:type="dxa"/>
              <w:bottom w:w="70" w:type="dxa"/>
              <w:right w:w="80" w:type="dxa"/>
            </w:tcMar>
          </w:tcPr>
          <w:p>
            <w:r>
              <w:rPr>
                <w:sz w:val="15"/>
              </w:rPr>
              <w:t>§27; INV-OPS-05; API/event contract tests; requirement OPS-05-R01</w:t>
            </w:r>
          </w:p>
        </w:tc>
        <w:tc>
          <w:tcPr>
            <w:tcW w:type="dxa" w:w="1531"/>
            <w:tcMar>
              <w:top w:w="70" w:type="dxa"/>
              <w:left w:w="80" w:type="dxa"/>
              <w:bottom w:w="70" w:type="dxa"/>
              <w:right w:w="80" w:type="dxa"/>
            </w:tcMar>
          </w:tcPr>
          <w:p>
            <w:r>
              <w:rPr>
                <w:sz w:val="15"/>
              </w:rPr>
              <w:t>§28; RB-OPS-05</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OPS-05-R02</w:t>
            </w:r>
          </w:p>
        </w:tc>
        <w:tc>
          <w:tcPr>
            <w:tcW w:type="dxa" w:w="1531"/>
            <w:tcMar>
              <w:top w:w="70" w:type="dxa"/>
              <w:left w:w="80" w:type="dxa"/>
              <w:bottom w:w="70" w:type="dxa"/>
              <w:right w:w="80" w:type="dxa"/>
            </w:tcMar>
          </w:tcPr>
          <w:p>
            <w:r>
              <w:rPr>
                <w:sz w:val="15"/>
              </w:rPr>
              <w:t>Staff, Shifts, Attendance, Payroll &amp; Commissions</w:t>
            </w:r>
          </w:p>
        </w:tc>
        <w:tc>
          <w:tcPr>
            <w:tcW w:type="dxa" w:w="1531"/>
            <w:tcMar>
              <w:top w:w="70" w:type="dxa"/>
              <w:left w:w="80" w:type="dxa"/>
              <w:bottom w:w="70" w:type="dxa"/>
              <w:right w:w="80" w:type="dxa"/>
            </w:tcMar>
          </w:tcPr>
          <w:p>
            <w:r>
              <w:rPr>
                <w:sz w:val="15"/>
              </w:rPr>
              <w:t>Shift planning, availability, clock-in/out, break, overtime, leave and substitution.</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OPS-05</w:t>
            </w:r>
          </w:p>
        </w:tc>
        <w:tc>
          <w:tcPr>
            <w:tcW w:type="dxa" w:w="1531"/>
            <w:tcMar>
              <w:top w:w="70" w:type="dxa"/>
              <w:left w:w="80" w:type="dxa"/>
              <w:bottom w:w="70" w:type="dxa"/>
              <w:right w:w="80" w:type="dxa"/>
            </w:tcMar>
          </w:tcPr>
          <w:p>
            <w:r>
              <w:rPr>
                <w:sz w:val="15"/>
              </w:rPr>
              <w:t>§10.22 OPS-05 Implementation Contract; §15/§16</w:t>
            </w:r>
          </w:p>
        </w:tc>
        <w:tc>
          <w:tcPr>
            <w:tcW w:type="dxa" w:w="1531"/>
            <w:tcMar>
              <w:top w:w="70" w:type="dxa"/>
              <w:left w:w="80" w:type="dxa"/>
              <w:bottom w:w="70" w:type="dxa"/>
              <w:right w:w="80" w:type="dxa"/>
            </w:tcMar>
          </w:tcPr>
          <w:p>
            <w:r>
              <w:rPr>
                <w:sz w:val="15"/>
              </w:rPr>
              <w:t>§27; INV-OPS-05; API/event contract tests; requirement OPS-05-R02</w:t>
            </w:r>
          </w:p>
        </w:tc>
        <w:tc>
          <w:tcPr>
            <w:tcW w:type="dxa" w:w="1531"/>
            <w:tcMar>
              <w:top w:w="70" w:type="dxa"/>
              <w:left w:w="80" w:type="dxa"/>
              <w:bottom w:w="70" w:type="dxa"/>
              <w:right w:w="80" w:type="dxa"/>
            </w:tcMar>
          </w:tcPr>
          <w:p>
            <w:r>
              <w:rPr>
                <w:sz w:val="15"/>
              </w:rPr>
              <w:t>§28; RB-OPS-05</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OPS-05-R03</w:t>
            </w:r>
          </w:p>
        </w:tc>
        <w:tc>
          <w:tcPr>
            <w:tcW w:type="dxa" w:w="1531"/>
            <w:tcMar>
              <w:top w:w="70" w:type="dxa"/>
              <w:left w:w="80" w:type="dxa"/>
              <w:bottom w:w="70" w:type="dxa"/>
              <w:right w:w="80" w:type="dxa"/>
            </w:tcMar>
          </w:tcPr>
          <w:p>
            <w:r>
              <w:rPr>
                <w:sz w:val="15"/>
              </w:rPr>
              <w:t>Staff, Shifts, Attendance, Payroll &amp; Commissions</w:t>
            </w:r>
          </w:p>
        </w:tc>
        <w:tc>
          <w:tcPr>
            <w:tcW w:type="dxa" w:w="1531"/>
            <w:tcMar>
              <w:top w:w="70" w:type="dxa"/>
              <w:left w:w="80" w:type="dxa"/>
              <w:bottom w:w="70" w:type="dxa"/>
              <w:right w:w="80" w:type="dxa"/>
            </w:tcMar>
          </w:tcPr>
          <w:p>
            <w:r>
              <w:rPr>
                <w:sz w:val="15"/>
              </w:rPr>
              <w:t>Optional biometric attendance separated from member-access enrollment and policy.</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OPS-05</w:t>
            </w:r>
          </w:p>
        </w:tc>
        <w:tc>
          <w:tcPr>
            <w:tcW w:type="dxa" w:w="1531"/>
            <w:tcMar>
              <w:top w:w="70" w:type="dxa"/>
              <w:left w:w="80" w:type="dxa"/>
              <w:bottom w:w="70" w:type="dxa"/>
              <w:right w:w="80" w:type="dxa"/>
            </w:tcMar>
          </w:tcPr>
          <w:p>
            <w:r>
              <w:rPr>
                <w:sz w:val="15"/>
              </w:rPr>
              <w:t>§10.22 OPS-05 Implementation Contract; §15/§16</w:t>
            </w:r>
          </w:p>
        </w:tc>
        <w:tc>
          <w:tcPr>
            <w:tcW w:type="dxa" w:w="1531"/>
            <w:tcMar>
              <w:top w:w="70" w:type="dxa"/>
              <w:left w:w="80" w:type="dxa"/>
              <w:bottom w:w="70" w:type="dxa"/>
              <w:right w:w="80" w:type="dxa"/>
            </w:tcMar>
          </w:tcPr>
          <w:p>
            <w:r>
              <w:rPr>
                <w:sz w:val="15"/>
              </w:rPr>
              <w:t>§27; INV-OPS-05; API/event contract tests; requirement OPS-05-R03</w:t>
            </w:r>
          </w:p>
        </w:tc>
        <w:tc>
          <w:tcPr>
            <w:tcW w:type="dxa" w:w="1531"/>
            <w:tcMar>
              <w:top w:w="70" w:type="dxa"/>
              <w:left w:w="80" w:type="dxa"/>
              <w:bottom w:w="70" w:type="dxa"/>
              <w:right w:w="80" w:type="dxa"/>
            </w:tcMar>
          </w:tcPr>
          <w:p>
            <w:r>
              <w:rPr>
                <w:sz w:val="15"/>
              </w:rPr>
              <w:t>§28; RB-OPS-05</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OPS-05-R04</w:t>
            </w:r>
          </w:p>
        </w:tc>
        <w:tc>
          <w:tcPr>
            <w:tcW w:type="dxa" w:w="1531"/>
            <w:tcMar>
              <w:top w:w="70" w:type="dxa"/>
              <w:left w:w="80" w:type="dxa"/>
              <w:bottom w:w="70" w:type="dxa"/>
              <w:right w:w="80" w:type="dxa"/>
            </w:tcMar>
          </w:tcPr>
          <w:p>
            <w:r>
              <w:rPr>
                <w:sz w:val="15"/>
              </w:rPr>
              <w:t>Staff, Shifts, Attendance, Payroll &amp; Commissions</w:t>
            </w:r>
          </w:p>
        </w:tc>
        <w:tc>
          <w:tcPr>
            <w:tcW w:type="dxa" w:w="1531"/>
            <w:tcMar>
              <w:top w:w="70" w:type="dxa"/>
              <w:left w:w="80" w:type="dxa"/>
              <w:bottom w:w="70" w:type="dxa"/>
              <w:right w:w="80" w:type="dxa"/>
            </w:tcMar>
          </w:tcPr>
          <w:p>
            <w:r>
              <w:rPr>
                <w:sz w:val="15"/>
              </w:rPr>
              <w:t>Coach session completion, class delivery, sales, lead handling, tasks, NPS and retention metrics.</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OPS-05</w:t>
            </w:r>
          </w:p>
        </w:tc>
        <w:tc>
          <w:tcPr>
            <w:tcW w:type="dxa" w:w="1531"/>
            <w:tcMar>
              <w:top w:w="70" w:type="dxa"/>
              <w:left w:w="80" w:type="dxa"/>
              <w:bottom w:w="70" w:type="dxa"/>
              <w:right w:w="80" w:type="dxa"/>
            </w:tcMar>
          </w:tcPr>
          <w:p>
            <w:r>
              <w:rPr>
                <w:sz w:val="15"/>
              </w:rPr>
              <w:t>§10.22 OPS-05 Implementation Contract; §15/§16</w:t>
            </w:r>
          </w:p>
        </w:tc>
        <w:tc>
          <w:tcPr>
            <w:tcW w:type="dxa" w:w="1531"/>
            <w:tcMar>
              <w:top w:w="70" w:type="dxa"/>
              <w:left w:w="80" w:type="dxa"/>
              <w:bottom w:w="70" w:type="dxa"/>
              <w:right w:w="80" w:type="dxa"/>
            </w:tcMar>
          </w:tcPr>
          <w:p>
            <w:r>
              <w:rPr>
                <w:sz w:val="15"/>
              </w:rPr>
              <w:t>§27; INV-OPS-05; API/event contract tests; requirement OPS-05-R04</w:t>
            </w:r>
          </w:p>
        </w:tc>
        <w:tc>
          <w:tcPr>
            <w:tcW w:type="dxa" w:w="1531"/>
            <w:tcMar>
              <w:top w:w="70" w:type="dxa"/>
              <w:left w:w="80" w:type="dxa"/>
              <w:bottom w:w="70" w:type="dxa"/>
              <w:right w:w="80" w:type="dxa"/>
            </w:tcMar>
          </w:tcPr>
          <w:p>
            <w:r>
              <w:rPr>
                <w:sz w:val="15"/>
              </w:rPr>
              <w:t>§28; RB-OPS-05</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OPS-05-R05</w:t>
            </w:r>
          </w:p>
        </w:tc>
        <w:tc>
          <w:tcPr>
            <w:tcW w:type="dxa" w:w="1531"/>
            <w:tcMar>
              <w:top w:w="70" w:type="dxa"/>
              <w:left w:w="80" w:type="dxa"/>
              <w:bottom w:w="70" w:type="dxa"/>
              <w:right w:w="80" w:type="dxa"/>
            </w:tcMar>
          </w:tcPr>
          <w:p>
            <w:r>
              <w:rPr>
                <w:sz w:val="15"/>
              </w:rPr>
              <w:t>Staff, Shifts, Attendance, Payroll &amp; Commissions</w:t>
            </w:r>
          </w:p>
        </w:tc>
        <w:tc>
          <w:tcPr>
            <w:tcW w:type="dxa" w:w="1531"/>
            <w:tcMar>
              <w:top w:w="70" w:type="dxa"/>
              <w:left w:w="80" w:type="dxa"/>
              <w:bottom w:w="70" w:type="dxa"/>
              <w:right w:w="80" w:type="dxa"/>
            </w:tcMar>
          </w:tcPr>
          <w:p>
            <w:r>
              <w:rPr>
                <w:sz w:val="15"/>
              </w:rPr>
              <w:t>Compensation rules for base, hourly, per-session, class, tiered commission, bonus and deduction.</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OPS-05</w:t>
            </w:r>
          </w:p>
        </w:tc>
        <w:tc>
          <w:tcPr>
            <w:tcW w:type="dxa" w:w="1531"/>
            <w:tcMar>
              <w:top w:w="70" w:type="dxa"/>
              <w:left w:w="80" w:type="dxa"/>
              <w:bottom w:w="70" w:type="dxa"/>
              <w:right w:w="80" w:type="dxa"/>
            </w:tcMar>
          </w:tcPr>
          <w:p>
            <w:r>
              <w:rPr>
                <w:sz w:val="15"/>
              </w:rPr>
              <w:t>§10.22 OPS-05 Implementation Contract; §15/§16</w:t>
            </w:r>
          </w:p>
        </w:tc>
        <w:tc>
          <w:tcPr>
            <w:tcW w:type="dxa" w:w="1531"/>
            <w:tcMar>
              <w:top w:w="70" w:type="dxa"/>
              <w:left w:w="80" w:type="dxa"/>
              <w:bottom w:w="70" w:type="dxa"/>
              <w:right w:w="80" w:type="dxa"/>
            </w:tcMar>
          </w:tcPr>
          <w:p>
            <w:r>
              <w:rPr>
                <w:sz w:val="15"/>
              </w:rPr>
              <w:t>§27; INV-OPS-05; API/event contract tests; requirement OPS-05-R05</w:t>
            </w:r>
          </w:p>
        </w:tc>
        <w:tc>
          <w:tcPr>
            <w:tcW w:type="dxa" w:w="1531"/>
            <w:tcMar>
              <w:top w:w="70" w:type="dxa"/>
              <w:left w:w="80" w:type="dxa"/>
              <w:bottom w:w="70" w:type="dxa"/>
              <w:right w:w="80" w:type="dxa"/>
            </w:tcMar>
          </w:tcPr>
          <w:p>
            <w:r>
              <w:rPr>
                <w:sz w:val="15"/>
              </w:rPr>
              <w:t>§28; RB-OPS-05</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OPS-05-R06</w:t>
            </w:r>
          </w:p>
        </w:tc>
        <w:tc>
          <w:tcPr>
            <w:tcW w:type="dxa" w:w="1531"/>
            <w:tcMar>
              <w:top w:w="70" w:type="dxa"/>
              <w:left w:w="80" w:type="dxa"/>
              <w:bottom w:w="70" w:type="dxa"/>
              <w:right w:w="80" w:type="dxa"/>
            </w:tcMar>
          </w:tcPr>
          <w:p>
            <w:r>
              <w:rPr>
                <w:sz w:val="15"/>
              </w:rPr>
              <w:t>Staff, Shifts, Attendance, Payroll &amp; Commissions</w:t>
            </w:r>
          </w:p>
        </w:tc>
        <w:tc>
          <w:tcPr>
            <w:tcW w:type="dxa" w:w="1531"/>
            <w:tcMar>
              <w:top w:w="70" w:type="dxa"/>
              <w:left w:w="80" w:type="dxa"/>
              <w:bottom w:w="70" w:type="dxa"/>
              <w:right w:w="80" w:type="dxa"/>
            </w:tcMar>
          </w:tcPr>
          <w:p>
            <w:r>
              <w:rPr>
                <w:sz w:val="15"/>
              </w:rPr>
              <w:t>Payroll preview, exception review, approval, lock and export to payroll/accounting.</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OPS-05</w:t>
            </w:r>
          </w:p>
        </w:tc>
        <w:tc>
          <w:tcPr>
            <w:tcW w:type="dxa" w:w="1531"/>
            <w:tcMar>
              <w:top w:w="70" w:type="dxa"/>
              <w:left w:w="80" w:type="dxa"/>
              <w:bottom w:w="70" w:type="dxa"/>
              <w:right w:w="80" w:type="dxa"/>
            </w:tcMar>
          </w:tcPr>
          <w:p>
            <w:r>
              <w:rPr>
                <w:sz w:val="15"/>
              </w:rPr>
              <w:t>§10.22 OPS-05 Implementation Contract; §15/§16</w:t>
            </w:r>
          </w:p>
        </w:tc>
        <w:tc>
          <w:tcPr>
            <w:tcW w:type="dxa" w:w="1531"/>
            <w:tcMar>
              <w:top w:w="70" w:type="dxa"/>
              <w:left w:w="80" w:type="dxa"/>
              <w:bottom w:w="70" w:type="dxa"/>
              <w:right w:w="80" w:type="dxa"/>
            </w:tcMar>
          </w:tcPr>
          <w:p>
            <w:r>
              <w:rPr>
                <w:sz w:val="15"/>
              </w:rPr>
              <w:t>§27; INV-OPS-05; API/event contract tests; requirement OPS-05-R06</w:t>
            </w:r>
          </w:p>
        </w:tc>
        <w:tc>
          <w:tcPr>
            <w:tcW w:type="dxa" w:w="1531"/>
            <w:tcMar>
              <w:top w:w="70" w:type="dxa"/>
              <w:left w:w="80" w:type="dxa"/>
              <w:bottom w:w="70" w:type="dxa"/>
              <w:right w:w="80" w:type="dxa"/>
            </w:tcMar>
          </w:tcPr>
          <w:p>
            <w:r>
              <w:rPr>
                <w:sz w:val="15"/>
              </w:rPr>
              <w:t>§28; RB-OPS-05</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OPS-05-R07</w:t>
            </w:r>
          </w:p>
        </w:tc>
        <w:tc>
          <w:tcPr>
            <w:tcW w:type="dxa" w:w="1531"/>
            <w:tcMar>
              <w:top w:w="70" w:type="dxa"/>
              <w:left w:w="80" w:type="dxa"/>
              <w:bottom w:w="70" w:type="dxa"/>
              <w:right w:w="80" w:type="dxa"/>
            </w:tcMar>
          </w:tcPr>
          <w:p>
            <w:r>
              <w:rPr>
                <w:sz w:val="15"/>
              </w:rPr>
              <w:t>Staff, Shifts, Attendance, Payroll &amp; Commissions</w:t>
            </w:r>
          </w:p>
        </w:tc>
        <w:tc>
          <w:tcPr>
            <w:tcW w:type="dxa" w:w="1531"/>
            <w:tcMar>
              <w:top w:w="70" w:type="dxa"/>
              <w:left w:w="80" w:type="dxa"/>
              <w:bottom w:w="70" w:type="dxa"/>
              <w:right w:w="80" w:type="dxa"/>
            </w:tcMar>
          </w:tcPr>
          <w:p>
            <w:r>
              <w:rPr>
                <w:sz w:val="15"/>
              </w:rPr>
              <w:t>Separation between performance coaching and protected HR information.</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OPS-05</w:t>
            </w:r>
          </w:p>
        </w:tc>
        <w:tc>
          <w:tcPr>
            <w:tcW w:type="dxa" w:w="1531"/>
            <w:tcMar>
              <w:top w:w="70" w:type="dxa"/>
              <w:left w:w="80" w:type="dxa"/>
              <w:bottom w:w="70" w:type="dxa"/>
              <w:right w:w="80" w:type="dxa"/>
            </w:tcMar>
          </w:tcPr>
          <w:p>
            <w:r>
              <w:rPr>
                <w:sz w:val="15"/>
              </w:rPr>
              <w:t>§10.22 OPS-05 Implementation Contract; §15/§16</w:t>
            </w:r>
          </w:p>
        </w:tc>
        <w:tc>
          <w:tcPr>
            <w:tcW w:type="dxa" w:w="1531"/>
            <w:tcMar>
              <w:top w:w="70" w:type="dxa"/>
              <w:left w:w="80" w:type="dxa"/>
              <w:bottom w:w="70" w:type="dxa"/>
              <w:right w:w="80" w:type="dxa"/>
            </w:tcMar>
          </w:tcPr>
          <w:p>
            <w:r>
              <w:rPr>
                <w:sz w:val="15"/>
              </w:rPr>
              <w:t>§27; INV-OPS-05; API/event contract tests; requirement OPS-05-R07</w:t>
            </w:r>
          </w:p>
        </w:tc>
        <w:tc>
          <w:tcPr>
            <w:tcW w:type="dxa" w:w="1531"/>
            <w:tcMar>
              <w:top w:w="70" w:type="dxa"/>
              <w:left w:w="80" w:type="dxa"/>
              <w:bottom w:w="70" w:type="dxa"/>
              <w:right w:w="80" w:type="dxa"/>
            </w:tcMar>
          </w:tcPr>
          <w:p>
            <w:r>
              <w:rPr>
                <w:sz w:val="15"/>
              </w:rPr>
              <w:t>§28; RB-OPS-05</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OPS-06-R01</w:t>
            </w:r>
          </w:p>
        </w:tc>
        <w:tc>
          <w:tcPr>
            <w:tcW w:type="dxa" w:w="1531"/>
            <w:tcMar>
              <w:top w:w="70" w:type="dxa"/>
              <w:left w:w="80" w:type="dxa"/>
              <w:bottom w:w="70" w:type="dxa"/>
              <w:right w:w="80" w:type="dxa"/>
            </w:tcMar>
          </w:tcPr>
          <w:p>
            <w:r>
              <w:rPr>
                <w:sz w:val="15"/>
              </w:rPr>
              <w:t>Facilities, Equipment, Assets &amp; Maintenance</w:t>
            </w:r>
          </w:p>
        </w:tc>
        <w:tc>
          <w:tcPr>
            <w:tcW w:type="dxa" w:w="1531"/>
            <w:tcMar>
              <w:top w:w="70" w:type="dxa"/>
              <w:left w:w="80" w:type="dxa"/>
              <w:bottom w:w="70" w:type="dxa"/>
              <w:right w:w="80" w:type="dxa"/>
            </w:tcMar>
          </w:tcPr>
          <w:p>
            <w:r>
              <w:rPr>
                <w:sz w:val="15"/>
              </w:rPr>
              <w:t>Asset register for equipment, rooms, zones, lockers, access devices, kiosks and POS hardware.</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V2 Platform</w:t>
            </w:r>
          </w:p>
        </w:tc>
        <w:tc>
          <w:tcPr>
            <w:tcW w:type="dxa" w:w="1531"/>
            <w:tcMar>
              <w:top w:w="70" w:type="dxa"/>
              <w:left w:w="80" w:type="dxa"/>
              <w:bottom w:w="70" w:type="dxa"/>
              <w:right w:w="80" w:type="dxa"/>
            </w:tcMar>
          </w:tcPr>
          <w:p>
            <w:r>
              <w:rPr>
                <w:sz w:val="15"/>
              </w:rPr>
              <w:t>OPS-06</w:t>
            </w:r>
          </w:p>
        </w:tc>
        <w:tc>
          <w:tcPr>
            <w:tcW w:type="dxa" w:w="1531"/>
            <w:tcMar>
              <w:top w:w="70" w:type="dxa"/>
              <w:left w:w="80" w:type="dxa"/>
              <w:bottom w:w="70" w:type="dxa"/>
              <w:right w:w="80" w:type="dxa"/>
            </w:tcMar>
          </w:tcPr>
          <w:p>
            <w:r>
              <w:rPr>
                <w:sz w:val="15"/>
              </w:rPr>
              <w:t>§10.23 OPS-06 Implementation Contract; §15/§16</w:t>
            </w:r>
          </w:p>
        </w:tc>
        <w:tc>
          <w:tcPr>
            <w:tcW w:type="dxa" w:w="1531"/>
            <w:tcMar>
              <w:top w:w="70" w:type="dxa"/>
              <w:left w:w="80" w:type="dxa"/>
              <w:bottom w:w="70" w:type="dxa"/>
              <w:right w:w="80" w:type="dxa"/>
            </w:tcMar>
          </w:tcPr>
          <w:p>
            <w:r>
              <w:rPr>
                <w:sz w:val="15"/>
              </w:rPr>
              <w:t>§27; INV-OPS-06; API/event contract tests; requirement OPS-06-R01</w:t>
            </w:r>
          </w:p>
        </w:tc>
        <w:tc>
          <w:tcPr>
            <w:tcW w:type="dxa" w:w="1531"/>
            <w:tcMar>
              <w:top w:w="70" w:type="dxa"/>
              <w:left w:w="80" w:type="dxa"/>
              <w:bottom w:w="70" w:type="dxa"/>
              <w:right w:w="80" w:type="dxa"/>
            </w:tcMar>
          </w:tcPr>
          <w:p>
            <w:r>
              <w:rPr>
                <w:sz w:val="15"/>
              </w:rPr>
              <w:t>§28; RB-OPS-06</w:t>
            </w:r>
          </w:p>
        </w:tc>
        <w:tc>
          <w:tcPr>
            <w:tcW w:type="dxa" w:w="1531"/>
            <w:tcMar>
              <w:top w:w="70" w:type="dxa"/>
              <w:left w:w="80" w:type="dxa"/>
              <w:bottom w:w="70" w:type="dxa"/>
              <w:right w:w="80" w:type="dxa"/>
            </w:tcMar>
          </w:tcPr>
          <w:p>
            <w:r>
              <w:rPr>
                <w:sz w:val="15"/>
              </w:rPr>
              <w:t>DEFERRED - V2 Platform</w:t>
            </w:r>
          </w:p>
        </w:tc>
      </w:tr>
      <w:tr>
        <w:tc>
          <w:tcPr>
            <w:tcW w:type="dxa" w:w="1531"/>
            <w:tcMar>
              <w:top w:w="70" w:type="dxa"/>
              <w:left w:w="80" w:type="dxa"/>
              <w:bottom w:w="70" w:type="dxa"/>
              <w:right w:w="80" w:type="dxa"/>
            </w:tcMar>
          </w:tcPr>
          <w:p>
            <w:r>
              <w:rPr>
                <w:sz w:val="15"/>
              </w:rPr>
              <w:t>OPS-06-R02</w:t>
            </w:r>
          </w:p>
        </w:tc>
        <w:tc>
          <w:tcPr>
            <w:tcW w:type="dxa" w:w="1531"/>
            <w:tcMar>
              <w:top w:w="70" w:type="dxa"/>
              <w:left w:w="80" w:type="dxa"/>
              <w:bottom w:w="70" w:type="dxa"/>
              <w:right w:w="80" w:type="dxa"/>
            </w:tcMar>
          </w:tcPr>
          <w:p>
            <w:r>
              <w:rPr>
                <w:sz w:val="15"/>
              </w:rPr>
              <w:t>Facilities, Equipment, Assets &amp; Maintenance</w:t>
            </w:r>
          </w:p>
        </w:tc>
        <w:tc>
          <w:tcPr>
            <w:tcW w:type="dxa" w:w="1531"/>
            <w:tcMar>
              <w:top w:w="70" w:type="dxa"/>
              <w:left w:w="80" w:type="dxa"/>
              <w:bottom w:w="70" w:type="dxa"/>
              <w:right w:w="80" w:type="dxa"/>
            </w:tcMar>
          </w:tcPr>
          <w:p>
            <w:r>
              <w:rPr>
                <w:sz w:val="15"/>
              </w:rPr>
              <w:t>QR/NFC asset labels for member/staff issue reporting and technician context.</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V2 Platform</w:t>
            </w:r>
          </w:p>
        </w:tc>
        <w:tc>
          <w:tcPr>
            <w:tcW w:type="dxa" w:w="1531"/>
            <w:tcMar>
              <w:top w:w="70" w:type="dxa"/>
              <w:left w:w="80" w:type="dxa"/>
              <w:bottom w:w="70" w:type="dxa"/>
              <w:right w:w="80" w:type="dxa"/>
            </w:tcMar>
          </w:tcPr>
          <w:p>
            <w:r>
              <w:rPr>
                <w:sz w:val="15"/>
              </w:rPr>
              <w:t>OPS-06</w:t>
            </w:r>
          </w:p>
        </w:tc>
        <w:tc>
          <w:tcPr>
            <w:tcW w:type="dxa" w:w="1531"/>
            <w:tcMar>
              <w:top w:w="70" w:type="dxa"/>
              <w:left w:w="80" w:type="dxa"/>
              <w:bottom w:w="70" w:type="dxa"/>
              <w:right w:w="80" w:type="dxa"/>
            </w:tcMar>
          </w:tcPr>
          <w:p>
            <w:r>
              <w:rPr>
                <w:sz w:val="15"/>
              </w:rPr>
              <w:t>§10.23 OPS-06 Implementation Contract; §15/§16</w:t>
            </w:r>
          </w:p>
        </w:tc>
        <w:tc>
          <w:tcPr>
            <w:tcW w:type="dxa" w:w="1531"/>
            <w:tcMar>
              <w:top w:w="70" w:type="dxa"/>
              <w:left w:w="80" w:type="dxa"/>
              <w:bottom w:w="70" w:type="dxa"/>
              <w:right w:w="80" w:type="dxa"/>
            </w:tcMar>
          </w:tcPr>
          <w:p>
            <w:r>
              <w:rPr>
                <w:sz w:val="15"/>
              </w:rPr>
              <w:t>§27; INV-OPS-06; API/event contract tests; requirement OPS-06-R02</w:t>
            </w:r>
          </w:p>
        </w:tc>
        <w:tc>
          <w:tcPr>
            <w:tcW w:type="dxa" w:w="1531"/>
            <w:tcMar>
              <w:top w:w="70" w:type="dxa"/>
              <w:left w:w="80" w:type="dxa"/>
              <w:bottom w:w="70" w:type="dxa"/>
              <w:right w:w="80" w:type="dxa"/>
            </w:tcMar>
          </w:tcPr>
          <w:p>
            <w:r>
              <w:rPr>
                <w:sz w:val="15"/>
              </w:rPr>
              <w:t>§28; RB-OPS-06</w:t>
            </w:r>
          </w:p>
        </w:tc>
        <w:tc>
          <w:tcPr>
            <w:tcW w:type="dxa" w:w="1531"/>
            <w:tcMar>
              <w:top w:w="70" w:type="dxa"/>
              <w:left w:w="80" w:type="dxa"/>
              <w:bottom w:w="70" w:type="dxa"/>
              <w:right w:w="80" w:type="dxa"/>
            </w:tcMar>
          </w:tcPr>
          <w:p>
            <w:r>
              <w:rPr>
                <w:sz w:val="15"/>
              </w:rPr>
              <w:t>DEFERRED - V2 Platform</w:t>
            </w:r>
          </w:p>
        </w:tc>
      </w:tr>
      <w:tr>
        <w:tc>
          <w:tcPr>
            <w:tcW w:type="dxa" w:w="1531"/>
            <w:tcMar>
              <w:top w:w="70" w:type="dxa"/>
              <w:left w:w="80" w:type="dxa"/>
              <w:bottom w:w="70" w:type="dxa"/>
              <w:right w:w="80" w:type="dxa"/>
            </w:tcMar>
          </w:tcPr>
          <w:p>
            <w:r>
              <w:rPr>
                <w:sz w:val="15"/>
              </w:rPr>
              <w:t>OPS-06-R03</w:t>
            </w:r>
          </w:p>
        </w:tc>
        <w:tc>
          <w:tcPr>
            <w:tcW w:type="dxa" w:w="1531"/>
            <w:tcMar>
              <w:top w:w="70" w:type="dxa"/>
              <w:left w:w="80" w:type="dxa"/>
              <w:bottom w:w="70" w:type="dxa"/>
              <w:right w:w="80" w:type="dxa"/>
            </w:tcMar>
          </w:tcPr>
          <w:p>
            <w:r>
              <w:rPr>
                <w:sz w:val="15"/>
              </w:rPr>
              <w:t>Facilities, Equipment, Assets &amp; Maintenance</w:t>
            </w:r>
          </w:p>
        </w:tc>
        <w:tc>
          <w:tcPr>
            <w:tcW w:type="dxa" w:w="1531"/>
            <w:tcMar>
              <w:top w:w="70" w:type="dxa"/>
              <w:left w:w="80" w:type="dxa"/>
              <w:bottom w:w="70" w:type="dxa"/>
              <w:right w:w="80" w:type="dxa"/>
            </w:tcMar>
          </w:tcPr>
          <w:p>
            <w:r>
              <w:rPr>
                <w:sz w:val="15"/>
              </w:rPr>
              <w:t>Preventive maintenance schedules, inspection checklists, warranties, service contracts and compliance dates.</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V2 Platform</w:t>
            </w:r>
          </w:p>
        </w:tc>
        <w:tc>
          <w:tcPr>
            <w:tcW w:type="dxa" w:w="1531"/>
            <w:tcMar>
              <w:top w:w="70" w:type="dxa"/>
              <w:left w:w="80" w:type="dxa"/>
              <w:bottom w:w="70" w:type="dxa"/>
              <w:right w:w="80" w:type="dxa"/>
            </w:tcMar>
          </w:tcPr>
          <w:p>
            <w:r>
              <w:rPr>
                <w:sz w:val="15"/>
              </w:rPr>
              <w:t>OPS-06</w:t>
            </w:r>
          </w:p>
        </w:tc>
        <w:tc>
          <w:tcPr>
            <w:tcW w:type="dxa" w:w="1531"/>
            <w:tcMar>
              <w:top w:w="70" w:type="dxa"/>
              <w:left w:w="80" w:type="dxa"/>
              <w:bottom w:w="70" w:type="dxa"/>
              <w:right w:w="80" w:type="dxa"/>
            </w:tcMar>
          </w:tcPr>
          <w:p>
            <w:r>
              <w:rPr>
                <w:sz w:val="15"/>
              </w:rPr>
              <w:t>§10.23 OPS-06 Implementation Contract; §15/§16</w:t>
            </w:r>
          </w:p>
        </w:tc>
        <w:tc>
          <w:tcPr>
            <w:tcW w:type="dxa" w:w="1531"/>
            <w:tcMar>
              <w:top w:w="70" w:type="dxa"/>
              <w:left w:w="80" w:type="dxa"/>
              <w:bottom w:w="70" w:type="dxa"/>
              <w:right w:w="80" w:type="dxa"/>
            </w:tcMar>
          </w:tcPr>
          <w:p>
            <w:r>
              <w:rPr>
                <w:sz w:val="15"/>
              </w:rPr>
              <w:t>§27; INV-OPS-06; API/event contract tests; requirement OPS-06-R03</w:t>
            </w:r>
          </w:p>
        </w:tc>
        <w:tc>
          <w:tcPr>
            <w:tcW w:type="dxa" w:w="1531"/>
            <w:tcMar>
              <w:top w:w="70" w:type="dxa"/>
              <w:left w:w="80" w:type="dxa"/>
              <w:bottom w:w="70" w:type="dxa"/>
              <w:right w:w="80" w:type="dxa"/>
            </w:tcMar>
          </w:tcPr>
          <w:p>
            <w:r>
              <w:rPr>
                <w:sz w:val="15"/>
              </w:rPr>
              <w:t>§28; RB-OPS-06</w:t>
            </w:r>
          </w:p>
        </w:tc>
        <w:tc>
          <w:tcPr>
            <w:tcW w:type="dxa" w:w="1531"/>
            <w:tcMar>
              <w:top w:w="70" w:type="dxa"/>
              <w:left w:w="80" w:type="dxa"/>
              <w:bottom w:w="70" w:type="dxa"/>
              <w:right w:w="80" w:type="dxa"/>
            </w:tcMar>
          </w:tcPr>
          <w:p>
            <w:r>
              <w:rPr>
                <w:sz w:val="15"/>
              </w:rPr>
              <w:t>DEFERRED - V2 Platform</w:t>
            </w:r>
          </w:p>
        </w:tc>
      </w:tr>
      <w:tr>
        <w:tc>
          <w:tcPr>
            <w:tcW w:type="dxa" w:w="1531"/>
            <w:tcMar>
              <w:top w:w="70" w:type="dxa"/>
              <w:left w:w="80" w:type="dxa"/>
              <w:bottom w:w="70" w:type="dxa"/>
              <w:right w:w="80" w:type="dxa"/>
            </w:tcMar>
          </w:tcPr>
          <w:p>
            <w:r>
              <w:rPr>
                <w:sz w:val="15"/>
              </w:rPr>
              <w:t>OPS-06-R04</w:t>
            </w:r>
          </w:p>
        </w:tc>
        <w:tc>
          <w:tcPr>
            <w:tcW w:type="dxa" w:w="1531"/>
            <w:tcMar>
              <w:top w:w="70" w:type="dxa"/>
              <w:left w:w="80" w:type="dxa"/>
              <w:bottom w:w="70" w:type="dxa"/>
              <w:right w:w="80" w:type="dxa"/>
            </w:tcMar>
          </w:tcPr>
          <w:p>
            <w:r>
              <w:rPr>
                <w:sz w:val="15"/>
              </w:rPr>
              <w:t>Facilities, Equipment, Assets &amp; Maintenance</w:t>
            </w:r>
          </w:p>
        </w:tc>
        <w:tc>
          <w:tcPr>
            <w:tcW w:type="dxa" w:w="1531"/>
            <w:tcMar>
              <w:top w:w="70" w:type="dxa"/>
              <w:left w:w="80" w:type="dxa"/>
              <w:bottom w:w="70" w:type="dxa"/>
              <w:right w:w="80" w:type="dxa"/>
            </w:tcMar>
          </w:tcPr>
          <w:p>
            <w:r>
              <w:rPr>
                <w:sz w:val="15"/>
              </w:rPr>
              <w:t>Issue triage, severity, safety isolation, work order, parts, downtime and resolution evidence.</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V2 Platform</w:t>
            </w:r>
          </w:p>
        </w:tc>
        <w:tc>
          <w:tcPr>
            <w:tcW w:type="dxa" w:w="1531"/>
            <w:tcMar>
              <w:top w:w="70" w:type="dxa"/>
              <w:left w:w="80" w:type="dxa"/>
              <w:bottom w:w="70" w:type="dxa"/>
              <w:right w:w="80" w:type="dxa"/>
            </w:tcMar>
          </w:tcPr>
          <w:p>
            <w:r>
              <w:rPr>
                <w:sz w:val="15"/>
              </w:rPr>
              <w:t>OPS-06</w:t>
            </w:r>
          </w:p>
        </w:tc>
        <w:tc>
          <w:tcPr>
            <w:tcW w:type="dxa" w:w="1531"/>
            <w:tcMar>
              <w:top w:w="70" w:type="dxa"/>
              <w:left w:w="80" w:type="dxa"/>
              <w:bottom w:w="70" w:type="dxa"/>
              <w:right w:w="80" w:type="dxa"/>
            </w:tcMar>
          </w:tcPr>
          <w:p>
            <w:r>
              <w:rPr>
                <w:sz w:val="15"/>
              </w:rPr>
              <w:t>§10.23 OPS-06 Implementation Contract; §15/§16</w:t>
            </w:r>
          </w:p>
        </w:tc>
        <w:tc>
          <w:tcPr>
            <w:tcW w:type="dxa" w:w="1531"/>
            <w:tcMar>
              <w:top w:w="70" w:type="dxa"/>
              <w:left w:w="80" w:type="dxa"/>
              <w:bottom w:w="70" w:type="dxa"/>
              <w:right w:w="80" w:type="dxa"/>
            </w:tcMar>
          </w:tcPr>
          <w:p>
            <w:r>
              <w:rPr>
                <w:sz w:val="15"/>
              </w:rPr>
              <w:t>§27; INV-OPS-06; API/event contract tests; requirement OPS-06-R04</w:t>
            </w:r>
          </w:p>
        </w:tc>
        <w:tc>
          <w:tcPr>
            <w:tcW w:type="dxa" w:w="1531"/>
            <w:tcMar>
              <w:top w:w="70" w:type="dxa"/>
              <w:left w:w="80" w:type="dxa"/>
              <w:bottom w:w="70" w:type="dxa"/>
              <w:right w:w="80" w:type="dxa"/>
            </w:tcMar>
          </w:tcPr>
          <w:p>
            <w:r>
              <w:rPr>
                <w:sz w:val="15"/>
              </w:rPr>
              <w:t>§28; RB-OPS-06</w:t>
            </w:r>
          </w:p>
        </w:tc>
        <w:tc>
          <w:tcPr>
            <w:tcW w:type="dxa" w:w="1531"/>
            <w:tcMar>
              <w:top w:w="70" w:type="dxa"/>
              <w:left w:w="80" w:type="dxa"/>
              <w:bottom w:w="70" w:type="dxa"/>
              <w:right w:w="80" w:type="dxa"/>
            </w:tcMar>
          </w:tcPr>
          <w:p>
            <w:r>
              <w:rPr>
                <w:sz w:val="15"/>
              </w:rPr>
              <w:t>DEFERRED - V2 Platform</w:t>
            </w:r>
          </w:p>
        </w:tc>
      </w:tr>
      <w:tr>
        <w:tc>
          <w:tcPr>
            <w:tcW w:type="dxa" w:w="1531"/>
            <w:tcMar>
              <w:top w:w="70" w:type="dxa"/>
              <w:left w:w="80" w:type="dxa"/>
              <w:bottom w:w="70" w:type="dxa"/>
              <w:right w:w="80" w:type="dxa"/>
            </w:tcMar>
          </w:tcPr>
          <w:p>
            <w:r>
              <w:rPr>
                <w:sz w:val="15"/>
              </w:rPr>
              <w:t>OPS-06-R05</w:t>
            </w:r>
          </w:p>
        </w:tc>
        <w:tc>
          <w:tcPr>
            <w:tcW w:type="dxa" w:w="1531"/>
            <w:tcMar>
              <w:top w:w="70" w:type="dxa"/>
              <w:left w:w="80" w:type="dxa"/>
              <w:bottom w:w="70" w:type="dxa"/>
              <w:right w:w="80" w:type="dxa"/>
            </w:tcMar>
          </w:tcPr>
          <w:p>
            <w:r>
              <w:rPr>
                <w:sz w:val="15"/>
              </w:rPr>
              <w:t>Facilities, Equipment, Assets &amp; Maintenance</w:t>
            </w:r>
          </w:p>
        </w:tc>
        <w:tc>
          <w:tcPr>
            <w:tcW w:type="dxa" w:w="1531"/>
            <w:tcMar>
              <w:top w:w="70" w:type="dxa"/>
              <w:left w:w="80" w:type="dxa"/>
              <w:bottom w:w="70" w:type="dxa"/>
              <w:right w:w="80" w:type="dxa"/>
            </w:tcMar>
          </w:tcPr>
          <w:p>
            <w:r>
              <w:rPr>
                <w:sz w:val="15"/>
              </w:rPr>
              <w:t>Facility closure or capacity impact synchronized to booking, access and communication.</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V2 Platform</w:t>
            </w:r>
          </w:p>
        </w:tc>
        <w:tc>
          <w:tcPr>
            <w:tcW w:type="dxa" w:w="1531"/>
            <w:tcMar>
              <w:top w:w="70" w:type="dxa"/>
              <w:left w:w="80" w:type="dxa"/>
              <w:bottom w:w="70" w:type="dxa"/>
              <w:right w:w="80" w:type="dxa"/>
            </w:tcMar>
          </w:tcPr>
          <w:p>
            <w:r>
              <w:rPr>
                <w:sz w:val="15"/>
              </w:rPr>
              <w:t>OPS-06</w:t>
            </w:r>
          </w:p>
        </w:tc>
        <w:tc>
          <w:tcPr>
            <w:tcW w:type="dxa" w:w="1531"/>
            <w:tcMar>
              <w:top w:w="70" w:type="dxa"/>
              <w:left w:w="80" w:type="dxa"/>
              <w:bottom w:w="70" w:type="dxa"/>
              <w:right w:w="80" w:type="dxa"/>
            </w:tcMar>
          </w:tcPr>
          <w:p>
            <w:r>
              <w:rPr>
                <w:sz w:val="15"/>
              </w:rPr>
              <w:t>§10.23 OPS-06 Implementation Contract; §15/§16</w:t>
            </w:r>
          </w:p>
        </w:tc>
        <w:tc>
          <w:tcPr>
            <w:tcW w:type="dxa" w:w="1531"/>
            <w:tcMar>
              <w:top w:w="70" w:type="dxa"/>
              <w:left w:w="80" w:type="dxa"/>
              <w:bottom w:w="70" w:type="dxa"/>
              <w:right w:w="80" w:type="dxa"/>
            </w:tcMar>
          </w:tcPr>
          <w:p>
            <w:r>
              <w:rPr>
                <w:sz w:val="15"/>
              </w:rPr>
              <w:t>§27; INV-OPS-06; API/event contract tests; requirement OPS-06-R05</w:t>
            </w:r>
          </w:p>
        </w:tc>
        <w:tc>
          <w:tcPr>
            <w:tcW w:type="dxa" w:w="1531"/>
            <w:tcMar>
              <w:top w:w="70" w:type="dxa"/>
              <w:left w:w="80" w:type="dxa"/>
              <w:bottom w:w="70" w:type="dxa"/>
              <w:right w:w="80" w:type="dxa"/>
            </w:tcMar>
          </w:tcPr>
          <w:p>
            <w:r>
              <w:rPr>
                <w:sz w:val="15"/>
              </w:rPr>
              <w:t>§28; RB-OPS-06</w:t>
            </w:r>
          </w:p>
        </w:tc>
        <w:tc>
          <w:tcPr>
            <w:tcW w:type="dxa" w:w="1531"/>
            <w:tcMar>
              <w:top w:w="70" w:type="dxa"/>
              <w:left w:w="80" w:type="dxa"/>
              <w:bottom w:w="70" w:type="dxa"/>
              <w:right w:w="80" w:type="dxa"/>
            </w:tcMar>
          </w:tcPr>
          <w:p>
            <w:r>
              <w:rPr>
                <w:sz w:val="15"/>
              </w:rPr>
              <w:t>DEFERRED - V2 Platform</w:t>
            </w:r>
          </w:p>
        </w:tc>
      </w:tr>
      <w:tr>
        <w:tc>
          <w:tcPr>
            <w:tcW w:type="dxa" w:w="1531"/>
            <w:tcMar>
              <w:top w:w="70" w:type="dxa"/>
              <w:left w:w="80" w:type="dxa"/>
              <w:bottom w:w="70" w:type="dxa"/>
              <w:right w:w="80" w:type="dxa"/>
            </w:tcMar>
          </w:tcPr>
          <w:p>
            <w:r>
              <w:rPr>
                <w:sz w:val="15"/>
              </w:rPr>
              <w:t>OPS-06-R06</w:t>
            </w:r>
          </w:p>
        </w:tc>
        <w:tc>
          <w:tcPr>
            <w:tcW w:type="dxa" w:w="1531"/>
            <w:tcMar>
              <w:top w:w="70" w:type="dxa"/>
              <w:left w:w="80" w:type="dxa"/>
              <w:bottom w:w="70" w:type="dxa"/>
              <w:right w:w="80" w:type="dxa"/>
            </w:tcMar>
          </w:tcPr>
          <w:p>
            <w:r>
              <w:rPr>
                <w:sz w:val="15"/>
              </w:rPr>
              <w:t>Facilities, Equipment, Assets &amp; Maintenance</w:t>
            </w:r>
          </w:p>
        </w:tc>
        <w:tc>
          <w:tcPr>
            <w:tcW w:type="dxa" w:w="1531"/>
            <w:tcMar>
              <w:top w:w="70" w:type="dxa"/>
              <w:left w:w="80" w:type="dxa"/>
              <w:bottom w:w="70" w:type="dxa"/>
              <w:right w:w="80" w:type="dxa"/>
            </w:tcMar>
          </w:tcPr>
          <w:p>
            <w:r>
              <w:rPr>
                <w:sz w:val="15"/>
              </w:rPr>
              <w:t>Asset utilization, downtime, maintenance cost and replacement forecasting.</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V2 Platform</w:t>
            </w:r>
          </w:p>
        </w:tc>
        <w:tc>
          <w:tcPr>
            <w:tcW w:type="dxa" w:w="1531"/>
            <w:tcMar>
              <w:top w:w="70" w:type="dxa"/>
              <w:left w:w="80" w:type="dxa"/>
              <w:bottom w:w="70" w:type="dxa"/>
              <w:right w:w="80" w:type="dxa"/>
            </w:tcMar>
          </w:tcPr>
          <w:p>
            <w:r>
              <w:rPr>
                <w:sz w:val="15"/>
              </w:rPr>
              <w:t>OPS-06</w:t>
            </w:r>
          </w:p>
        </w:tc>
        <w:tc>
          <w:tcPr>
            <w:tcW w:type="dxa" w:w="1531"/>
            <w:tcMar>
              <w:top w:w="70" w:type="dxa"/>
              <w:left w:w="80" w:type="dxa"/>
              <w:bottom w:w="70" w:type="dxa"/>
              <w:right w:w="80" w:type="dxa"/>
            </w:tcMar>
          </w:tcPr>
          <w:p>
            <w:r>
              <w:rPr>
                <w:sz w:val="15"/>
              </w:rPr>
              <w:t>§10.23 OPS-06 Implementation Contract; §15/§16</w:t>
            </w:r>
          </w:p>
        </w:tc>
        <w:tc>
          <w:tcPr>
            <w:tcW w:type="dxa" w:w="1531"/>
            <w:tcMar>
              <w:top w:w="70" w:type="dxa"/>
              <w:left w:w="80" w:type="dxa"/>
              <w:bottom w:w="70" w:type="dxa"/>
              <w:right w:w="80" w:type="dxa"/>
            </w:tcMar>
          </w:tcPr>
          <w:p>
            <w:r>
              <w:rPr>
                <w:sz w:val="15"/>
              </w:rPr>
              <w:t>§27; INV-OPS-06; API/event contract tests; requirement OPS-06-R06</w:t>
            </w:r>
          </w:p>
        </w:tc>
        <w:tc>
          <w:tcPr>
            <w:tcW w:type="dxa" w:w="1531"/>
            <w:tcMar>
              <w:top w:w="70" w:type="dxa"/>
              <w:left w:w="80" w:type="dxa"/>
              <w:bottom w:w="70" w:type="dxa"/>
              <w:right w:w="80" w:type="dxa"/>
            </w:tcMar>
          </w:tcPr>
          <w:p>
            <w:r>
              <w:rPr>
                <w:sz w:val="15"/>
              </w:rPr>
              <w:t>§28; RB-OPS-06</w:t>
            </w:r>
          </w:p>
        </w:tc>
        <w:tc>
          <w:tcPr>
            <w:tcW w:type="dxa" w:w="1531"/>
            <w:tcMar>
              <w:top w:w="70" w:type="dxa"/>
              <w:left w:w="80" w:type="dxa"/>
              <w:bottom w:w="70" w:type="dxa"/>
              <w:right w:w="80" w:type="dxa"/>
            </w:tcMar>
          </w:tcPr>
          <w:p>
            <w:r>
              <w:rPr>
                <w:sz w:val="15"/>
              </w:rPr>
              <w:t>DEFERRED - V2 Platform</w:t>
            </w:r>
          </w:p>
        </w:tc>
      </w:tr>
      <w:tr>
        <w:tc>
          <w:tcPr>
            <w:tcW w:type="dxa" w:w="1531"/>
            <w:tcMar>
              <w:top w:w="70" w:type="dxa"/>
              <w:left w:w="80" w:type="dxa"/>
              <w:bottom w:w="70" w:type="dxa"/>
              <w:right w:w="80" w:type="dxa"/>
            </w:tcMar>
          </w:tcPr>
          <w:p>
            <w:r>
              <w:rPr>
                <w:sz w:val="15"/>
              </w:rPr>
              <w:t>OPS-06-R07</w:t>
            </w:r>
          </w:p>
        </w:tc>
        <w:tc>
          <w:tcPr>
            <w:tcW w:type="dxa" w:w="1531"/>
            <w:tcMar>
              <w:top w:w="70" w:type="dxa"/>
              <w:left w:w="80" w:type="dxa"/>
              <w:bottom w:w="70" w:type="dxa"/>
              <w:right w:w="80" w:type="dxa"/>
            </w:tcMar>
          </w:tcPr>
          <w:p>
            <w:r>
              <w:rPr>
                <w:sz w:val="15"/>
              </w:rPr>
              <w:t>Facilities, Equipment, Assets &amp; Maintenance</w:t>
            </w:r>
          </w:p>
        </w:tc>
        <w:tc>
          <w:tcPr>
            <w:tcW w:type="dxa" w:w="1531"/>
            <w:tcMar>
              <w:top w:w="70" w:type="dxa"/>
              <w:left w:w="80" w:type="dxa"/>
              <w:bottom w:w="70" w:type="dxa"/>
              <w:right w:w="80" w:type="dxa"/>
            </w:tcMar>
          </w:tcPr>
          <w:p>
            <w:r>
              <w:rPr>
                <w:sz w:val="15"/>
              </w:rPr>
              <w:t>Supplier/technician portal or limited-access workflow for assigned work.</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V2 Platform</w:t>
            </w:r>
          </w:p>
        </w:tc>
        <w:tc>
          <w:tcPr>
            <w:tcW w:type="dxa" w:w="1531"/>
            <w:tcMar>
              <w:top w:w="70" w:type="dxa"/>
              <w:left w:w="80" w:type="dxa"/>
              <w:bottom w:w="70" w:type="dxa"/>
              <w:right w:w="80" w:type="dxa"/>
            </w:tcMar>
          </w:tcPr>
          <w:p>
            <w:r>
              <w:rPr>
                <w:sz w:val="15"/>
              </w:rPr>
              <w:t>OPS-06</w:t>
            </w:r>
          </w:p>
        </w:tc>
        <w:tc>
          <w:tcPr>
            <w:tcW w:type="dxa" w:w="1531"/>
            <w:tcMar>
              <w:top w:w="70" w:type="dxa"/>
              <w:left w:w="80" w:type="dxa"/>
              <w:bottom w:w="70" w:type="dxa"/>
              <w:right w:w="80" w:type="dxa"/>
            </w:tcMar>
          </w:tcPr>
          <w:p>
            <w:r>
              <w:rPr>
                <w:sz w:val="15"/>
              </w:rPr>
              <w:t>§10.23 OPS-06 Implementation Contract; §15/§16</w:t>
            </w:r>
          </w:p>
        </w:tc>
        <w:tc>
          <w:tcPr>
            <w:tcW w:type="dxa" w:w="1531"/>
            <w:tcMar>
              <w:top w:w="70" w:type="dxa"/>
              <w:left w:w="80" w:type="dxa"/>
              <w:bottom w:w="70" w:type="dxa"/>
              <w:right w:w="80" w:type="dxa"/>
            </w:tcMar>
          </w:tcPr>
          <w:p>
            <w:r>
              <w:rPr>
                <w:sz w:val="15"/>
              </w:rPr>
              <w:t>§27; INV-OPS-06; API/event contract tests; requirement OPS-06-R07</w:t>
            </w:r>
          </w:p>
        </w:tc>
        <w:tc>
          <w:tcPr>
            <w:tcW w:type="dxa" w:w="1531"/>
            <w:tcMar>
              <w:top w:w="70" w:type="dxa"/>
              <w:left w:w="80" w:type="dxa"/>
              <w:bottom w:w="70" w:type="dxa"/>
              <w:right w:w="80" w:type="dxa"/>
            </w:tcMar>
          </w:tcPr>
          <w:p>
            <w:r>
              <w:rPr>
                <w:sz w:val="15"/>
              </w:rPr>
              <w:t>§28; RB-OPS-06</w:t>
            </w:r>
          </w:p>
        </w:tc>
        <w:tc>
          <w:tcPr>
            <w:tcW w:type="dxa" w:w="1531"/>
            <w:tcMar>
              <w:top w:w="70" w:type="dxa"/>
              <w:left w:w="80" w:type="dxa"/>
              <w:bottom w:w="70" w:type="dxa"/>
              <w:right w:w="80" w:type="dxa"/>
            </w:tcMar>
          </w:tcPr>
          <w:p>
            <w:r>
              <w:rPr>
                <w:sz w:val="15"/>
              </w:rPr>
              <w:t>DEFERRED - V2 Platform</w:t>
            </w:r>
          </w:p>
        </w:tc>
      </w:tr>
      <w:tr>
        <w:tc>
          <w:tcPr>
            <w:tcW w:type="dxa" w:w="1531"/>
            <w:tcMar>
              <w:top w:w="70" w:type="dxa"/>
              <w:left w:w="80" w:type="dxa"/>
              <w:bottom w:w="70" w:type="dxa"/>
              <w:right w:w="80" w:type="dxa"/>
            </w:tcMar>
          </w:tcPr>
          <w:p>
            <w:r>
              <w:rPr>
                <w:sz w:val="15"/>
              </w:rPr>
              <w:t>COA-01-R01</w:t>
            </w:r>
          </w:p>
        </w:tc>
        <w:tc>
          <w:tcPr>
            <w:tcW w:type="dxa" w:w="1531"/>
            <w:tcMar>
              <w:top w:w="70" w:type="dxa"/>
              <w:left w:w="80" w:type="dxa"/>
              <w:bottom w:w="70" w:type="dxa"/>
              <w:right w:w="80" w:type="dxa"/>
            </w:tcMar>
          </w:tcPr>
          <w:p>
            <w:r>
              <w:rPr>
                <w:sz w:val="15"/>
              </w:rPr>
              <w:t>Coach Workspace &amp; Client Management</w:t>
            </w:r>
          </w:p>
        </w:tc>
        <w:tc>
          <w:tcPr>
            <w:tcW w:type="dxa" w:w="1531"/>
            <w:tcMar>
              <w:top w:w="70" w:type="dxa"/>
              <w:left w:w="80" w:type="dxa"/>
              <w:bottom w:w="70" w:type="dxa"/>
              <w:right w:w="80" w:type="dxa"/>
            </w:tcMar>
          </w:tcPr>
          <w:p>
            <w:r>
              <w:rPr>
                <w:sz w:val="15"/>
              </w:rPr>
              <w:t>Today view with upcoming sessions, preparation context, tasks, changes and clients needing attention.</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COA-01</w:t>
            </w:r>
          </w:p>
        </w:tc>
        <w:tc>
          <w:tcPr>
            <w:tcW w:type="dxa" w:w="1531"/>
            <w:tcMar>
              <w:top w:w="70" w:type="dxa"/>
              <w:left w:w="80" w:type="dxa"/>
              <w:bottom w:w="70" w:type="dxa"/>
              <w:right w:w="80" w:type="dxa"/>
            </w:tcMar>
          </w:tcPr>
          <w:p>
            <w:r>
              <w:rPr>
                <w:sz w:val="15"/>
              </w:rPr>
              <w:t>§10.24 COA-01 Implementation Contract; §17</w:t>
            </w:r>
          </w:p>
        </w:tc>
        <w:tc>
          <w:tcPr>
            <w:tcW w:type="dxa" w:w="1531"/>
            <w:tcMar>
              <w:top w:w="70" w:type="dxa"/>
              <w:left w:w="80" w:type="dxa"/>
              <w:bottom w:w="70" w:type="dxa"/>
              <w:right w:w="80" w:type="dxa"/>
            </w:tcMar>
          </w:tcPr>
          <w:p>
            <w:r>
              <w:rPr>
                <w:sz w:val="15"/>
              </w:rPr>
              <w:t>§27; INV-COA-01; API/event contract tests; requirement COA-01-R01</w:t>
            </w:r>
          </w:p>
        </w:tc>
        <w:tc>
          <w:tcPr>
            <w:tcW w:type="dxa" w:w="1531"/>
            <w:tcMar>
              <w:top w:w="70" w:type="dxa"/>
              <w:left w:w="80" w:type="dxa"/>
              <w:bottom w:w="70" w:type="dxa"/>
              <w:right w:w="80" w:type="dxa"/>
            </w:tcMar>
          </w:tcPr>
          <w:p>
            <w:r>
              <w:rPr>
                <w:sz w:val="15"/>
              </w:rPr>
              <w:t>§28; RB-COA-01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COA-01-R02</w:t>
            </w:r>
          </w:p>
        </w:tc>
        <w:tc>
          <w:tcPr>
            <w:tcW w:type="dxa" w:w="1531"/>
            <w:tcMar>
              <w:top w:w="70" w:type="dxa"/>
              <w:left w:w="80" w:type="dxa"/>
              <w:bottom w:w="70" w:type="dxa"/>
              <w:right w:w="80" w:type="dxa"/>
            </w:tcMar>
          </w:tcPr>
          <w:p>
            <w:r>
              <w:rPr>
                <w:sz w:val="15"/>
              </w:rPr>
              <w:t>Coach Workspace &amp; Client Management</w:t>
            </w:r>
          </w:p>
        </w:tc>
        <w:tc>
          <w:tcPr>
            <w:tcW w:type="dxa" w:w="1531"/>
            <w:tcMar>
              <w:top w:w="70" w:type="dxa"/>
              <w:left w:w="80" w:type="dxa"/>
              <w:bottom w:w="70" w:type="dxa"/>
              <w:right w:w="80" w:type="dxa"/>
            </w:tcMar>
          </w:tcPr>
          <w:p>
            <w:r>
              <w:rPr>
                <w:sz w:val="15"/>
              </w:rPr>
              <w:t>Assigned client roster, search, lifecycle status, goals, restrictions, program and recent activity.</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COA-01</w:t>
            </w:r>
          </w:p>
        </w:tc>
        <w:tc>
          <w:tcPr>
            <w:tcW w:type="dxa" w:w="1531"/>
            <w:tcMar>
              <w:top w:w="70" w:type="dxa"/>
              <w:left w:w="80" w:type="dxa"/>
              <w:bottom w:w="70" w:type="dxa"/>
              <w:right w:w="80" w:type="dxa"/>
            </w:tcMar>
          </w:tcPr>
          <w:p>
            <w:r>
              <w:rPr>
                <w:sz w:val="15"/>
              </w:rPr>
              <w:t>§10.24 COA-01 Implementation Contract; §17</w:t>
            </w:r>
          </w:p>
        </w:tc>
        <w:tc>
          <w:tcPr>
            <w:tcW w:type="dxa" w:w="1531"/>
            <w:tcMar>
              <w:top w:w="70" w:type="dxa"/>
              <w:left w:w="80" w:type="dxa"/>
              <w:bottom w:w="70" w:type="dxa"/>
              <w:right w:w="80" w:type="dxa"/>
            </w:tcMar>
          </w:tcPr>
          <w:p>
            <w:r>
              <w:rPr>
                <w:sz w:val="15"/>
              </w:rPr>
              <w:t>§27; INV-COA-01; API/event contract tests; requirement COA-01-R02</w:t>
            </w:r>
          </w:p>
        </w:tc>
        <w:tc>
          <w:tcPr>
            <w:tcW w:type="dxa" w:w="1531"/>
            <w:tcMar>
              <w:top w:w="70" w:type="dxa"/>
              <w:left w:w="80" w:type="dxa"/>
              <w:bottom w:w="70" w:type="dxa"/>
              <w:right w:w="80" w:type="dxa"/>
            </w:tcMar>
          </w:tcPr>
          <w:p>
            <w:r>
              <w:rPr>
                <w:sz w:val="15"/>
              </w:rPr>
              <w:t>§28; RB-COA-01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COA-01-R03</w:t>
            </w:r>
          </w:p>
        </w:tc>
        <w:tc>
          <w:tcPr>
            <w:tcW w:type="dxa" w:w="1531"/>
            <w:tcMar>
              <w:top w:w="70" w:type="dxa"/>
              <w:left w:w="80" w:type="dxa"/>
              <w:bottom w:w="70" w:type="dxa"/>
              <w:right w:w="80" w:type="dxa"/>
            </w:tcMar>
          </w:tcPr>
          <w:p>
            <w:r>
              <w:rPr>
                <w:sz w:val="15"/>
              </w:rPr>
              <w:t>Coach Workspace &amp; Client Management</w:t>
            </w:r>
          </w:p>
        </w:tc>
        <w:tc>
          <w:tcPr>
            <w:tcW w:type="dxa" w:w="1531"/>
            <w:tcMar>
              <w:top w:w="70" w:type="dxa"/>
              <w:left w:w="80" w:type="dxa"/>
              <w:bottom w:w="70" w:type="dxa"/>
              <w:right w:w="80" w:type="dxa"/>
            </w:tcMar>
          </w:tcPr>
          <w:p>
            <w:r>
              <w:rPr>
                <w:sz w:val="15"/>
              </w:rPr>
              <w:t>Client 360 subset scoped to coaching relationship and sensitive-data permissions.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COA-01</w:t>
            </w:r>
          </w:p>
        </w:tc>
        <w:tc>
          <w:tcPr>
            <w:tcW w:type="dxa" w:w="1531"/>
            <w:tcMar>
              <w:top w:w="70" w:type="dxa"/>
              <w:left w:w="80" w:type="dxa"/>
              <w:bottom w:w="70" w:type="dxa"/>
              <w:right w:w="80" w:type="dxa"/>
            </w:tcMar>
          </w:tcPr>
          <w:p>
            <w:r>
              <w:rPr>
                <w:sz w:val="15"/>
              </w:rPr>
              <w:t>§10.24 COA-01 Implementation Contract; §17</w:t>
            </w:r>
          </w:p>
        </w:tc>
        <w:tc>
          <w:tcPr>
            <w:tcW w:type="dxa" w:w="1531"/>
            <w:tcMar>
              <w:top w:w="70" w:type="dxa"/>
              <w:left w:w="80" w:type="dxa"/>
              <w:bottom w:w="70" w:type="dxa"/>
              <w:right w:w="80" w:type="dxa"/>
            </w:tcMar>
          </w:tcPr>
          <w:p>
            <w:r>
              <w:rPr>
                <w:sz w:val="15"/>
              </w:rPr>
              <w:t>§27; INV-COA-01; API/event contract tests; requirement COA-01-R03</w:t>
            </w:r>
          </w:p>
        </w:tc>
        <w:tc>
          <w:tcPr>
            <w:tcW w:type="dxa" w:w="1531"/>
            <w:tcMar>
              <w:top w:w="70" w:type="dxa"/>
              <w:left w:w="80" w:type="dxa"/>
              <w:bottom w:w="70" w:type="dxa"/>
              <w:right w:w="80" w:type="dxa"/>
            </w:tcMar>
          </w:tcPr>
          <w:p>
            <w:r>
              <w:rPr>
                <w:sz w:val="15"/>
              </w:rPr>
              <w:t>§28; RB-COA-01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COA-01-R04</w:t>
            </w:r>
          </w:p>
        </w:tc>
        <w:tc>
          <w:tcPr>
            <w:tcW w:type="dxa" w:w="1531"/>
            <w:tcMar>
              <w:top w:w="70" w:type="dxa"/>
              <w:left w:w="80" w:type="dxa"/>
              <w:bottom w:w="70" w:type="dxa"/>
              <w:right w:w="80" w:type="dxa"/>
            </w:tcMar>
          </w:tcPr>
          <w:p>
            <w:r>
              <w:rPr>
                <w:sz w:val="15"/>
              </w:rPr>
              <w:t>Coach Workspace &amp; Client Management</w:t>
            </w:r>
          </w:p>
        </w:tc>
        <w:tc>
          <w:tcPr>
            <w:tcW w:type="dxa" w:w="1531"/>
            <w:tcMar>
              <w:top w:w="70" w:type="dxa"/>
              <w:left w:w="80" w:type="dxa"/>
              <w:bottom w:w="70" w:type="dxa"/>
              <w:right w:w="80" w:type="dxa"/>
            </w:tcMar>
          </w:tcPr>
          <w:p>
            <w:r>
              <w:rPr>
                <w:sz w:val="15"/>
              </w:rPr>
              <w:t>Session preparation, attendance, notes, exercises, measurements, follow-up and credit consumption.</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COA-01</w:t>
            </w:r>
          </w:p>
        </w:tc>
        <w:tc>
          <w:tcPr>
            <w:tcW w:type="dxa" w:w="1531"/>
            <w:tcMar>
              <w:top w:w="70" w:type="dxa"/>
              <w:left w:w="80" w:type="dxa"/>
              <w:bottom w:w="70" w:type="dxa"/>
              <w:right w:w="80" w:type="dxa"/>
            </w:tcMar>
          </w:tcPr>
          <w:p>
            <w:r>
              <w:rPr>
                <w:sz w:val="15"/>
              </w:rPr>
              <w:t>§10.24 COA-01 Implementation Contract; §17</w:t>
            </w:r>
          </w:p>
        </w:tc>
        <w:tc>
          <w:tcPr>
            <w:tcW w:type="dxa" w:w="1531"/>
            <w:tcMar>
              <w:top w:w="70" w:type="dxa"/>
              <w:left w:w="80" w:type="dxa"/>
              <w:bottom w:w="70" w:type="dxa"/>
              <w:right w:w="80" w:type="dxa"/>
            </w:tcMar>
          </w:tcPr>
          <w:p>
            <w:r>
              <w:rPr>
                <w:sz w:val="15"/>
              </w:rPr>
              <w:t>§27; INV-COA-01; API/event contract tests; requirement COA-01-R04</w:t>
            </w:r>
          </w:p>
        </w:tc>
        <w:tc>
          <w:tcPr>
            <w:tcW w:type="dxa" w:w="1531"/>
            <w:tcMar>
              <w:top w:w="70" w:type="dxa"/>
              <w:left w:w="80" w:type="dxa"/>
              <w:bottom w:w="70" w:type="dxa"/>
              <w:right w:w="80" w:type="dxa"/>
            </w:tcMar>
          </w:tcPr>
          <w:p>
            <w:r>
              <w:rPr>
                <w:sz w:val="15"/>
              </w:rPr>
              <w:t>§28; RB-COA-01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COA-01-R05</w:t>
            </w:r>
          </w:p>
        </w:tc>
        <w:tc>
          <w:tcPr>
            <w:tcW w:type="dxa" w:w="1531"/>
            <w:tcMar>
              <w:top w:w="70" w:type="dxa"/>
              <w:left w:w="80" w:type="dxa"/>
              <w:bottom w:w="70" w:type="dxa"/>
              <w:right w:w="80" w:type="dxa"/>
            </w:tcMar>
          </w:tcPr>
          <w:p>
            <w:r>
              <w:rPr>
                <w:sz w:val="15"/>
              </w:rPr>
              <w:t>Coach Workspace &amp; Client Management</w:t>
            </w:r>
          </w:p>
        </w:tc>
        <w:tc>
          <w:tcPr>
            <w:tcW w:type="dxa" w:w="1531"/>
            <w:tcMar>
              <w:top w:w="70" w:type="dxa"/>
              <w:left w:w="80" w:type="dxa"/>
              <w:bottom w:w="70" w:type="dxa"/>
              <w:right w:w="80" w:type="dxa"/>
            </w:tcMar>
          </w:tcPr>
          <w:p>
            <w:r>
              <w:rPr>
                <w:sz w:val="15"/>
              </w:rPr>
              <w:t>Coach tasks generated from plan end, inactivity, pain report, missed targets, check-in or member request.</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COA-01</w:t>
            </w:r>
          </w:p>
        </w:tc>
        <w:tc>
          <w:tcPr>
            <w:tcW w:type="dxa" w:w="1531"/>
            <w:tcMar>
              <w:top w:w="70" w:type="dxa"/>
              <w:left w:w="80" w:type="dxa"/>
              <w:bottom w:w="70" w:type="dxa"/>
              <w:right w:w="80" w:type="dxa"/>
            </w:tcMar>
          </w:tcPr>
          <w:p>
            <w:r>
              <w:rPr>
                <w:sz w:val="15"/>
              </w:rPr>
              <w:t>§10.24 COA-01 Implementation Contract; §17</w:t>
            </w:r>
          </w:p>
        </w:tc>
        <w:tc>
          <w:tcPr>
            <w:tcW w:type="dxa" w:w="1531"/>
            <w:tcMar>
              <w:top w:w="70" w:type="dxa"/>
              <w:left w:w="80" w:type="dxa"/>
              <w:bottom w:w="70" w:type="dxa"/>
              <w:right w:w="80" w:type="dxa"/>
            </w:tcMar>
          </w:tcPr>
          <w:p>
            <w:r>
              <w:rPr>
                <w:sz w:val="15"/>
              </w:rPr>
              <w:t>§27; INV-COA-01; API/event contract tests; requirement COA-01-R05</w:t>
            </w:r>
          </w:p>
        </w:tc>
        <w:tc>
          <w:tcPr>
            <w:tcW w:type="dxa" w:w="1531"/>
            <w:tcMar>
              <w:top w:w="70" w:type="dxa"/>
              <w:left w:w="80" w:type="dxa"/>
              <w:bottom w:w="70" w:type="dxa"/>
              <w:right w:w="80" w:type="dxa"/>
            </w:tcMar>
          </w:tcPr>
          <w:p>
            <w:r>
              <w:rPr>
                <w:sz w:val="15"/>
              </w:rPr>
              <w:t>§28; RB-COA-01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COA-01-R06</w:t>
            </w:r>
          </w:p>
        </w:tc>
        <w:tc>
          <w:tcPr>
            <w:tcW w:type="dxa" w:w="1531"/>
            <w:tcMar>
              <w:top w:w="70" w:type="dxa"/>
              <w:left w:w="80" w:type="dxa"/>
              <w:bottom w:w="70" w:type="dxa"/>
              <w:right w:w="80" w:type="dxa"/>
            </w:tcMar>
          </w:tcPr>
          <w:p>
            <w:r>
              <w:rPr>
                <w:sz w:val="15"/>
              </w:rPr>
              <w:t>Coach Workspace &amp; Client Management</w:t>
            </w:r>
          </w:p>
        </w:tc>
        <w:tc>
          <w:tcPr>
            <w:tcW w:type="dxa" w:w="1531"/>
            <w:tcMar>
              <w:top w:w="70" w:type="dxa"/>
              <w:left w:w="80" w:type="dxa"/>
              <w:bottom w:w="70" w:type="dxa"/>
              <w:right w:w="80" w:type="dxa"/>
            </w:tcMar>
          </w:tcPr>
          <w:p>
            <w:r>
              <w:rPr>
                <w:sz w:val="15"/>
              </w:rPr>
              <w:t>Contextual messaging tied to client, workout, meal, assessment or session.</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COA-01</w:t>
            </w:r>
          </w:p>
        </w:tc>
        <w:tc>
          <w:tcPr>
            <w:tcW w:type="dxa" w:w="1531"/>
            <w:tcMar>
              <w:top w:w="70" w:type="dxa"/>
              <w:left w:w="80" w:type="dxa"/>
              <w:bottom w:w="70" w:type="dxa"/>
              <w:right w:w="80" w:type="dxa"/>
            </w:tcMar>
          </w:tcPr>
          <w:p>
            <w:r>
              <w:rPr>
                <w:sz w:val="15"/>
              </w:rPr>
              <w:t>§10.24 COA-01 Implementation Contract; §17</w:t>
            </w:r>
          </w:p>
        </w:tc>
        <w:tc>
          <w:tcPr>
            <w:tcW w:type="dxa" w:w="1531"/>
            <w:tcMar>
              <w:top w:w="70" w:type="dxa"/>
              <w:left w:w="80" w:type="dxa"/>
              <w:bottom w:w="70" w:type="dxa"/>
              <w:right w:w="80" w:type="dxa"/>
            </w:tcMar>
          </w:tcPr>
          <w:p>
            <w:r>
              <w:rPr>
                <w:sz w:val="15"/>
              </w:rPr>
              <w:t>§27; INV-COA-01; API/event contract tests; requirement COA-01-R06</w:t>
            </w:r>
          </w:p>
        </w:tc>
        <w:tc>
          <w:tcPr>
            <w:tcW w:type="dxa" w:w="1531"/>
            <w:tcMar>
              <w:top w:w="70" w:type="dxa"/>
              <w:left w:w="80" w:type="dxa"/>
              <w:bottom w:w="70" w:type="dxa"/>
              <w:right w:w="80" w:type="dxa"/>
            </w:tcMar>
          </w:tcPr>
          <w:p>
            <w:r>
              <w:rPr>
                <w:sz w:val="15"/>
              </w:rPr>
              <w:t>§28; RB-COA-01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COA-01-R07</w:t>
            </w:r>
          </w:p>
        </w:tc>
        <w:tc>
          <w:tcPr>
            <w:tcW w:type="dxa" w:w="1531"/>
            <w:tcMar>
              <w:top w:w="70" w:type="dxa"/>
              <w:left w:w="80" w:type="dxa"/>
              <w:bottom w:w="70" w:type="dxa"/>
              <w:right w:w="80" w:type="dxa"/>
            </w:tcMar>
          </w:tcPr>
          <w:p>
            <w:r>
              <w:rPr>
                <w:sz w:val="15"/>
              </w:rPr>
              <w:t>Coach Workspace &amp; Client Management</w:t>
            </w:r>
          </w:p>
        </w:tc>
        <w:tc>
          <w:tcPr>
            <w:tcW w:type="dxa" w:w="1531"/>
            <w:tcMar>
              <w:top w:w="70" w:type="dxa"/>
              <w:left w:w="80" w:type="dxa"/>
              <w:bottom w:w="70" w:type="dxa"/>
              <w:right w:w="80" w:type="dxa"/>
            </w:tcMar>
          </w:tcPr>
          <w:p>
            <w:r>
              <w:rPr>
                <w:sz w:val="15"/>
              </w:rPr>
              <w:t>Mobile sales of approved coaching products or secure payment-request handoff to the member.</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COA-01</w:t>
            </w:r>
          </w:p>
        </w:tc>
        <w:tc>
          <w:tcPr>
            <w:tcW w:type="dxa" w:w="1531"/>
            <w:tcMar>
              <w:top w:w="70" w:type="dxa"/>
              <w:left w:w="80" w:type="dxa"/>
              <w:bottom w:w="70" w:type="dxa"/>
              <w:right w:w="80" w:type="dxa"/>
            </w:tcMar>
          </w:tcPr>
          <w:p>
            <w:r>
              <w:rPr>
                <w:sz w:val="15"/>
              </w:rPr>
              <w:t>§10.24 COA-01 Implementation Contract; §17</w:t>
            </w:r>
          </w:p>
        </w:tc>
        <w:tc>
          <w:tcPr>
            <w:tcW w:type="dxa" w:w="1531"/>
            <w:tcMar>
              <w:top w:w="70" w:type="dxa"/>
              <w:left w:w="80" w:type="dxa"/>
              <w:bottom w:w="70" w:type="dxa"/>
              <w:right w:w="80" w:type="dxa"/>
            </w:tcMar>
          </w:tcPr>
          <w:p>
            <w:r>
              <w:rPr>
                <w:sz w:val="15"/>
              </w:rPr>
              <w:t>§27; INV-COA-01; API/event contract tests; requirement COA-01-R07</w:t>
            </w:r>
          </w:p>
        </w:tc>
        <w:tc>
          <w:tcPr>
            <w:tcW w:type="dxa" w:w="1531"/>
            <w:tcMar>
              <w:top w:w="70" w:type="dxa"/>
              <w:left w:w="80" w:type="dxa"/>
              <w:bottom w:w="70" w:type="dxa"/>
              <w:right w:w="80" w:type="dxa"/>
            </w:tcMar>
          </w:tcPr>
          <w:p>
            <w:r>
              <w:rPr>
                <w:sz w:val="15"/>
              </w:rPr>
              <w:t>§28; RB-COA-01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COA-01-R08</w:t>
            </w:r>
          </w:p>
        </w:tc>
        <w:tc>
          <w:tcPr>
            <w:tcW w:type="dxa" w:w="1531"/>
            <w:tcMar>
              <w:top w:w="70" w:type="dxa"/>
              <w:left w:w="80" w:type="dxa"/>
              <w:bottom w:w="70" w:type="dxa"/>
              <w:right w:w="80" w:type="dxa"/>
            </w:tcMar>
          </w:tcPr>
          <w:p>
            <w:r>
              <w:rPr>
                <w:sz w:val="15"/>
              </w:rPr>
              <w:t>Coach Workspace &amp; Client Management</w:t>
            </w:r>
          </w:p>
        </w:tc>
        <w:tc>
          <w:tcPr>
            <w:tcW w:type="dxa" w:w="1531"/>
            <w:tcMar>
              <w:top w:w="70" w:type="dxa"/>
              <w:left w:w="80" w:type="dxa"/>
              <w:bottom w:w="70" w:type="dxa"/>
              <w:right w:w="80" w:type="dxa"/>
            </w:tcMar>
          </w:tcPr>
          <w:p>
            <w:r>
              <w:rPr>
                <w:sz w:val="15"/>
              </w:rPr>
              <w:t>Offline read access to today schedule and safe queued notes where policy allows.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COA-01</w:t>
            </w:r>
          </w:p>
        </w:tc>
        <w:tc>
          <w:tcPr>
            <w:tcW w:type="dxa" w:w="1531"/>
            <w:tcMar>
              <w:top w:w="70" w:type="dxa"/>
              <w:left w:w="80" w:type="dxa"/>
              <w:bottom w:w="70" w:type="dxa"/>
              <w:right w:w="80" w:type="dxa"/>
            </w:tcMar>
          </w:tcPr>
          <w:p>
            <w:r>
              <w:rPr>
                <w:sz w:val="15"/>
              </w:rPr>
              <w:t>§10.24 COA-01 Implementation Contract; §17</w:t>
            </w:r>
          </w:p>
        </w:tc>
        <w:tc>
          <w:tcPr>
            <w:tcW w:type="dxa" w:w="1531"/>
            <w:tcMar>
              <w:top w:w="70" w:type="dxa"/>
              <w:left w:w="80" w:type="dxa"/>
              <w:bottom w:w="70" w:type="dxa"/>
              <w:right w:w="80" w:type="dxa"/>
            </w:tcMar>
          </w:tcPr>
          <w:p>
            <w:r>
              <w:rPr>
                <w:sz w:val="15"/>
              </w:rPr>
              <w:t>§27; INV-COA-01; API/event contract tests; requirement COA-01-R08</w:t>
            </w:r>
          </w:p>
        </w:tc>
        <w:tc>
          <w:tcPr>
            <w:tcW w:type="dxa" w:w="1531"/>
            <w:tcMar>
              <w:top w:w="70" w:type="dxa"/>
              <w:left w:w="80" w:type="dxa"/>
              <w:bottom w:w="70" w:type="dxa"/>
              <w:right w:w="80" w:type="dxa"/>
            </w:tcMar>
          </w:tcPr>
          <w:p>
            <w:r>
              <w:rPr>
                <w:sz w:val="15"/>
              </w:rPr>
              <w:t>§28; RB-COA-01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COA-02-R01</w:t>
            </w:r>
          </w:p>
        </w:tc>
        <w:tc>
          <w:tcPr>
            <w:tcW w:type="dxa" w:w="1531"/>
            <w:tcMar>
              <w:top w:w="70" w:type="dxa"/>
              <w:left w:w="80" w:type="dxa"/>
              <w:bottom w:w="70" w:type="dxa"/>
              <w:right w:w="80" w:type="dxa"/>
            </w:tcMar>
          </w:tcPr>
          <w:p>
            <w:r>
              <w:rPr>
                <w:sz w:val="15"/>
              </w:rPr>
              <w:t>Training Programs, Workouts &amp; Exercise Logging</w:t>
            </w:r>
          </w:p>
        </w:tc>
        <w:tc>
          <w:tcPr>
            <w:tcW w:type="dxa" w:w="1531"/>
            <w:tcMar>
              <w:top w:w="70" w:type="dxa"/>
              <w:left w:w="80" w:type="dxa"/>
              <w:bottom w:w="70" w:type="dxa"/>
              <w:right w:w="80" w:type="dxa"/>
            </w:tcMar>
          </w:tcPr>
          <w:p>
            <w:r>
              <w:rPr>
                <w:sz w:val="15"/>
              </w:rPr>
              <w:t>Exercise library with movement pattern, equipment, muscle, level, media, coaching cues and contraindications.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COA-02</w:t>
            </w:r>
          </w:p>
        </w:tc>
        <w:tc>
          <w:tcPr>
            <w:tcW w:type="dxa" w:w="1531"/>
            <w:tcMar>
              <w:top w:w="70" w:type="dxa"/>
              <w:left w:w="80" w:type="dxa"/>
              <w:bottom w:w="70" w:type="dxa"/>
              <w:right w:w="80" w:type="dxa"/>
            </w:tcMar>
          </w:tcPr>
          <w:p>
            <w:r>
              <w:rPr>
                <w:sz w:val="15"/>
              </w:rPr>
              <w:t>§10.25 COA-02 Implementation Contract; §17</w:t>
            </w:r>
          </w:p>
        </w:tc>
        <w:tc>
          <w:tcPr>
            <w:tcW w:type="dxa" w:w="1531"/>
            <w:tcMar>
              <w:top w:w="70" w:type="dxa"/>
              <w:left w:w="80" w:type="dxa"/>
              <w:bottom w:w="70" w:type="dxa"/>
              <w:right w:w="80" w:type="dxa"/>
            </w:tcMar>
          </w:tcPr>
          <w:p>
            <w:r>
              <w:rPr>
                <w:sz w:val="15"/>
              </w:rPr>
              <w:t>§27; INV-COA-02; API/event contract tests; requirement COA-02-R01</w:t>
            </w:r>
          </w:p>
        </w:tc>
        <w:tc>
          <w:tcPr>
            <w:tcW w:type="dxa" w:w="1531"/>
            <w:tcMar>
              <w:top w:w="70" w:type="dxa"/>
              <w:left w:w="80" w:type="dxa"/>
              <w:bottom w:w="70" w:type="dxa"/>
              <w:right w:w="80" w:type="dxa"/>
            </w:tcMar>
          </w:tcPr>
          <w:p>
            <w:r>
              <w:rPr>
                <w:sz w:val="15"/>
              </w:rPr>
              <w:t>§28; RB-COA-02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COA-02-R02</w:t>
            </w:r>
          </w:p>
        </w:tc>
        <w:tc>
          <w:tcPr>
            <w:tcW w:type="dxa" w:w="1531"/>
            <w:tcMar>
              <w:top w:w="70" w:type="dxa"/>
              <w:left w:w="80" w:type="dxa"/>
              <w:bottom w:w="70" w:type="dxa"/>
              <w:right w:w="80" w:type="dxa"/>
            </w:tcMar>
          </w:tcPr>
          <w:p>
            <w:r>
              <w:rPr>
                <w:sz w:val="15"/>
              </w:rPr>
              <w:t>Training Programs, Workouts &amp; Exercise Logging</w:t>
            </w:r>
          </w:p>
        </w:tc>
        <w:tc>
          <w:tcPr>
            <w:tcW w:type="dxa" w:w="1531"/>
            <w:tcMar>
              <w:top w:w="70" w:type="dxa"/>
              <w:left w:w="80" w:type="dxa"/>
              <w:bottom w:w="70" w:type="dxa"/>
              <w:right w:w="80" w:type="dxa"/>
            </w:tcMar>
          </w:tcPr>
          <w:p>
            <w:r>
              <w:rPr>
                <w:sz w:val="15"/>
              </w:rPr>
              <w:t>Program templates, blocks, mesocycles, weeks, sessions, supersets, circuits and conditional alternatives.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COA-02</w:t>
            </w:r>
          </w:p>
        </w:tc>
        <w:tc>
          <w:tcPr>
            <w:tcW w:type="dxa" w:w="1531"/>
            <w:tcMar>
              <w:top w:w="70" w:type="dxa"/>
              <w:left w:w="80" w:type="dxa"/>
              <w:bottom w:w="70" w:type="dxa"/>
              <w:right w:w="80" w:type="dxa"/>
            </w:tcMar>
          </w:tcPr>
          <w:p>
            <w:r>
              <w:rPr>
                <w:sz w:val="15"/>
              </w:rPr>
              <w:t>§10.25 COA-02 Implementation Contract; §17</w:t>
            </w:r>
          </w:p>
        </w:tc>
        <w:tc>
          <w:tcPr>
            <w:tcW w:type="dxa" w:w="1531"/>
            <w:tcMar>
              <w:top w:w="70" w:type="dxa"/>
              <w:left w:w="80" w:type="dxa"/>
              <w:bottom w:w="70" w:type="dxa"/>
              <w:right w:w="80" w:type="dxa"/>
            </w:tcMar>
          </w:tcPr>
          <w:p>
            <w:r>
              <w:rPr>
                <w:sz w:val="15"/>
              </w:rPr>
              <w:t>§27; INV-COA-02; API/event contract tests; requirement COA-02-R02</w:t>
            </w:r>
          </w:p>
        </w:tc>
        <w:tc>
          <w:tcPr>
            <w:tcW w:type="dxa" w:w="1531"/>
            <w:tcMar>
              <w:top w:w="70" w:type="dxa"/>
              <w:left w:w="80" w:type="dxa"/>
              <w:bottom w:w="70" w:type="dxa"/>
              <w:right w:w="80" w:type="dxa"/>
            </w:tcMar>
          </w:tcPr>
          <w:p>
            <w:r>
              <w:rPr>
                <w:sz w:val="15"/>
              </w:rPr>
              <w:t>§28; RB-COA-02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COA-02-R03</w:t>
            </w:r>
          </w:p>
        </w:tc>
        <w:tc>
          <w:tcPr>
            <w:tcW w:type="dxa" w:w="1531"/>
            <w:tcMar>
              <w:top w:w="70" w:type="dxa"/>
              <w:left w:w="80" w:type="dxa"/>
              <w:bottom w:w="70" w:type="dxa"/>
              <w:right w:w="80" w:type="dxa"/>
            </w:tcMar>
          </w:tcPr>
          <w:p>
            <w:r>
              <w:rPr>
                <w:sz w:val="15"/>
              </w:rPr>
              <w:t>Training Programs, Workouts &amp; Exercise Logging</w:t>
            </w:r>
          </w:p>
        </w:tc>
        <w:tc>
          <w:tcPr>
            <w:tcW w:type="dxa" w:w="1531"/>
            <w:tcMar>
              <w:top w:w="70" w:type="dxa"/>
              <w:left w:w="80" w:type="dxa"/>
              <w:bottom w:w="70" w:type="dxa"/>
              <w:right w:w="80" w:type="dxa"/>
            </w:tcMar>
          </w:tcPr>
          <w:p>
            <w:r>
              <w:rPr>
                <w:sz w:val="15"/>
              </w:rPr>
              <w:t>Prescription for sets, reps, load, duration, distance, tempo, rest, RPE/RIR and target zones.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COA-02</w:t>
            </w:r>
          </w:p>
        </w:tc>
        <w:tc>
          <w:tcPr>
            <w:tcW w:type="dxa" w:w="1531"/>
            <w:tcMar>
              <w:top w:w="70" w:type="dxa"/>
              <w:left w:w="80" w:type="dxa"/>
              <w:bottom w:w="70" w:type="dxa"/>
              <w:right w:w="80" w:type="dxa"/>
            </w:tcMar>
          </w:tcPr>
          <w:p>
            <w:r>
              <w:rPr>
                <w:sz w:val="15"/>
              </w:rPr>
              <w:t>§10.25 COA-02 Implementation Contract; §17</w:t>
            </w:r>
          </w:p>
        </w:tc>
        <w:tc>
          <w:tcPr>
            <w:tcW w:type="dxa" w:w="1531"/>
            <w:tcMar>
              <w:top w:w="70" w:type="dxa"/>
              <w:left w:w="80" w:type="dxa"/>
              <w:bottom w:w="70" w:type="dxa"/>
              <w:right w:w="80" w:type="dxa"/>
            </w:tcMar>
          </w:tcPr>
          <w:p>
            <w:r>
              <w:rPr>
                <w:sz w:val="15"/>
              </w:rPr>
              <w:t>§27; INV-COA-02; API/event contract tests; requirement COA-02-R03</w:t>
            </w:r>
          </w:p>
        </w:tc>
        <w:tc>
          <w:tcPr>
            <w:tcW w:type="dxa" w:w="1531"/>
            <w:tcMar>
              <w:top w:w="70" w:type="dxa"/>
              <w:left w:w="80" w:type="dxa"/>
              <w:bottom w:w="70" w:type="dxa"/>
              <w:right w:w="80" w:type="dxa"/>
            </w:tcMar>
          </w:tcPr>
          <w:p>
            <w:r>
              <w:rPr>
                <w:sz w:val="15"/>
              </w:rPr>
              <w:t>§28; RB-COA-02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COA-02-R04</w:t>
            </w:r>
          </w:p>
        </w:tc>
        <w:tc>
          <w:tcPr>
            <w:tcW w:type="dxa" w:w="1531"/>
            <w:tcMar>
              <w:top w:w="70" w:type="dxa"/>
              <w:left w:w="80" w:type="dxa"/>
              <w:bottom w:w="70" w:type="dxa"/>
              <w:right w:w="80" w:type="dxa"/>
            </w:tcMar>
          </w:tcPr>
          <w:p>
            <w:r>
              <w:rPr>
                <w:sz w:val="15"/>
              </w:rPr>
              <w:t>Training Programs, Workouts &amp; Exercise Logging</w:t>
            </w:r>
          </w:p>
        </w:tc>
        <w:tc>
          <w:tcPr>
            <w:tcW w:type="dxa" w:w="1531"/>
            <w:tcMar>
              <w:top w:w="70" w:type="dxa"/>
              <w:left w:w="80" w:type="dxa"/>
              <w:bottom w:w="70" w:type="dxa"/>
              <w:right w:w="80" w:type="dxa"/>
            </w:tcMar>
          </w:tcPr>
          <w:p>
            <w:r>
              <w:rPr>
                <w:sz w:val="15"/>
              </w:rPr>
              <w:t>Member-specific substitutions based on equipment, time, limitation, preference and location.</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COA-02</w:t>
            </w:r>
          </w:p>
        </w:tc>
        <w:tc>
          <w:tcPr>
            <w:tcW w:type="dxa" w:w="1531"/>
            <w:tcMar>
              <w:top w:w="70" w:type="dxa"/>
              <w:left w:w="80" w:type="dxa"/>
              <w:bottom w:w="70" w:type="dxa"/>
              <w:right w:w="80" w:type="dxa"/>
            </w:tcMar>
          </w:tcPr>
          <w:p>
            <w:r>
              <w:rPr>
                <w:sz w:val="15"/>
              </w:rPr>
              <w:t>§10.25 COA-02 Implementation Contract; §17</w:t>
            </w:r>
          </w:p>
        </w:tc>
        <w:tc>
          <w:tcPr>
            <w:tcW w:type="dxa" w:w="1531"/>
            <w:tcMar>
              <w:top w:w="70" w:type="dxa"/>
              <w:left w:w="80" w:type="dxa"/>
              <w:bottom w:w="70" w:type="dxa"/>
              <w:right w:w="80" w:type="dxa"/>
            </w:tcMar>
          </w:tcPr>
          <w:p>
            <w:r>
              <w:rPr>
                <w:sz w:val="15"/>
              </w:rPr>
              <w:t>§27; INV-COA-02; API/event contract tests; requirement COA-02-R04</w:t>
            </w:r>
          </w:p>
        </w:tc>
        <w:tc>
          <w:tcPr>
            <w:tcW w:type="dxa" w:w="1531"/>
            <w:tcMar>
              <w:top w:w="70" w:type="dxa"/>
              <w:left w:w="80" w:type="dxa"/>
              <w:bottom w:w="70" w:type="dxa"/>
              <w:right w:w="80" w:type="dxa"/>
            </w:tcMar>
          </w:tcPr>
          <w:p>
            <w:r>
              <w:rPr>
                <w:sz w:val="15"/>
              </w:rPr>
              <w:t>§28; RB-COA-02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COA-02-R05</w:t>
            </w:r>
          </w:p>
        </w:tc>
        <w:tc>
          <w:tcPr>
            <w:tcW w:type="dxa" w:w="1531"/>
            <w:tcMar>
              <w:top w:w="70" w:type="dxa"/>
              <w:left w:w="80" w:type="dxa"/>
              <w:bottom w:w="70" w:type="dxa"/>
              <w:right w:w="80" w:type="dxa"/>
            </w:tcMar>
          </w:tcPr>
          <w:p>
            <w:r>
              <w:rPr>
                <w:sz w:val="15"/>
              </w:rPr>
              <w:t>Training Programs, Workouts &amp; Exercise Logging</w:t>
            </w:r>
          </w:p>
        </w:tc>
        <w:tc>
          <w:tcPr>
            <w:tcW w:type="dxa" w:w="1531"/>
            <w:tcMar>
              <w:top w:w="70" w:type="dxa"/>
              <w:left w:w="80" w:type="dxa"/>
              <w:bottom w:w="70" w:type="dxa"/>
              <w:right w:w="80" w:type="dxa"/>
            </w:tcMar>
          </w:tcPr>
          <w:p>
            <w:r>
              <w:rPr>
                <w:sz w:val="15"/>
              </w:rPr>
              <w:t>Fast member logging with previous result, smart defaults, timers, wearable input and minimal taps.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COA-02</w:t>
            </w:r>
          </w:p>
        </w:tc>
        <w:tc>
          <w:tcPr>
            <w:tcW w:type="dxa" w:w="1531"/>
            <w:tcMar>
              <w:top w:w="70" w:type="dxa"/>
              <w:left w:w="80" w:type="dxa"/>
              <w:bottom w:w="70" w:type="dxa"/>
              <w:right w:w="80" w:type="dxa"/>
            </w:tcMar>
          </w:tcPr>
          <w:p>
            <w:r>
              <w:rPr>
                <w:sz w:val="15"/>
              </w:rPr>
              <w:t>§10.25 COA-02 Implementation Contract; §17</w:t>
            </w:r>
          </w:p>
        </w:tc>
        <w:tc>
          <w:tcPr>
            <w:tcW w:type="dxa" w:w="1531"/>
            <w:tcMar>
              <w:top w:w="70" w:type="dxa"/>
              <w:left w:w="80" w:type="dxa"/>
              <w:bottom w:w="70" w:type="dxa"/>
              <w:right w:w="80" w:type="dxa"/>
            </w:tcMar>
          </w:tcPr>
          <w:p>
            <w:r>
              <w:rPr>
                <w:sz w:val="15"/>
              </w:rPr>
              <w:t>§27; INV-COA-02; API/event contract tests; requirement COA-02-R05</w:t>
            </w:r>
          </w:p>
        </w:tc>
        <w:tc>
          <w:tcPr>
            <w:tcW w:type="dxa" w:w="1531"/>
            <w:tcMar>
              <w:top w:w="70" w:type="dxa"/>
              <w:left w:w="80" w:type="dxa"/>
              <w:bottom w:w="70" w:type="dxa"/>
              <w:right w:w="80" w:type="dxa"/>
            </w:tcMar>
          </w:tcPr>
          <w:p>
            <w:r>
              <w:rPr>
                <w:sz w:val="15"/>
              </w:rPr>
              <w:t>§28; RB-COA-02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COA-02-R06</w:t>
            </w:r>
          </w:p>
        </w:tc>
        <w:tc>
          <w:tcPr>
            <w:tcW w:type="dxa" w:w="1531"/>
            <w:tcMar>
              <w:top w:w="70" w:type="dxa"/>
              <w:left w:w="80" w:type="dxa"/>
              <w:bottom w:w="70" w:type="dxa"/>
              <w:right w:w="80" w:type="dxa"/>
            </w:tcMar>
          </w:tcPr>
          <w:p>
            <w:r>
              <w:rPr>
                <w:sz w:val="15"/>
              </w:rPr>
              <w:t>Training Programs, Workouts &amp; Exercise Logging</w:t>
            </w:r>
          </w:p>
        </w:tc>
        <w:tc>
          <w:tcPr>
            <w:tcW w:type="dxa" w:w="1531"/>
            <w:tcMar>
              <w:top w:w="70" w:type="dxa"/>
              <w:left w:w="80" w:type="dxa"/>
              <w:bottom w:w="70" w:type="dxa"/>
              <w:right w:w="80" w:type="dxa"/>
            </w:tcMar>
          </w:tcPr>
          <w:p>
            <w:r>
              <w:rPr>
                <w:sz w:val="15"/>
              </w:rPr>
              <w:t>Coach review, comments, technique media, PR detection, progression and adherence.</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COA-02</w:t>
            </w:r>
          </w:p>
        </w:tc>
        <w:tc>
          <w:tcPr>
            <w:tcW w:type="dxa" w:w="1531"/>
            <w:tcMar>
              <w:top w:w="70" w:type="dxa"/>
              <w:left w:w="80" w:type="dxa"/>
              <w:bottom w:w="70" w:type="dxa"/>
              <w:right w:w="80" w:type="dxa"/>
            </w:tcMar>
          </w:tcPr>
          <w:p>
            <w:r>
              <w:rPr>
                <w:sz w:val="15"/>
              </w:rPr>
              <w:t>§10.25 COA-02 Implementation Contract; §17</w:t>
            </w:r>
          </w:p>
        </w:tc>
        <w:tc>
          <w:tcPr>
            <w:tcW w:type="dxa" w:w="1531"/>
            <w:tcMar>
              <w:top w:w="70" w:type="dxa"/>
              <w:left w:w="80" w:type="dxa"/>
              <w:bottom w:w="70" w:type="dxa"/>
              <w:right w:w="80" w:type="dxa"/>
            </w:tcMar>
          </w:tcPr>
          <w:p>
            <w:r>
              <w:rPr>
                <w:sz w:val="15"/>
              </w:rPr>
              <w:t>§27; INV-COA-02; API/event contract tests; requirement COA-02-R06</w:t>
            </w:r>
          </w:p>
        </w:tc>
        <w:tc>
          <w:tcPr>
            <w:tcW w:type="dxa" w:w="1531"/>
            <w:tcMar>
              <w:top w:w="70" w:type="dxa"/>
              <w:left w:w="80" w:type="dxa"/>
              <w:bottom w:w="70" w:type="dxa"/>
              <w:right w:w="80" w:type="dxa"/>
            </w:tcMar>
          </w:tcPr>
          <w:p>
            <w:r>
              <w:rPr>
                <w:sz w:val="15"/>
              </w:rPr>
              <w:t>§28; RB-COA-02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COA-02-R07</w:t>
            </w:r>
          </w:p>
        </w:tc>
        <w:tc>
          <w:tcPr>
            <w:tcW w:type="dxa" w:w="1531"/>
            <w:tcMar>
              <w:top w:w="70" w:type="dxa"/>
              <w:left w:w="80" w:type="dxa"/>
              <w:bottom w:w="70" w:type="dxa"/>
              <w:right w:w="80" w:type="dxa"/>
            </w:tcMar>
          </w:tcPr>
          <w:p>
            <w:r>
              <w:rPr>
                <w:sz w:val="15"/>
              </w:rPr>
              <w:t>Training Programs, Workouts &amp; Exercise Logging</w:t>
            </w:r>
          </w:p>
        </w:tc>
        <w:tc>
          <w:tcPr>
            <w:tcW w:type="dxa" w:w="1531"/>
            <w:tcMar>
              <w:top w:w="70" w:type="dxa"/>
              <w:left w:w="80" w:type="dxa"/>
              <w:bottom w:w="70" w:type="dxa"/>
              <w:right w:w="80" w:type="dxa"/>
            </w:tcMar>
          </w:tcPr>
          <w:p>
            <w:r>
              <w:rPr>
                <w:sz w:val="15"/>
              </w:rPr>
              <w:t>Program versioning, assignment dates, completion history and safe plan transitions.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COA-02</w:t>
            </w:r>
          </w:p>
        </w:tc>
        <w:tc>
          <w:tcPr>
            <w:tcW w:type="dxa" w:w="1531"/>
            <w:tcMar>
              <w:top w:w="70" w:type="dxa"/>
              <w:left w:w="80" w:type="dxa"/>
              <w:bottom w:w="70" w:type="dxa"/>
              <w:right w:w="80" w:type="dxa"/>
            </w:tcMar>
          </w:tcPr>
          <w:p>
            <w:r>
              <w:rPr>
                <w:sz w:val="15"/>
              </w:rPr>
              <w:t>§10.25 COA-02 Implementation Contract; §17</w:t>
            </w:r>
          </w:p>
        </w:tc>
        <w:tc>
          <w:tcPr>
            <w:tcW w:type="dxa" w:w="1531"/>
            <w:tcMar>
              <w:top w:w="70" w:type="dxa"/>
              <w:left w:w="80" w:type="dxa"/>
              <w:bottom w:w="70" w:type="dxa"/>
              <w:right w:w="80" w:type="dxa"/>
            </w:tcMar>
          </w:tcPr>
          <w:p>
            <w:r>
              <w:rPr>
                <w:sz w:val="15"/>
              </w:rPr>
              <w:t>§27; INV-COA-02; API/event contract tests; requirement COA-02-R07</w:t>
            </w:r>
          </w:p>
        </w:tc>
        <w:tc>
          <w:tcPr>
            <w:tcW w:type="dxa" w:w="1531"/>
            <w:tcMar>
              <w:top w:w="70" w:type="dxa"/>
              <w:left w:w="80" w:type="dxa"/>
              <w:bottom w:w="70" w:type="dxa"/>
              <w:right w:w="80" w:type="dxa"/>
            </w:tcMar>
          </w:tcPr>
          <w:p>
            <w:r>
              <w:rPr>
                <w:sz w:val="15"/>
              </w:rPr>
              <w:t>§28; RB-COA-02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COA-02-R08</w:t>
            </w:r>
          </w:p>
        </w:tc>
        <w:tc>
          <w:tcPr>
            <w:tcW w:type="dxa" w:w="1531"/>
            <w:tcMar>
              <w:top w:w="70" w:type="dxa"/>
              <w:left w:w="80" w:type="dxa"/>
              <w:bottom w:w="70" w:type="dxa"/>
              <w:right w:w="80" w:type="dxa"/>
            </w:tcMar>
          </w:tcPr>
          <w:p>
            <w:r>
              <w:rPr>
                <w:sz w:val="15"/>
              </w:rPr>
              <w:t>Training Programs, Workouts &amp; Exercise Logging</w:t>
            </w:r>
          </w:p>
        </w:tc>
        <w:tc>
          <w:tcPr>
            <w:tcW w:type="dxa" w:w="1531"/>
            <w:tcMar>
              <w:top w:w="70" w:type="dxa"/>
              <w:left w:w="80" w:type="dxa"/>
              <w:bottom w:w="70" w:type="dxa"/>
              <w:right w:w="80" w:type="dxa"/>
            </w:tcMar>
          </w:tcPr>
          <w:p>
            <w:r>
              <w:rPr>
                <w:sz w:val="15"/>
              </w:rPr>
              <w:t>AI-assisted generation and adaptation with explicit constraints, evidence and coach approval.</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COA-02</w:t>
            </w:r>
          </w:p>
        </w:tc>
        <w:tc>
          <w:tcPr>
            <w:tcW w:type="dxa" w:w="1531"/>
            <w:tcMar>
              <w:top w:w="70" w:type="dxa"/>
              <w:left w:w="80" w:type="dxa"/>
              <w:bottom w:w="70" w:type="dxa"/>
              <w:right w:w="80" w:type="dxa"/>
            </w:tcMar>
          </w:tcPr>
          <w:p>
            <w:r>
              <w:rPr>
                <w:sz w:val="15"/>
              </w:rPr>
              <w:t>§10.25 COA-02 Implementation Contract; §17</w:t>
            </w:r>
          </w:p>
        </w:tc>
        <w:tc>
          <w:tcPr>
            <w:tcW w:type="dxa" w:w="1531"/>
            <w:tcMar>
              <w:top w:w="70" w:type="dxa"/>
              <w:left w:w="80" w:type="dxa"/>
              <w:bottom w:w="70" w:type="dxa"/>
              <w:right w:w="80" w:type="dxa"/>
            </w:tcMar>
          </w:tcPr>
          <w:p>
            <w:r>
              <w:rPr>
                <w:sz w:val="15"/>
              </w:rPr>
              <w:t>§27; INV-COA-02; API/event contract tests; requirement COA-02-R08</w:t>
            </w:r>
          </w:p>
        </w:tc>
        <w:tc>
          <w:tcPr>
            <w:tcW w:type="dxa" w:w="1531"/>
            <w:tcMar>
              <w:top w:w="70" w:type="dxa"/>
              <w:left w:w="80" w:type="dxa"/>
              <w:bottom w:w="70" w:type="dxa"/>
              <w:right w:w="80" w:type="dxa"/>
            </w:tcMar>
          </w:tcPr>
          <w:p>
            <w:r>
              <w:rPr>
                <w:sz w:val="15"/>
              </w:rPr>
              <w:t>§28; RB-COA-02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COA-03-R01</w:t>
            </w:r>
          </w:p>
        </w:tc>
        <w:tc>
          <w:tcPr>
            <w:tcW w:type="dxa" w:w="1531"/>
            <w:tcMar>
              <w:top w:w="70" w:type="dxa"/>
              <w:left w:w="80" w:type="dxa"/>
              <w:bottom w:w="70" w:type="dxa"/>
              <w:right w:w="80" w:type="dxa"/>
            </w:tcMar>
          </w:tcPr>
          <w:p>
            <w:r>
              <w:rPr>
                <w:sz w:val="15"/>
              </w:rPr>
              <w:t>Nutrition Planning, Meals, Logging &amp; Adherence</w:t>
            </w:r>
          </w:p>
        </w:tc>
        <w:tc>
          <w:tcPr>
            <w:tcW w:type="dxa" w:w="1531"/>
            <w:tcMar>
              <w:top w:w="70" w:type="dxa"/>
              <w:left w:w="80" w:type="dxa"/>
              <w:bottom w:w="70" w:type="dxa"/>
              <w:right w:w="80" w:type="dxa"/>
            </w:tcMar>
          </w:tcPr>
          <w:p>
            <w:r>
              <w:rPr>
                <w:sz w:val="15"/>
              </w:rPr>
              <w:t>Three plan modes: flexible targets, structured meals and hybrid plan with coach-configurable tracking level.</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COA-03</w:t>
            </w:r>
          </w:p>
        </w:tc>
        <w:tc>
          <w:tcPr>
            <w:tcW w:type="dxa" w:w="1531"/>
            <w:tcMar>
              <w:top w:w="70" w:type="dxa"/>
              <w:left w:w="80" w:type="dxa"/>
              <w:bottom w:w="70" w:type="dxa"/>
              <w:right w:w="80" w:type="dxa"/>
            </w:tcMar>
          </w:tcPr>
          <w:p>
            <w:r>
              <w:rPr>
                <w:sz w:val="15"/>
              </w:rPr>
              <w:t>§10.26 COA-03 Implementation Contract; §17</w:t>
            </w:r>
          </w:p>
        </w:tc>
        <w:tc>
          <w:tcPr>
            <w:tcW w:type="dxa" w:w="1531"/>
            <w:tcMar>
              <w:top w:w="70" w:type="dxa"/>
              <w:left w:w="80" w:type="dxa"/>
              <w:bottom w:w="70" w:type="dxa"/>
              <w:right w:w="80" w:type="dxa"/>
            </w:tcMar>
          </w:tcPr>
          <w:p>
            <w:r>
              <w:rPr>
                <w:sz w:val="15"/>
              </w:rPr>
              <w:t>§27; INV-COA-03; API/event contract tests; requirement COA-03-R01</w:t>
            </w:r>
          </w:p>
        </w:tc>
        <w:tc>
          <w:tcPr>
            <w:tcW w:type="dxa" w:w="1531"/>
            <w:tcMar>
              <w:top w:w="70" w:type="dxa"/>
              <w:left w:w="80" w:type="dxa"/>
              <w:bottom w:w="70" w:type="dxa"/>
              <w:right w:w="80" w:type="dxa"/>
            </w:tcMar>
          </w:tcPr>
          <w:p>
            <w:r>
              <w:rPr>
                <w:sz w:val="15"/>
              </w:rPr>
              <w:t>§28; RB-COA-03</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COA-03-R02</w:t>
            </w:r>
          </w:p>
        </w:tc>
        <w:tc>
          <w:tcPr>
            <w:tcW w:type="dxa" w:w="1531"/>
            <w:tcMar>
              <w:top w:w="70" w:type="dxa"/>
              <w:left w:w="80" w:type="dxa"/>
              <w:bottom w:w="70" w:type="dxa"/>
              <w:right w:w="80" w:type="dxa"/>
            </w:tcMar>
          </w:tcPr>
          <w:p>
            <w:r>
              <w:rPr>
                <w:sz w:val="15"/>
              </w:rPr>
              <w:t>Nutrition Planning, Meals, Logging &amp; Adherence</w:t>
            </w:r>
          </w:p>
        </w:tc>
        <w:tc>
          <w:tcPr>
            <w:tcW w:type="dxa" w:w="1531"/>
            <w:tcMar>
              <w:top w:w="70" w:type="dxa"/>
              <w:left w:w="80" w:type="dxa"/>
              <w:bottom w:w="70" w:type="dxa"/>
              <w:right w:w="80" w:type="dxa"/>
            </w:tcMar>
          </w:tcPr>
          <w:p>
            <w:r>
              <w:rPr>
                <w:sz w:val="15"/>
              </w:rPr>
              <w:t>Auto-load member age, measurements, goals, activity, training schedule and approved health context; request only missing data.</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COA-03</w:t>
            </w:r>
          </w:p>
        </w:tc>
        <w:tc>
          <w:tcPr>
            <w:tcW w:type="dxa" w:w="1531"/>
            <w:tcMar>
              <w:top w:w="70" w:type="dxa"/>
              <w:left w:w="80" w:type="dxa"/>
              <w:bottom w:w="70" w:type="dxa"/>
              <w:right w:w="80" w:type="dxa"/>
            </w:tcMar>
          </w:tcPr>
          <w:p>
            <w:r>
              <w:rPr>
                <w:sz w:val="15"/>
              </w:rPr>
              <w:t>§10.26 COA-03 Implementation Contract; §17</w:t>
            </w:r>
          </w:p>
        </w:tc>
        <w:tc>
          <w:tcPr>
            <w:tcW w:type="dxa" w:w="1531"/>
            <w:tcMar>
              <w:top w:w="70" w:type="dxa"/>
              <w:left w:w="80" w:type="dxa"/>
              <w:bottom w:w="70" w:type="dxa"/>
              <w:right w:w="80" w:type="dxa"/>
            </w:tcMar>
          </w:tcPr>
          <w:p>
            <w:r>
              <w:rPr>
                <w:sz w:val="15"/>
              </w:rPr>
              <w:t>§27; INV-COA-03; API/event contract tests; requirement COA-03-R02</w:t>
            </w:r>
          </w:p>
        </w:tc>
        <w:tc>
          <w:tcPr>
            <w:tcW w:type="dxa" w:w="1531"/>
            <w:tcMar>
              <w:top w:w="70" w:type="dxa"/>
              <w:left w:w="80" w:type="dxa"/>
              <w:bottom w:w="70" w:type="dxa"/>
              <w:right w:w="80" w:type="dxa"/>
            </w:tcMar>
          </w:tcPr>
          <w:p>
            <w:r>
              <w:rPr>
                <w:sz w:val="15"/>
              </w:rPr>
              <w:t>§28; RB-COA-03</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COA-03-R03</w:t>
            </w:r>
          </w:p>
        </w:tc>
        <w:tc>
          <w:tcPr>
            <w:tcW w:type="dxa" w:w="1531"/>
            <w:tcMar>
              <w:top w:w="70" w:type="dxa"/>
              <w:left w:w="80" w:type="dxa"/>
              <w:bottom w:w="70" w:type="dxa"/>
              <w:right w:w="80" w:type="dxa"/>
            </w:tcMar>
          </w:tcPr>
          <w:p>
            <w:r>
              <w:rPr>
                <w:sz w:val="15"/>
              </w:rPr>
              <w:t>Nutrition Planning, Meals, Logging &amp; Adherence</w:t>
            </w:r>
          </w:p>
        </w:tc>
        <w:tc>
          <w:tcPr>
            <w:tcW w:type="dxa" w:w="1531"/>
            <w:tcMar>
              <w:top w:w="70" w:type="dxa"/>
              <w:left w:w="80" w:type="dxa"/>
              <w:bottom w:w="70" w:type="dxa"/>
              <w:right w:w="80" w:type="dxa"/>
            </w:tcMar>
          </w:tcPr>
          <w:p>
            <w:r>
              <w:rPr>
                <w:sz w:val="15"/>
              </w:rPr>
              <w:t>Preferences for allergies, dietary pattern, halal, dislikes, cuisine, budget, cooking time, meal count and schedule.</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COA-03</w:t>
            </w:r>
          </w:p>
        </w:tc>
        <w:tc>
          <w:tcPr>
            <w:tcW w:type="dxa" w:w="1531"/>
            <w:tcMar>
              <w:top w:w="70" w:type="dxa"/>
              <w:left w:w="80" w:type="dxa"/>
              <w:bottom w:w="70" w:type="dxa"/>
              <w:right w:w="80" w:type="dxa"/>
            </w:tcMar>
          </w:tcPr>
          <w:p>
            <w:r>
              <w:rPr>
                <w:sz w:val="15"/>
              </w:rPr>
              <w:t>§10.26 COA-03 Implementation Contract; §17</w:t>
            </w:r>
          </w:p>
        </w:tc>
        <w:tc>
          <w:tcPr>
            <w:tcW w:type="dxa" w:w="1531"/>
            <w:tcMar>
              <w:top w:w="70" w:type="dxa"/>
              <w:left w:w="80" w:type="dxa"/>
              <w:bottom w:w="70" w:type="dxa"/>
              <w:right w:w="80" w:type="dxa"/>
            </w:tcMar>
          </w:tcPr>
          <w:p>
            <w:r>
              <w:rPr>
                <w:sz w:val="15"/>
              </w:rPr>
              <w:t>§27; INV-COA-03; API/event contract tests; requirement COA-03-R03</w:t>
            </w:r>
          </w:p>
        </w:tc>
        <w:tc>
          <w:tcPr>
            <w:tcW w:type="dxa" w:w="1531"/>
            <w:tcMar>
              <w:top w:w="70" w:type="dxa"/>
              <w:left w:w="80" w:type="dxa"/>
              <w:bottom w:w="70" w:type="dxa"/>
              <w:right w:w="80" w:type="dxa"/>
            </w:tcMar>
          </w:tcPr>
          <w:p>
            <w:r>
              <w:rPr>
                <w:sz w:val="15"/>
              </w:rPr>
              <w:t>§28; RB-COA-03</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COA-03-R04</w:t>
            </w:r>
          </w:p>
        </w:tc>
        <w:tc>
          <w:tcPr>
            <w:tcW w:type="dxa" w:w="1531"/>
            <w:tcMar>
              <w:top w:w="70" w:type="dxa"/>
              <w:left w:w="80" w:type="dxa"/>
              <w:bottom w:w="70" w:type="dxa"/>
              <w:right w:w="80" w:type="dxa"/>
            </w:tcMar>
          </w:tcPr>
          <w:p>
            <w:r>
              <w:rPr>
                <w:sz w:val="15"/>
              </w:rPr>
              <w:t>Nutrition Planning, Meals, Logging &amp; Adherence</w:t>
            </w:r>
          </w:p>
        </w:tc>
        <w:tc>
          <w:tcPr>
            <w:tcW w:type="dxa" w:w="1531"/>
            <w:tcMar>
              <w:top w:w="70" w:type="dxa"/>
              <w:left w:w="80" w:type="dxa"/>
              <w:bottom w:w="70" w:type="dxa"/>
              <w:right w:w="80" w:type="dxa"/>
            </w:tcMar>
          </w:tcPr>
          <w:p>
            <w:r>
              <w:rPr>
                <w:sz w:val="15"/>
              </w:rPr>
              <w:t>AI/template/scratch plan creation with calorie/macro targets, confidence, rationale and coach review.</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COA-03</w:t>
            </w:r>
          </w:p>
        </w:tc>
        <w:tc>
          <w:tcPr>
            <w:tcW w:type="dxa" w:w="1531"/>
            <w:tcMar>
              <w:top w:w="70" w:type="dxa"/>
              <w:left w:w="80" w:type="dxa"/>
              <w:bottom w:w="70" w:type="dxa"/>
              <w:right w:w="80" w:type="dxa"/>
            </w:tcMar>
          </w:tcPr>
          <w:p>
            <w:r>
              <w:rPr>
                <w:sz w:val="15"/>
              </w:rPr>
              <w:t>§10.26 COA-03 Implementation Contract; §17</w:t>
            </w:r>
          </w:p>
        </w:tc>
        <w:tc>
          <w:tcPr>
            <w:tcW w:type="dxa" w:w="1531"/>
            <w:tcMar>
              <w:top w:w="70" w:type="dxa"/>
              <w:left w:w="80" w:type="dxa"/>
              <w:bottom w:w="70" w:type="dxa"/>
              <w:right w:w="80" w:type="dxa"/>
            </w:tcMar>
          </w:tcPr>
          <w:p>
            <w:r>
              <w:rPr>
                <w:sz w:val="15"/>
              </w:rPr>
              <w:t>§27; INV-COA-03; API/event contract tests; requirement COA-03-R04</w:t>
            </w:r>
          </w:p>
        </w:tc>
        <w:tc>
          <w:tcPr>
            <w:tcW w:type="dxa" w:w="1531"/>
            <w:tcMar>
              <w:top w:w="70" w:type="dxa"/>
              <w:left w:w="80" w:type="dxa"/>
              <w:bottom w:w="70" w:type="dxa"/>
              <w:right w:w="80" w:type="dxa"/>
            </w:tcMar>
          </w:tcPr>
          <w:p>
            <w:r>
              <w:rPr>
                <w:sz w:val="15"/>
              </w:rPr>
              <w:t>§28; RB-COA-03</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COA-03-R05</w:t>
            </w:r>
          </w:p>
        </w:tc>
        <w:tc>
          <w:tcPr>
            <w:tcW w:type="dxa" w:w="1531"/>
            <w:tcMar>
              <w:top w:w="70" w:type="dxa"/>
              <w:left w:w="80" w:type="dxa"/>
              <w:bottom w:w="70" w:type="dxa"/>
              <w:right w:w="80" w:type="dxa"/>
            </w:tcMar>
          </w:tcPr>
          <w:p>
            <w:r>
              <w:rPr>
                <w:sz w:val="15"/>
              </w:rPr>
              <w:t>Nutrition Planning, Meals, Logging &amp; Adherence</w:t>
            </w:r>
          </w:p>
        </w:tc>
        <w:tc>
          <w:tcPr>
            <w:tcW w:type="dxa" w:w="1531"/>
            <w:tcMar>
              <w:top w:w="70" w:type="dxa"/>
              <w:left w:w="80" w:type="dxa"/>
              <w:bottom w:w="70" w:type="dxa"/>
              <w:right w:w="80" w:type="dxa"/>
            </w:tcMar>
          </w:tcPr>
          <w:p>
            <w:r>
              <w:rPr>
                <w:sz w:val="15"/>
              </w:rPr>
              <w:t>Meal builder with recipe search, favorites, recent items, local/MENA foods, portions, daily target feedback and one-click target repair.</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COA-03</w:t>
            </w:r>
          </w:p>
        </w:tc>
        <w:tc>
          <w:tcPr>
            <w:tcW w:type="dxa" w:w="1531"/>
            <w:tcMar>
              <w:top w:w="70" w:type="dxa"/>
              <w:left w:w="80" w:type="dxa"/>
              <w:bottom w:w="70" w:type="dxa"/>
              <w:right w:w="80" w:type="dxa"/>
            </w:tcMar>
          </w:tcPr>
          <w:p>
            <w:r>
              <w:rPr>
                <w:sz w:val="15"/>
              </w:rPr>
              <w:t>§10.26 COA-03 Implementation Contract; §17</w:t>
            </w:r>
          </w:p>
        </w:tc>
        <w:tc>
          <w:tcPr>
            <w:tcW w:type="dxa" w:w="1531"/>
            <w:tcMar>
              <w:top w:w="70" w:type="dxa"/>
              <w:left w:w="80" w:type="dxa"/>
              <w:bottom w:w="70" w:type="dxa"/>
              <w:right w:w="80" w:type="dxa"/>
            </w:tcMar>
          </w:tcPr>
          <w:p>
            <w:r>
              <w:rPr>
                <w:sz w:val="15"/>
              </w:rPr>
              <w:t>§27; INV-COA-03; API/event contract tests; requirement COA-03-R05</w:t>
            </w:r>
          </w:p>
        </w:tc>
        <w:tc>
          <w:tcPr>
            <w:tcW w:type="dxa" w:w="1531"/>
            <w:tcMar>
              <w:top w:w="70" w:type="dxa"/>
              <w:left w:w="80" w:type="dxa"/>
              <w:bottom w:w="70" w:type="dxa"/>
              <w:right w:w="80" w:type="dxa"/>
            </w:tcMar>
          </w:tcPr>
          <w:p>
            <w:r>
              <w:rPr>
                <w:sz w:val="15"/>
              </w:rPr>
              <w:t>§28; RB-COA-03</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COA-03-R06</w:t>
            </w:r>
          </w:p>
        </w:tc>
        <w:tc>
          <w:tcPr>
            <w:tcW w:type="dxa" w:w="1531"/>
            <w:tcMar>
              <w:top w:w="70" w:type="dxa"/>
              <w:left w:w="80" w:type="dxa"/>
              <w:bottom w:w="70" w:type="dxa"/>
              <w:right w:w="80" w:type="dxa"/>
            </w:tcMar>
          </w:tcPr>
          <w:p>
            <w:r>
              <w:rPr>
                <w:sz w:val="15"/>
              </w:rPr>
              <w:t>Nutrition Planning, Meals, Logging &amp; Adherence</w:t>
            </w:r>
          </w:p>
        </w:tc>
        <w:tc>
          <w:tcPr>
            <w:tcW w:type="dxa" w:w="1531"/>
            <w:tcMar>
              <w:top w:w="70" w:type="dxa"/>
              <w:left w:w="80" w:type="dxa"/>
              <w:bottom w:w="70" w:type="dxa"/>
              <w:right w:w="80" w:type="dxa"/>
            </w:tcMar>
          </w:tcPr>
          <w:p>
            <w:r>
              <w:rPr>
                <w:sz w:val="15"/>
              </w:rPr>
              <w:t>Generate or duplicate days, rotate meals, create meal slots and maintain alternatives within calorie/protein tolerance.</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COA-03</w:t>
            </w:r>
          </w:p>
        </w:tc>
        <w:tc>
          <w:tcPr>
            <w:tcW w:type="dxa" w:w="1531"/>
            <w:tcMar>
              <w:top w:w="70" w:type="dxa"/>
              <w:left w:w="80" w:type="dxa"/>
              <w:bottom w:w="70" w:type="dxa"/>
              <w:right w:w="80" w:type="dxa"/>
            </w:tcMar>
          </w:tcPr>
          <w:p>
            <w:r>
              <w:rPr>
                <w:sz w:val="15"/>
              </w:rPr>
              <w:t>§10.26 COA-03 Implementation Contract; §17</w:t>
            </w:r>
          </w:p>
        </w:tc>
        <w:tc>
          <w:tcPr>
            <w:tcW w:type="dxa" w:w="1531"/>
            <w:tcMar>
              <w:top w:w="70" w:type="dxa"/>
              <w:left w:w="80" w:type="dxa"/>
              <w:bottom w:w="70" w:type="dxa"/>
              <w:right w:w="80" w:type="dxa"/>
            </w:tcMar>
          </w:tcPr>
          <w:p>
            <w:r>
              <w:rPr>
                <w:sz w:val="15"/>
              </w:rPr>
              <w:t>§27; INV-COA-03; API/event contract tests; requirement COA-03-R06</w:t>
            </w:r>
          </w:p>
        </w:tc>
        <w:tc>
          <w:tcPr>
            <w:tcW w:type="dxa" w:w="1531"/>
            <w:tcMar>
              <w:top w:w="70" w:type="dxa"/>
              <w:left w:w="80" w:type="dxa"/>
              <w:bottom w:w="70" w:type="dxa"/>
              <w:right w:w="80" w:type="dxa"/>
            </w:tcMar>
          </w:tcPr>
          <w:p>
            <w:r>
              <w:rPr>
                <w:sz w:val="15"/>
              </w:rPr>
              <w:t>§28; RB-COA-03</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COA-03-R07</w:t>
            </w:r>
          </w:p>
        </w:tc>
        <w:tc>
          <w:tcPr>
            <w:tcW w:type="dxa" w:w="1531"/>
            <w:tcMar>
              <w:top w:w="70" w:type="dxa"/>
              <w:left w:w="80" w:type="dxa"/>
              <w:bottom w:w="70" w:type="dxa"/>
              <w:right w:w="80" w:type="dxa"/>
            </w:tcMar>
          </w:tcPr>
          <w:p>
            <w:r>
              <w:rPr>
                <w:sz w:val="15"/>
              </w:rPr>
              <w:t>Nutrition Planning, Meals, Logging &amp; Adherence</w:t>
            </w:r>
          </w:p>
        </w:tc>
        <w:tc>
          <w:tcPr>
            <w:tcW w:type="dxa" w:w="1531"/>
            <w:tcMar>
              <w:top w:w="70" w:type="dxa"/>
              <w:left w:w="80" w:type="dxa"/>
              <w:bottom w:w="70" w:type="dxa"/>
              <w:right w:w="80" w:type="dxa"/>
            </w:tcMar>
          </w:tcPr>
          <w:p>
            <w:r>
              <w:rPr>
                <w:sz w:val="15"/>
              </w:rPr>
              <w:t>Preview exactly as member, set start/duration/check-in, meal-swap permissions and exception thresholds, then assign.</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COA-03</w:t>
            </w:r>
          </w:p>
        </w:tc>
        <w:tc>
          <w:tcPr>
            <w:tcW w:type="dxa" w:w="1531"/>
            <w:tcMar>
              <w:top w:w="70" w:type="dxa"/>
              <w:left w:w="80" w:type="dxa"/>
              <w:bottom w:w="70" w:type="dxa"/>
              <w:right w:w="80" w:type="dxa"/>
            </w:tcMar>
          </w:tcPr>
          <w:p>
            <w:r>
              <w:rPr>
                <w:sz w:val="15"/>
              </w:rPr>
              <w:t>§10.26 COA-03 Implementation Contract; §17</w:t>
            </w:r>
          </w:p>
        </w:tc>
        <w:tc>
          <w:tcPr>
            <w:tcW w:type="dxa" w:w="1531"/>
            <w:tcMar>
              <w:top w:w="70" w:type="dxa"/>
              <w:left w:w="80" w:type="dxa"/>
              <w:bottom w:w="70" w:type="dxa"/>
              <w:right w:w="80" w:type="dxa"/>
            </w:tcMar>
          </w:tcPr>
          <w:p>
            <w:r>
              <w:rPr>
                <w:sz w:val="15"/>
              </w:rPr>
              <w:t>§27; INV-COA-03; API/event contract tests; requirement COA-03-R07</w:t>
            </w:r>
          </w:p>
        </w:tc>
        <w:tc>
          <w:tcPr>
            <w:tcW w:type="dxa" w:w="1531"/>
            <w:tcMar>
              <w:top w:w="70" w:type="dxa"/>
              <w:left w:w="80" w:type="dxa"/>
              <w:bottom w:w="70" w:type="dxa"/>
              <w:right w:w="80" w:type="dxa"/>
            </w:tcMar>
          </w:tcPr>
          <w:p>
            <w:r>
              <w:rPr>
                <w:sz w:val="15"/>
              </w:rPr>
              <w:t>§28; RB-COA-03</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COA-03-R08</w:t>
            </w:r>
          </w:p>
        </w:tc>
        <w:tc>
          <w:tcPr>
            <w:tcW w:type="dxa" w:w="1531"/>
            <w:tcMar>
              <w:top w:w="70" w:type="dxa"/>
              <w:left w:w="80" w:type="dxa"/>
              <w:bottom w:w="70" w:type="dxa"/>
              <w:right w:w="80" w:type="dxa"/>
            </w:tcMar>
          </w:tcPr>
          <w:p>
            <w:r>
              <w:rPr>
                <w:sz w:val="15"/>
              </w:rPr>
              <w:t>Nutrition Planning, Meals, Logging &amp; Adherence</w:t>
            </w:r>
          </w:p>
        </w:tc>
        <w:tc>
          <w:tcPr>
            <w:tcW w:type="dxa" w:w="1531"/>
            <w:tcMar>
              <w:top w:w="70" w:type="dxa"/>
              <w:left w:w="80" w:type="dxa"/>
              <w:bottom w:w="70" w:type="dxa"/>
              <w:right w:w="80" w:type="dxa"/>
            </w:tcMar>
          </w:tcPr>
          <w:p>
            <w:r>
              <w:rPr>
                <w:sz w:val="15"/>
              </w:rPr>
              <w:t>Member today view answering “what should I eat now?” with one-tap Eat &amp; Log.</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COA-03</w:t>
            </w:r>
          </w:p>
        </w:tc>
        <w:tc>
          <w:tcPr>
            <w:tcW w:type="dxa" w:w="1531"/>
            <w:tcMar>
              <w:top w:w="70" w:type="dxa"/>
              <w:left w:w="80" w:type="dxa"/>
              <w:bottom w:w="70" w:type="dxa"/>
              <w:right w:w="80" w:type="dxa"/>
            </w:tcMar>
          </w:tcPr>
          <w:p>
            <w:r>
              <w:rPr>
                <w:sz w:val="15"/>
              </w:rPr>
              <w:t>§10.26 COA-03 Implementation Contract; §17</w:t>
            </w:r>
          </w:p>
        </w:tc>
        <w:tc>
          <w:tcPr>
            <w:tcW w:type="dxa" w:w="1531"/>
            <w:tcMar>
              <w:top w:w="70" w:type="dxa"/>
              <w:left w:w="80" w:type="dxa"/>
              <w:bottom w:w="70" w:type="dxa"/>
              <w:right w:w="80" w:type="dxa"/>
            </w:tcMar>
          </w:tcPr>
          <w:p>
            <w:r>
              <w:rPr>
                <w:sz w:val="15"/>
              </w:rPr>
              <w:t>§27; INV-COA-03; API/event contract tests; requirement COA-03-R08</w:t>
            </w:r>
          </w:p>
        </w:tc>
        <w:tc>
          <w:tcPr>
            <w:tcW w:type="dxa" w:w="1531"/>
            <w:tcMar>
              <w:top w:w="70" w:type="dxa"/>
              <w:left w:w="80" w:type="dxa"/>
              <w:bottom w:w="70" w:type="dxa"/>
              <w:right w:w="80" w:type="dxa"/>
            </w:tcMar>
          </w:tcPr>
          <w:p>
            <w:r>
              <w:rPr>
                <w:sz w:val="15"/>
              </w:rPr>
              <w:t>§28; RB-COA-03</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COA-03-R09</w:t>
            </w:r>
          </w:p>
        </w:tc>
        <w:tc>
          <w:tcPr>
            <w:tcW w:type="dxa" w:w="1531"/>
            <w:tcMar>
              <w:top w:w="70" w:type="dxa"/>
              <w:left w:w="80" w:type="dxa"/>
              <w:bottom w:w="70" w:type="dxa"/>
              <w:right w:w="80" w:type="dxa"/>
            </w:tcMar>
          </w:tcPr>
          <w:p>
            <w:r>
              <w:rPr>
                <w:sz w:val="15"/>
              </w:rPr>
              <w:t>Nutrition Planning, Meals, Logging &amp; Adherence</w:t>
            </w:r>
          </w:p>
        </w:tc>
        <w:tc>
          <w:tcPr>
            <w:tcW w:type="dxa" w:w="1531"/>
            <w:tcMar>
              <w:top w:w="70" w:type="dxa"/>
              <w:left w:w="80" w:type="dxa"/>
              <w:bottom w:w="70" w:type="dxa"/>
              <w:right w:w="80" w:type="dxa"/>
            </w:tcMar>
          </w:tcPr>
          <w:p>
            <w:r>
              <w:rPr>
                <w:sz w:val="15"/>
              </w:rPr>
              <w:t>Smart swap, portion change, skip, log-something-else, barcode, favorites, recent and photo-based estimate with uncertainty.</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COA-03</w:t>
            </w:r>
          </w:p>
        </w:tc>
        <w:tc>
          <w:tcPr>
            <w:tcW w:type="dxa" w:w="1531"/>
            <w:tcMar>
              <w:top w:w="70" w:type="dxa"/>
              <w:left w:w="80" w:type="dxa"/>
              <w:bottom w:w="70" w:type="dxa"/>
              <w:right w:w="80" w:type="dxa"/>
            </w:tcMar>
          </w:tcPr>
          <w:p>
            <w:r>
              <w:rPr>
                <w:sz w:val="15"/>
              </w:rPr>
              <w:t>§10.26 COA-03 Implementation Contract; §17</w:t>
            </w:r>
          </w:p>
        </w:tc>
        <w:tc>
          <w:tcPr>
            <w:tcW w:type="dxa" w:w="1531"/>
            <w:tcMar>
              <w:top w:w="70" w:type="dxa"/>
              <w:left w:w="80" w:type="dxa"/>
              <w:bottom w:w="70" w:type="dxa"/>
              <w:right w:w="80" w:type="dxa"/>
            </w:tcMar>
          </w:tcPr>
          <w:p>
            <w:r>
              <w:rPr>
                <w:sz w:val="15"/>
              </w:rPr>
              <w:t>§27; INV-COA-03; API/event contract tests; requirement COA-03-R09</w:t>
            </w:r>
          </w:p>
        </w:tc>
        <w:tc>
          <w:tcPr>
            <w:tcW w:type="dxa" w:w="1531"/>
            <w:tcMar>
              <w:top w:w="70" w:type="dxa"/>
              <w:left w:w="80" w:type="dxa"/>
              <w:bottom w:w="70" w:type="dxa"/>
              <w:right w:w="80" w:type="dxa"/>
            </w:tcMar>
          </w:tcPr>
          <w:p>
            <w:r>
              <w:rPr>
                <w:sz w:val="15"/>
              </w:rPr>
              <w:t>§28; RB-COA-03</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COA-03-R10</w:t>
            </w:r>
          </w:p>
        </w:tc>
        <w:tc>
          <w:tcPr>
            <w:tcW w:type="dxa" w:w="1531"/>
            <w:tcMar>
              <w:top w:w="70" w:type="dxa"/>
              <w:left w:w="80" w:type="dxa"/>
              <w:bottom w:w="70" w:type="dxa"/>
              <w:right w:w="80" w:type="dxa"/>
            </w:tcMar>
          </w:tcPr>
          <w:p>
            <w:r>
              <w:rPr>
                <w:sz w:val="15"/>
              </w:rPr>
              <w:t>Nutrition Planning, Meals, Logging &amp; Adherence</w:t>
            </w:r>
          </w:p>
        </w:tc>
        <w:tc>
          <w:tcPr>
            <w:tcW w:type="dxa" w:w="1531"/>
            <w:tcMar>
              <w:top w:w="70" w:type="dxa"/>
              <w:left w:w="80" w:type="dxa"/>
              <w:bottom w:w="70" w:type="dxa"/>
              <w:right w:w="80" w:type="dxa"/>
            </w:tcMar>
          </w:tcPr>
          <w:p>
            <w:r>
              <w:rPr>
                <w:sz w:val="15"/>
              </w:rPr>
              <w:t>Automatic grocery list, restaurant alternatives, contextual coach question and weekly check-in.</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COA-03</w:t>
            </w:r>
          </w:p>
        </w:tc>
        <w:tc>
          <w:tcPr>
            <w:tcW w:type="dxa" w:w="1531"/>
            <w:tcMar>
              <w:top w:w="70" w:type="dxa"/>
              <w:left w:w="80" w:type="dxa"/>
              <w:bottom w:w="70" w:type="dxa"/>
              <w:right w:w="80" w:type="dxa"/>
            </w:tcMar>
          </w:tcPr>
          <w:p>
            <w:r>
              <w:rPr>
                <w:sz w:val="15"/>
              </w:rPr>
              <w:t>§10.26 COA-03 Implementation Contract; §17</w:t>
            </w:r>
          </w:p>
        </w:tc>
        <w:tc>
          <w:tcPr>
            <w:tcW w:type="dxa" w:w="1531"/>
            <w:tcMar>
              <w:top w:w="70" w:type="dxa"/>
              <w:left w:w="80" w:type="dxa"/>
              <w:bottom w:w="70" w:type="dxa"/>
              <w:right w:w="80" w:type="dxa"/>
            </w:tcMar>
          </w:tcPr>
          <w:p>
            <w:r>
              <w:rPr>
                <w:sz w:val="15"/>
              </w:rPr>
              <w:t>§27; INV-COA-03; API/event contract tests; requirement COA-03-R10</w:t>
            </w:r>
          </w:p>
        </w:tc>
        <w:tc>
          <w:tcPr>
            <w:tcW w:type="dxa" w:w="1531"/>
            <w:tcMar>
              <w:top w:w="70" w:type="dxa"/>
              <w:left w:w="80" w:type="dxa"/>
              <w:bottom w:w="70" w:type="dxa"/>
              <w:right w:w="80" w:type="dxa"/>
            </w:tcMar>
          </w:tcPr>
          <w:p>
            <w:r>
              <w:rPr>
                <w:sz w:val="15"/>
              </w:rPr>
              <w:t>§28; RB-COA-03</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COA-03-R11</w:t>
            </w:r>
          </w:p>
        </w:tc>
        <w:tc>
          <w:tcPr>
            <w:tcW w:type="dxa" w:w="1531"/>
            <w:tcMar>
              <w:top w:w="70" w:type="dxa"/>
              <w:left w:w="80" w:type="dxa"/>
              <w:bottom w:w="70" w:type="dxa"/>
              <w:right w:w="80" w:type="dxa"/>
            </w:tcMar>
          </w:tcPr>
          <w:p>
            <w:r>
              <w:rPr>
                <w:sz w:val="15"/>
              </w:rPr>
              <w:t>Nutrition Planning, Meals, Logging &amp; Adherence</w:t>
            </w:r>
          </w:p>
        </w:tc>
        <w:tc>
          <w:tcPr>
            <w:tcW w:type="dxa" w:w="1531"/>
            <w:tcMar>
              <w:top w:w="70" w:type="dxa"/>
              <w:left w:w="80" w:type="dxa"/>
              <w:bottom w:w="70" w:type="dxa"/>
              <w:right w:w="80" w:type="dxa"/>
            </w:tcMar>
          </w:tcPr>
          <w:p>
            <w:r>
              <w:rPr>
                <w:sz w:val="15"/>
              </w:rPr>
              <w:t>Coach exception inbox for low adherence, repeated missed protein, weight stall, swap request, hunger or energy issue.</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COA-03</w:t>
            </w:r>
          </w:p>
        </w:tc>
        <w:tc>
          <w:tcPr>
            <w:tcW w:type="dxa" w:w="1531"/>
            <w:tcMar>
              <w:top w:w="70" w:type="dxa"/>
              <w:left w:w="80" w:type="dxa"/>
              <w:bottom w:w="70" w:type="dxa"/>
              <w:right w:w="80" w:type="dxa"/>
            </w:tcMar>
          </w:tcPr>
          <w:p>
            <w:r>
              <w:rPr>
                <w:sz w:val="15"/>
              </w:rPr>
              <w:t>§10.26 COA-03 Implementation Contract; §17</w:t>
            </w:r>
          </w:p>
        </w:tc>
        <w:tc>
          <w:tcPr>
            <w:tcW w:type="dxa" w:w="1531"/>
            <w:tcMar>
              <w:top w:w="70" w:type="dxa"/>
              <w:left w:w="80" w:type="dxa"/>
              <w:bottom w:w="70" w:type="dxa"/>
              <w:right w:w="80" w:type="dxa"/>
            </w:tcMar>
          </w:tcPr>
          <w:p>
            <w:r>
              <w:rPr>
                <w:sz w:val="15"/>
              </w:rPr>
              <w:t>§27; INV-COA-03; API/event contract tests; requirement COA-03-R11</w:t>
            </w:r>
          </w:p>
        </w:tc>
        <w:tc>
          <w:tcPr>
            <w:tcW w:type="dxa" w:w="1531"/>
            <w:tcMar>
              <w:top w:w="70" w:type="dxa"/>
              <w:left w:w="80" w:type="dxa"/>
              <w:bottom w:w="70" w:type="dxa"/>
              <w:right w:w="80" w:type="dxa"/>
            </w:tcMar>
          </w:tcPr>
          <w:p>
            <w:r>
              <w:rPr>
                <w:sz w:val="15"/>
              </w:rPr>
              <w:t>§28; RB-COA-03</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COA-03-R12</w:t>
            </w:r>
          </w:p>
        </w:tc>
        <w:tc>
          <w:tcPr>
            <w:tcW w:type="dxa" w:w="1531"/>
            <w:tcMar>
              <w:top w:w="70" w:type="dxa"/>
              <w:left w:w="80" w:type="dxa"/>
              <w:bottom w:w="70" w:type="dxa"/>
              <w:right w:w="80" w:type="dxa"/>
            </w:tcMar>
          </w:tcPr>
          <w:p>
            <w:r>
              <w:rPr>
                <w:sz w:val="15"/>
              </w:rPr>
              <w:t>Nutrition Planning, Meals, Logging &amp; Adherence</w:t>
            </w:r>
          </w:p>
        </w:tc>
        <w:tc>
          <w:tcPr>
            <w:tcW w:type="dxa" w:w="1531"/>
            <w:tcMar>
              <w:top w:w="70" w:type="dxa"/>
              <w:left w:w="80" w:type="dxa"/>
              <w:bottom w:w="70" w:type="dxa"/>
              <w:right w:w="80" w:type="dxa"/>
            </w:tcMar>
          </w:tcPr>
          <w:p>
            <w:r>
              <w:rPr>
                <w:sz w:val="15"/>
              </w:rPr>
              <w:t>Food/recipe library governance, locale-specific serving units, nutrition-source provenance and edit history.</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COA-03</w:t>
            </w:r>
          </w:p>
        </w:tc>
        <w:tc>
          <w:tcPr>
            <w:tcW w:type="dxa" w:w="1531"/>
            <w:tcMar>
              <w:top w:w="70" w:type="dxa"/>
              <w:left w:w="80" w:type="dxa"/>
              <w:bottom w:w="70" w:type="dxa"/>
              <w:right w:w="80" w:type="dxa"/>
            </w:tcMar>
          </w:tcPr>
          <w:p>
            <w:r>
              <w:rPr>
                <w:sz w:val="15"/>
              </w:rPr>
              <w:t>§10.26 COA-03 Implementation Contract; §17</w:t>
            </w:r>
          </w:p>
        </w:tc>
        <w:tc>
          <w:tcPr>
            <w:tcW w:type="dxa" w:w="1531"/>
            <w:tcMar>
              <w:top w:w="70" w:type="dxa"/>
              <w:left w:w="80" w:type="dxa"/>
              <w:bottom w:w="70" w:type="dxa"/>
              <w:right w:w="80" w:type="dxa"/>
            </w:tcMar>
          </w:tcPr>
          <w:p>
            <w:r>
              <w:rPr>
                <w:sz w:val="15"/>
              </w:rPr>
              <w:t>§27; INV-COA-03; API/event contract tests; requirement COA-03-R12</w:t>
            </w:r>
          </w:p>
        </w:tc>
        <w:tc>
          <w:tcPr>
            <w:tcW w:type="dxa" w:w="1531"/>
            <w:tcMar>
              <w:top w:w="70" w:type="dxa"/>
              <w:left w:w="80" w:type="dxa"/>
              <w:bottom w:w="70" w:type="dxa"/>
              <w:right w:w="80" w:type="dxa"/>
            </w:tcMar>
          </w:tcPr>
          <w:p>
            <w:r>
              <w:rPr>
                <w:sz w:val="15"/>
              </w:rPr>
              <w:t>§28; RB-COA-03</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COA-04-R01</w:t>
            </w:r>
          </w:p>
        </w:tc>
        <w:tc>
          <w:tcPr>
            <w:tcW w:type="dxa" w:w="1531"/>
            <w:tcMar>
              <w:top w:w="70" w:type="dxa"/>
              <w:left w:w="80" w:type="dxa"/>
              <w:bottom w:w="70" w:type="dxa"/>
              <w:right w:w="80" w:type="dxa"/>
            </w:tcMar>
          </w:tcPr>
          <w:p>
            <w:r>
              <w:rPr>
                <w:sz w:val="15"/>
              </w:rPr>
              <w:t>Assessments, Measurements, Progress &amp; Outcomes</w:t>
            </w:r>
          </w:p>
        </w:tc>
        <w:tc>
          <w:tcPr>
            <w:tcW w:type="dxa" w:w="1531"/>
            <w:tcMar>
              <w:top w:w="70" w:type="dxa"/>
              <w:left w:w="80" w:type="dxa"/>
              <w:bottom w:w="70" w:type="dxa"/>
              <w:right w:w="80" w:type="dxa"/>
            </w:tcMar>
          </w:tcPr>
          <w:p>
            <w:r>
              <w:rPr>
                <w:sz w:val="15"/>
              </w:rPr>
              <w:t>Configurable assessment templates for goals, movement, fitness, strength, endurance, habits and wellbeing.</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COA-04</w:t>
            </w:r>
          </w:p>
        </w:tc>
        <w:tc>
          <w:tcPr>
            <w:tcW w:type="dxa" w:w="1531"/>
            <w:tcMar>
              <w:top w:w="70" w:type="dxa"/>
              <w:left w:w="80" w:type="dxa"/>
              <w:bottom w:w="70" w:type="dxa"/>
              <w:right w:w="80" w:type="dxa"/>
            </w:tcMar>
          </w:tcPr>
          <w:p>
            <w:r>
              <w:rPr>
                <w:sz w:val="15"/>
              </w:rPr>
              <w:t>§10.27 COA-04 Implementation Contract; §17</w:t>
            </w:r>
          </w:p>
        </w:tc>
        <w:tc>
          <w:tcPr>
            <w:tcW w:type="dxa" w:w="1531"/>
            <w:tcMar>
              <w:top w:w="70" w:type="dxa"/>
              <w:left w:w="80" w:type="dxa"/>
              <w:bottom w:w="70" w:type="dxa"/>
              <w:right w:w="80" w:type="dxa"/>
            </w:tcMar>
          </w:tcPr>
          <w:p>
            <w:r>
              <w:rPr>
                <w:sz w:val="15"/>
              </w:rPr>
              <w:t>§27; INV-COA-04; API/event contract tests; requirement COA-04-R01</w:t>
            </w:r>
          </w:p>
        </w:tc>
        <w:tc>
          <w:tcPr>
            <w:tcW w:type="dxa" w:w="1531"/>
            <w:tcMar>
              <w:top w:w="70" w:type="dxa"/>
              <w:left w:w="80" w:type="dxa"/>
              <w:bottom w:w="70" w:type="dxa"/>
              <w:right w:w="80" w:type="dxa"/>
            </w:tcMar>
          </w:tcPr>
          <w:p>
            <w:r>
              <w:rPr>
                <w:sz w:val="15"/>
              </w:rPr>
              <w:t>§28; RB-COA-04</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COA-04-R02</w:t>
            </w:r>
          </w:p>
        </w:tc>
        <w:tc>
          <w:tcPr>
            <w:tcW w:type="dxa" w:w="1531"/>
            <w:tcMar>
              <w:top w:w="70" w:type="dxa"/>
              <w:left w:w="80" w:type="dxa"/>
              <w:bottom w:w="70" w:type="dxa"/>
              <w:right w:w="80" w:type="dxa"/>
            </w:tcMar>
          </w:tcPr>
          <w:p>
            <w:r>
              <w:rPr>
                <w:sz w:val="15"/>
              </w:rPr>
              <w:t>Assessments, Measurements, Progress &amp; Outcomes</w:t>
            </w:r>
          </w:p>
        </w:tc>
        <w:tc>
          <w:tcPr>
            <w:tcW w:type="dxa" w:w="1531"/>
            <w:tcMar>
              <w:top w:w="70" w:type="dxa"/>
              <w:left w:w="80" w:type="dxa"/>
              <w:bottom w:w="70" w:type="dxa"/>
              <w:right w:w="80" w:type="dxa"/>
            </w:tcMar>
          </w:tcPr>
          <w:p>
            <w:r>
              <w:rPr>
                <w:sz w:val="15"/>
              </w:rPr>
              <w:t>Measurements for weight, circumference, body composition, performance, mobility and custom metrics with unit normalization.</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COA-04</w:t>
            </w:r>
          </w:p>
        </w:tc>
        <w:tc>
          <w:tcPr>
            <w:tcW w:type="dxa" w:w="1531"/>
            <w:tcMar>
              <w:top w:w="70" w:type="dxa"/>
              <w:left w:w="80" w:type="dxa"/>
              <w:bottom w:w="70" w:type="dxa"/>
              <w:right w:w="80" w:type="dxa"/>
            </w:tcMar>
          </w:tcPr>
          <w:p>
            <w:r>
              <w:rPr>
                <w:sz w:val="15"/>
              </w:rPr>
              <w:t>§10.27 COA-04 Implementation Contract; §17</w:t>
            </w:r>
          </w:p>
        </w:tc>
        <w:tc>
          <w:tcPr>
            <w:tcW w:type="dxa" w:w="1531"/>
            <w:tcMar>
              <w:top w:w="70" w:type="dxa"/>
              <w:left w:w="80" w:type="dxa"/>
              <w:bottom w:w="70" w:type="dxa"/>
              <w:right w:w="80" w:type="dxa"/>
            </w:tcMar>
          </w:tcPr>
          <w:p>
            <w:r>
              <w:rPr>
                <w:sz w:val="15"/>
              </w:rPr>
              <w:t>§27; INV-COA-04; API/event contract tests; requirement COA-04-R02</w:t>
            </w:r>
          </w:p>
        </w:tc>
        <w:tc>
          <w:tcPr>
            <w:tcW w:type="dxa" w:w="1531"/>
            <w:tcMar>
              <w:top w:w="70" w:type="dxa"/>
              <w:left w:w="80" w:type="dxa"/>
              <w:bottom w:w="70" w:type="dxa"/>
              <w:right w:w="80" w:type="dxa"/>
            </w:tcMar>
          </w:tcPr>
          <w:p>
            <w:r>
              <w:rPr>
                <w:sz w:val="15"/>
              </w:rPr>
              <w:t>§28; RB-COA-04</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COA-04-R03</w:t>
            </w:r>
          </w:p>
        </w:tc>
        <w:tc>
          <w:tcPr>
            <w:tcW w:type="dxa" w:w="1531"/>
            <w:tcMar>
              <w:top w:w="70" w:type="dxa"/>
              <w:left w:w="80" w:type="dxa"/>
              <w:bottom w:w="70" w:type="dxa"/>
              <w:right w:w="80" w:type="dxa"/>
            </w:tcMar>
          </w:tcPr>
          <w:p>
            <w:r>
              <w:rPr>
                <w:sz w:val="15"/>
              </w:rPr>
              <w:t>Assessments, Measurements, Progress &amp; Outcomes</w:t>
            </w:r>
          </w:p>
        </w:tc>
        <w:tc>
          <w:tcPr>
            <w:tcW w:type="dxa" w:w="1531"/>
            <w:tcMar>
              <w:top w:w="70" w:type="dxa"/>
              <w:left w:w="80" w:type="dxa"/>
              <w:bottom w:w="70" w:type="dxa"/>
              <w:right w:w="80" w:type="dxa"/>
            </w:tcMar>
          </w:tcPr>
          <w:p>
            <w:r>
              <w:rPr>
                <w:sz w:val="15"/>
              </w:rPr>
              <w:t>Progress photos and media with consent, privacy, comparison controls and retention.</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COA-04</w:t>
            </w:r>
          </w:p>
        </w:tc>
        <w:tc>
          <w:tcPr>
            <w:tcW w:type="dxa" w:w="1531"/>
            <w:tcMar>
              <w:top w:w="70" w:type="dxa"/>
              <w:left w:w="80" w:type="dxa"/>
              <w:bottom w:w="70" w:type="dxa"/>
              <w:right w:w="80" w:type="dxa"/>
            </w:tcMar>
          </w:tcPr>
          <w:p>
            <w:r>
              <w:rPr>
                <w:sz w:val="15"/>
              </w:rPr>
              <w:t>§10.27 COA-04 Implementation Contract; §17</w:t>
            </w:r>
          </w:p>
        </w:tc>
        <w:tc>
          <w:tcPr>
            <w:tcW w:type="dxa" w:w="1531"/>
            <w:tcMar>
              <w:top w:w="70" w:type="dxa"/>
              <w:left w:w="80" w:type="dxa"/>
              <w:bottom w:w="70" w:type="dxa"/>
              <w:right w:w="80" w:type="dxa"/>
            </w:tcMar>
          </w:tcPr>
          <w:p>
            <w:r>
              <w:rPr>
                <w:sz w:val="15"/>
              </w:rPr>
              <w:t>§27; INV-COA-04; API/event contract tests; requirement COA-04-R03</w:t>
            </w:r>
          </w:p>
        </w:tc>
        <w:tc>
          <w:tcPr>
            <w:tcW w:type="dxa" w:w="1531"/>
            <w:tcMar>
              <w:top w:w="70" w:type="dxa"/>
              <w:left w:w="80" w:type="dxa"/>
              <w:bottom w:w="70" w:type="dxa"/>
              <w:right w:w="80" w:type="dxa"/>
            </w:tcMar>
          </w:tcPr>
          <w:p>
            <w:r>
              <w:rPr>
                <w:sz w:val="15"/>
              </w:rPr>
              <w:t>§28; RB-COA-04</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COA-04-R04</w:t>
            </w:r>
          </w:p>
        </w:tc>
        <w:tc>
          <w:tcPr>
            <w:tcW w:type="dxa" w:w="1531"/>
            <w:tcMar>
              <w:top w:w="70" w:type="dxa"/>
              <w:left w:w="80" w:type="dxa"/>
              <w:bottom w:w="70" w:type="dxa"/>
              <w:right w:w="80" w:type="dxa"/>
            </w:tcMar>
          </w:tcPr>
          <w:p>
            <w:r>
              <w:rPr>
                <w:sz w:val="15"/>
              </w:rPr>
              <w:t>Assessments, Measurements, Progress &amp; Outcomes</w:t>
            </w:r>
          </w:p>
        </w:tc>
        <w:tc>
          <w:tcPr>
            <w:tcW w:type="dxa" w:w="1531"/>
            <w:tcMar>
              <w:top w:w="70" w:type="dxa"/>
              <w:left w:w="80" w:type="dxa"/>
              <w:bottom w:w="70" w:type="dxa"/>
              <w:right w:w="80" w:type="dxa"/>
            </w:tcMar>
          </w:tcPr>
          <w:p>
            <w:r>
              <w:rPr>
                <w:sz w:val="15"/>
              </w:rPr>
              <w:t>Goals with baseline, target, deadline, milestones, status and coach/member ownership.</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COA-04</w:t>
            </w:r>
          </w:p>
        </w:tc>
        <w:tc>
          <w:tcPr>
            <w:tcW w:type="dxa" w:w="1531"/>
            <w:tcMar>
              <w:top w:w="70" w:type="dxa"/>
              <w:left w:w="80" w:type="dxa"/>
              <w:bottom w:w="70" w:type="dxa"/>
              <w:right w:w="80" w:type="dxa"/>
            </w:tcMar>
          </w:tcPr>
          <w:p>
            <w:r>
              <w:rPr>
                <w:sz w:val="15"/>
              </w:rPr>
              <w:t>§10.27 COA-04 Implementation Contract; §17</w:t>
            </w:r>
          </w:p>
        </w:tc>
        <w:tc>
          <w:tcPr>
            <w:tcW w:type="dxa" w:w="1531"/>
            <w:tcMar>
              <w:top w:w="70" w:type="dxa"/>
              <w:left w:w="80" w:type="dxa"/>
              <w:bottom w:w="70" w:type="dxa"/>
              <w:right w:w="80" w:type="dxa"/>
            </w:tcMar>
          </w:tcPr>
          <w:p>
            <w:r>
              <w:rPr>
                <w:sz w:val="15"/>
              </w:rPr>
              <w:t>§27; INV-COA-04; API/event contract tests; requirement COA-04-R04</w:t>
            </w:r>
          </w:p>
        </w:tc>
        <w:tc>
          <w:tcPr>
            <w:tcW w:type="dxa" w:w="1531"/>
            <w:tcMar>
              <w:top w:w="70" w:type="dxa"/>
              <w:left w:w="80" w:type="dxa"/>
              <w:bottom w:w="70" w:type="dxa"/>
              <w:right w:w="80" w:type="dxa"/>
            </w:tcMar>
          </w:tcPr>
          <w:p>
            <w:r>
              <w:rPr>
                <w:sz w:val="15"/>
              </w:rPr>
              <w:t>§28; RB-COA-04</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COA-04-R05</w:t>
            </w:r>
          </w:p>
        </w:tc>
        <w:tc>
          <w:tcPr>
            <w:tcW w:type="dxa" w:w="1531"/>
            <w:tcMar>
              <w:top w:w="70" w:type="dxa"/>
              <w:left w:w="80" w:type="dxa"/>
              <w:bottom w:w="70" w:type="dxa"/>
              <w:right w:w="80" w:type="dxa"/>
            </w:tcMar>
          </w:tcPr>
          <w:p>
            <w:r>
              <w:rPr>
                <w:sz w:val="15"/>
              </w:rPr>
              <w:t>Assessments, Measurements, Progress &amp; Outcomes</w:t>
            </w:r>
          </w:p>
        </w:tc>
        <w:tc>
          <w:tcPr>
            <w:tcW w:type="dxa" w:w="1531"/>
            <w:tcMar>
              <w:top w:w="70" w:type="dxa"/>
              <w:left w:w="80" w:type="dxa"/>
              <w:bottom w:w="70" w:type="dxa"/>
              <w:right w:w="80" w:type="dxa"/>
            </w:tcMar>
          </w:tcPr>
          <w:p>
            <w:r>
              <w:rPr>
                <w:sz w:val="15"/>
              </w:rPr>
              <w:t>Device/body-scanner imports with source, calibration and confidence metadata.</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COA-04</w:t>
            </w:r>
          </w:p>
        </w:tc>
        <w:tc>
          <w:tcPr>
            <w:tcW w:type="dxa" w:w="1531"/>
            <w:tcMar>
              <w:top w:w="70" w:type="dxa"/>
              <w:left w:w="80" w:type="dxa"/>
              <w:bottom w:w="70" w:type="dxa"/>
              <w:right w:w="80" w:type="dxa"/>
            </w:tcMar>
          </w:tcPr>
          <w:p>
            <w:r>
              <w:rPr>
                <w:sz w:val="15"/>
              </w:rPr>
              <w:t>§10.27 COA-04 Implementation Contract; §17</w:t>
            </w:r>
          </w:p>
        </w:tc>
        <w:tc>
          <w:tcPr>
            <w:tcW w:type="dxa" w:w="1531"/>
            <w:tcMar>
              <w:top w:w="70" w:type="dxa"/>
              <w:left w:w="80" w:type="dxa"/>
              <w:bottom w:w="70" w:type="dxa"/>
              <w:right w:w="80" w:type="dxa"/>
            </w:tcMar>
          </w:tcPr>
          <w:p>
            <w:r>
              <w:rPr>
                <w:sz w:val="15"/>
              </w:rPr>
              <w:t>§27; INV-COA-04; API/event contract tests; requirement COA-04-R05</w:t>
            </w:r>
          </w:p>
        </w:tc>
        <w:tc>
          <w:tcPr>
            <w:tcW w:type="dxa" w:w="1531"/>
            <w:tcMar>
              <w:top w:w="70" w:type="dxa"/>
              <w:left w:w="80" w:type="dxa"/>
              <w:bottom w:w="70" w:type="dxa"/>
              <w:right w:w="80" w:type="dxa"/>
            </w:tcMar>
          </w:tcPr>
          <w:p>
            <w:r>
              <w:rPr>
                <w:sz w:val="15"/>
              </w:rPr>
              <w:t>§28; RB-COA-04</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COA-04-R06</w:t>
            </w:r>
          </w:p>
        </w:tc>
        <w:tc>
          <w:tcPr>
            <w:tcW w:type="dxa" w:w="1531"/>
            <w:tcMar>
              <w:top w:w="70" w:type="dxa"/>
              <w:left w:w="80" w:type="dxa"/>
              <w:bottom w:w="70" w:type="dxa"/>
              <w:right w:w="80" w:type="dxa"/>
            </w:tcMar>
          </w:tcPr>
          <w:p>
            <w:r>
              <w:rPr>
                <w:sz w:val="15"/>
              </w:rPr>
              <w:t>Assessments, Measurements, Progress &amp; Outcomes</w:t>
            </w:r>
          </w:p>
        </w:tc>
        <w:tc>
          <w:tcPr>
            <w:tcW w:type="dxa" w:w="1531"/>
            <w:tcMar>
              <w:top w:w="70" w:type="dxa"/>
              <w:left w:w="80" w:type="dxa"/>
              <w:bottom w:w="70" w:type="dxa"/>
              <w:right w:w="80" w:type="dxa"/>
            </w:tcMar>
          </w:tcPr>
          <w:p>
            <w:r>
              <w:rPr>
                <w:sz w:val="15"/>
              </w:rPr>
              <w:t>Member-friendly progress narrative alongside charts, consistency, attendance and program adherence.</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COA-04</w:t>
            </w:r>
          </w:p>
        </w:tc>
        <w:tc>
          <w:tcPr>
            <w:tcW w:type="dxa" w:w="1531"/>
            <w:tcMar>
              <w:top w:w="70" w:type="dxa"/>
              <w:left w:w="80" w:type="dxa"/>
              <w:bottom w:w="70" w:type="dxa"/>
              <w:right w:w="80" w:type="dxa"/>
            </w:tcMar>
          </w:tcPr>
          <w:p>
            <w:r>
              <w:rPr>
                <w:sz w:val="15"/>
              </w:rPr>
              <w:t>§10.27 COA-04 Implementation Contract; §17</w:t>
            </w:r>
          </w:p>
        </w:tc>
        <w:tc>
          <w:tcPr>
            <w:tcW w:type="dxa" w:w="1531"/>
            <w:tcMar>
              <w:top w:w="70" w:type="dxa"/>
              <w:left w:w="80" w:type="dxa"/>
              <w:bottom w:w="70" w:type="dxa"/>
              <w:right w:w="80" w:type="dxa"/>
            </w:tcMar>
          </w:tcPr>
          <w:p>
            <w:r>
              <w:rPr>
                <w:sz w:val="15"/>
              </w:rPr>
              <w:t>§27; INV-COA-04; API/event contract tests; requirement COA-04-R06</w:t>
            </w:r>
          </w:p>
        </w:tc>
        <w:tc>
          <w:tcPr>
            <w:tcW w:type="dxa" w:w="1531"/>
            <w:tcMar>
              <w:top w:w="70" w:type="dxa"/>
              <w:left w:w="80" w:type="dxa"/>
              <w:bottom w:w="70" w:type="dxa"/>
              <w:right w:w="80" w:type="dxa"/>
            </w:tcMar>
          </w:tcPr>
          <w:p>
            <w:r>
              <w:rPr>
                <w:sz w:val="15"/>
              </w:rPr>
              <w:t>§28; RB-COA-04</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COA-04-R07</w:t>
            </w:r>
          </w:p>
        </w:tc>
        <w:tc>
          <w:tcPr>
            <w:tcW w:type="dxa" w:w="1531"/>
            <w:tcMar>
              <w:top w:w="70" w:type="dxa"/>
              <w:left w:w="80" w:type="dxa"/>
              <w:bottom w:w="70" w:type="dxa"/>
              <w:right w:w="80" w:type="dxa"/>
            </w:tcMar>
          </w:tcPr>
          <w:p>
            <w:r>
              <w:rPr>
                <w:sz w:val="15"/>
              </w:rPr>
              <w:t>Assessments, Measurements, Progress &amp; Outcomes</w:t>
            </w:r>
          </w:p>
        </w:tc>
        <w:tc>
          <w:tcPr>
            <w:tcW w:type="dxa" w:w="1531"/>
            <w:tcMar>
              <w:top w:w="70" w:type="dxa"/>
              <w:left w:w="80" w:type="dxa"/>
              <w:bottom w:w="70" w:type="dxa"/>
              <w:right w:w="80" w:type="dxa"/>
            </w:tcMar>
          </w:tcPr>
          <w:p>
            <w:r>
              <w:rPr>
                <w:sz w:val="15"/>
              </w:rPr>
              <w:t>Stall, anomaly and safety alerts that route to qualified review rather than autonomous change.</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COA-04</w:t>
            </w:r>
          </w:p>
        </w:tc>
        <w:tc>
          <w:tcPr>
            <w:tcW w:type="dxa" w:w="1531"/>
            <w:tcMar>
              <w:top w:w="70" w:type="dxa"/>
              <w:left w:w="80" w:type="dxa"/>
              <w:bottom w:w="70" w:type="dxa"/>
              <w:right w:w="80" w:type="dxa"/>
            </w:tcMar>
          </w:tcPr>
          <w:p>
            <w:r>
              <w:rPr>
                <w:sz w:val="15"/>
              </w:rPr>
              <w:t>§10.27 COA-04 Implementation Contract; §17</w:t>
            </w:r>
          </w:p>
        </w:tc>
        <w:tc>
          <w:tcPr>
            <w:tcW w:type="dxa" w:w="1531"/>
            <w:tcMar>
              <w:top w:w="70" w:type="dxa"/>
              <w:left w:w="80" w:type="dxa"/>
              <w:bottom w:w="70" w:type="dxa"/>
              <w:right w:w="80" w:type="dxa"/>
            </w:tcMar>
          </w:tcPr>
          <w:p>
            <w:r>
              <w:rPr>
                <w:sz w:val="15"/>
              </w:rPr>
              <w:t>§27; INV-COA-04; API/event contract tests; requirement COA-04-R07</w:t>
            </w:r>
          </w:p>
        </w:tc>
        <w:tc>
          <w:tcPr>
            <w:tcW w:type="dxa" w:w="1531"/>
            <w:tcMar>
              <w:top w:w="70" w:type="dxa"/>
              <w:left w:w="80" w:type="dxa"/>
              <w:bottom w:w="70" w:type="dxa"/>
              <w:right w:w="80" w:type="dxa"/>
            </w:tcMar>
          </w:tcPr>
          <w:p>
            <w:r>
              <w:rPr>
                <w:sz w:val="15"/>
              </w:rPr>
              <w:t>§28; RB-COA-04</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COA-05-R01</w:t>
            </w:r>
          </w:p>
        </w:tc>
        <w:tc>
          <w:tcPr>
            <w:tcW w:type="dxa" w:w="1531"/>
            <w:tcMar>
              <w:top w:w="70" w:type="dxa"/>
              <w:left w:w="80" w:type="dxa"/>
              <w:bottom w:w="70" w:type="dxa"/>
              <w:right w:w="80" w:type="dxa"/>
            </w:tcMar>
          </w:tcPr>
          <w:p>
            <w:r>
              <w:rPr>
                <w:sz w:val="15"/>
              </w:rPr>
              <w:t>Health, Safety, Consent &amp; Incident Management</w:t>
            </w:r>
          </w:p>
        </w:tc>
        <w:tc>
          <w:tcPr>
            <w:tcW w:type="dxa" w:w="1531"/>
            <w:tcMar>
              <w:top w:w="70" w:type="dxa"/>
              <w:left w:w="80" w:type="dxa"/>
              <w:bottom w:w="70" w:type="dxa"/>
              <w:right w:w="80" w:type="dxa"/>
            </w:tcMar>
          </w:tcPr>
          <w:p>
            <w:r>
              <w:rPr>
                <w:sz w:val="15"/>
              </w:rPr>
              <w:t>PAR-Q-style screening, health questionnaire, waiver, informed consent and versioned signatures.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COA-05</w:t>
            </w:r>
          </w:p>
        </w:tc>
        <w:tc>
          <w:tcPr>
            <w:tcW w:type="dxa" w:w="1531"/>
            <w:tcMar>
              <w:top w:w="70" w:type="dxa"/>
              <w:left w:w="80" w:type="dxa"/>
              <w:bottom w:w="70" w:type="dxa"/>
              <w:right w:w="80" w:type="dxa"/>
            </w:tcMar>
          </w:tcPr>
          <w:p>
            <w:r>
              <w:rPr>
                <w:sz w:val="15"/>
              </w:rPr>
              <w:t>§10.28 COA-05 Implementation Contract; §17</w:t>
            </w:r>
          </w:p>
        </w:tc>
        <w:tc>
          <w:tcPr>
            <w:tcW w:type="dxa" w:w="1531"/>
            <w:tcMar>
              <w:top w:w="70" w:type="dxa"/>
              <w:left w:w="80" w:type="dxa"/>
              <w:bottom w:w="70" w:type="dxa"/>
              <w:right w:w="80" w:type="dxa"/>
            </w:tcMar>
          </w:tcPr>
          <w:p>
            <w:r>
              <w:rPr>
                <w:sz w:val="15"/>
              </w:rPr>
              <w:t>§27; INV-COA-05; API/event contract tests; requirement COA-05-R01</w:t>
            </w:r>
          </w:p>
        </w:tc>
        <w:tc>
          <w:tcPr>
            <w:tcW w:type="dxa" w:w="1531"/>
            <w:tcMar>
              <w:top w:w="70" w:type="dxa"/>
              <w:left w:w="80" w:type="dxa"/>
              <w:bottom w:w="70" w:type="dxa"/>
              <w:right w:w="80" w:type="dxa"/>
            </w:tcMar>
          </w:tcPr>
          <w:p>
            <w:r>
              <w:rPr>
                <w:sz w:val="15"/>
              </w:rPr>
              <w:t>§28; RB-COA-05</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COA-05-R02</w:t>
            </w:r>
          </w:p>
        </w:tc>
        <w:tc>
          <w:tcPr>
            <w:tcW w:type="dxa" w:w="1531"/>
            <w:tcMar>
              <w:top w:w="70" w:type="dxa"/>
              <w:left w:w="80" w:type="dxa"/>
              <w:bottom w:w="70" w:type="dxa"/>
              <w:right w:w="80" w:type="dxa"/>
            </w:tcMar>
          </w:tcPr>
          <w:p>
            <w:r>
              <w:rPr>
                <w:sz w:val="15"/>
              </w:rPr>
              <w:t>Health, Safety, Consent &amp; Incident Management</w:t>
            </w:r>
          </w:p>
        </w:tc>
        <w:tc>
          <w:tcPr>
            <w:tcW w:type="dxa" w:w="1531"/>
            <w:tcMar>
              <w:top w:w="70" w:type="dxa"/>
              <w:left w:w="80" w:type="dxa"/>
              <w:bottom w:w="70" w:type="dxa"/>
              <w:right w:w="80" w:type="dxa"/>
            </w:tcMar>
          </w:tcPr>
          <w:p>
            <w:r>
              <w:rPr>
                <w:sz w:val="15"/>
              </w:rPr>
              <w:t>Injury, limitation, allergy, contraindication and emergency contact with fine-grained visibility.</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COA-05</w:t>
            </w:r>
          </w:p>
        </w:tc>
        <w:tc>
          <w:tcPr>
            <w:tcW w:type="dxa" w:w="1531"/>
            <w:tcMar>
              <w:top w:w="70" w:type="dxa"/>
              <w:left w:w="80" w:type="dxa"/>
              <w:bottom w:w="70" w:type="dxa"/>
              <w:right w:w="80" w:type="dxa"/>
            </w:tcMar>
          </w:tcPr>
          <w:p>
            <w:r>
              <w:rPr>
                <w:sz w:val="15"/>
              </w:rPr>
              <w:t>§10.28 COA-05 Implementation Contract; §17</w:t>
            </w:r>
          </w:p>
        </w:tc>
        <w:tc>
          <w:tcPr>
            <w:tcW w:type="dxa" w:w="1531"/>
            <w:tcMar>
              <w:top w:w="70" w:type="dxa"/>
              <w:left w:w="80" w:type="dxa"/>
              <w:bottom w:w="70" w:type="dxa"/>
              <w:right w:w="80" w:type="dxa"/>
            </w:tcMar>
          </w:tcPr>
          <w:p>
            <w:r>
              <w:rPr>
                <w:sz w:val="15"/>
              </w:rPr>
              <w:t>§27; INV-COA-05; API/event contract tests; requirement COA-05-R02</w:t>
            </w:r>
          </w:p>
        </w:tc>
        <w:tc>
          <w:tcPr>
            <w:tcW w:type="dxa" w:w="1531"/>
            <w:tcMar>
              <w:top w:w="70" w:type="dxa"/>
              <w:left w:w="80" w:type="dxa"/>
              <w:bottom w:w="70" w:type="dxa"/>
              <w:right w:w="80" w:type="dxa"/>
            </w:tcMar>
          </w:tcPr>
          <w:p>
            <w:r>
              <w:rPr>
                <w:sz w:val="15"/>
              </w:rPr>
              <w:t>§28; RB-COA-05</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COA-05-R03</w:t>
            </w:r>
          </w:p>
        </w:tc>
        <w:tc>
          <w:tcPr>
            <w:tcW w:type="dxa" w:w="1531"/>
            <w:tcMar>
              <w:top w:w="70" w:type="dxa"/>
              <w:left w:w="80" w:type="dxa"/>
              <w:bottom w:w="70" w:type="dxa"/>
              <w:right w:w="80" w:type="dxa"/>
            </w:tcMar>
          </w:tcPr>
          <w:p>
            <w:r>
              <w:rPr>
                <w:sz w:val="15"/>
              </w:rPr>
              <w:t>Health, Safety, Consent &amp; Incident Management</w:t>
            </w:r>
          </w:p>
        </w:tc>
        <w:tc>
          <w:tcPr>
            <w:tcW w:type="dxa" w:w="1531"/>
            <w:tcMar>
              <w:top w:w="70" w:type="dxa"/>
              <w:left w:w="80" w:type="dxa"/>
              <w:bottom w:w="70" w:type="dxa"/>
              <w:right w:w="80" w:type="dxa"/>
            </w:tcMar>
          </w:tcPr>
          <w:p>
            <w:r>
              <w:rPr>
                <w:sz w:val="15"/>
              </w:rPr>
              <w:t>Member-declared pain or symptom flow that pauses unsafe activity and routes to coach/qualified review.</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COA-05</w:t>
            </w:r>
          </w:p>
        </w:tc>
        <w:tc>
          <w:tcPr>
            <w:tcW w:type="dxa" w:w="1531"/>
            <w:tcMar>
              <w:top w:w="70" w:type="dxa"/>
              <w:left w:w="80" w:type="dxa"/>
              <w:bottom w:w="70" w:type="dxa"/>
              <w:right w:w="80" w:type="dxa"/>
            </w:tcMar>
          </w:tcPr>
          <w:p>
            <w:r>
              <w:rPr>
                <w:sz w:val="15"/>
              </w:rPr>
              <w:t>§10.28 COA-05 Implementation Contract; §17</w:t>
            </w:r>
          </w:p>
        </w:tc>
        <w:tc>
          <w:tcPr>
            <w:tcW w:type="dxa" w:w="1531"/>
            <w:tcMar>
              <w:top w:w="70" w:type="dxa"/>
              <w:left w:w="80" w:type="dxa"/>
              <w:bottom w:w="70" w:type="dxa"/>
              <w:right w:w="80" w:type="dxa"/>
            </w:tcMar>
          </w:tcPr>
          <w:p>
            <w:r>
              <w:rPr>
                <w:sz w:val="15"/>
              </w:rPr>
              <w:t>§27; INV-COA-05; API/event contract tests; requirement COA-05-R03</w:t>
            </w:r>
          </w:p>
        </w:tc>
        <w:tc>
          <w:tcPr>
            <w:tcW w:type="dxa" w:w="1531"/>
            <w:tcMar>
              <w:top w:w="70" w:type="dxa"/>
              <w:left w:w="80" w:type="dxa"/>
              <w:bottom w:w="70" w:type="dxa"/>
              <w:right w:w="80" w:type="dxa"/>
            </w:tcMar>
          </w:tcPr>
          <w:p>
            <w:r>
              <w:rPr>
                <w:sz w:val="15"/>
              </w:rPr>
              <w:t>§28; RB-COA-05</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COA-05-R04</w:t>
            </w:r>
          </w:p>
        </w:tc>
        <w:tc>
          <w:tcPr>
            <w:tcW w:type="dxa" w:w="1531"/>
            <w:tcMar>
              <w:top w:w="70" w:type="dxa"/>
              <w:left w:w="80" w:type="dxa"/>
              <w:bottom w:w="70" w:type="dxa"/>
              <w:right w:w="80" w:type="dxa"/>
            </w:tcMar>
          </w:tcPr>
          <w:p>
            <w:r>
              <w:rPr>
                <w:sz w:val="15"/>
              </w:rPr>
              <w:t>Health, Safety, Consent &amp; Incident Management</w:t>
            </w:r>
          </w:p>
        </w:tc>
        <w:tc>
          <w:tcPr>
            <w:tcW w:type="dxa" w:w="1531"/>
            <w:tcMar>
              <w:top w:w="70" w:type="dxa"/>
              <w:left w:w="80" w:type="dxa"/>
              <w:bottom w:w="70" w:type="dxa"/>
              <w:right w:w="80" w:type="dxa"/>
            </w:tcMar>
          </w:tcPr>
          <w:p>
            <w:r>
              <w:rPr>
                <w:sz w:val="15"/>
              </w:rPr>
              <w:t>Incident reporting for injury, equipment, safeguarding, harassment, security, medical or operational event.</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COA-05</w:t>
            </w:r>
          </w:p>
        </w:tc>
        <w:tc>
          <w:tcPr>
            <w:tcW w:type="dxa" w:w="1531"/>
            <w:tcMar>
              <w:top w:w="70" w:type="dxa"/>
              <w:left w:w="80" w:type="dxa"/>
              <w:bottom w:w="70" w:type="dxa"/>
              <w:right w:w="80" w:type="dxa"/>
            </w:tcMar>
          </w:tcPr>
          <w:p>
            <w:r>
              <w:rPr>
                <w:sz w:val="15"/>
              </w:rPr>
              <w:t>§10.28 COA-05 Implementation Contract; §17</w:t>
            </w:r>
          </w:p>
        </w:tc>
        <w:tc>
          <w:tcPr>
            <w:tcW w:type="dxa" w:w="1531"/>
            <w:tcMar>
              <w:top w:w="70" w:type="dxa"/>
              <w:left w:w="80" w:type="dxa"/>
              <w:bottom w:w="70" w:type="dxa"/>
              <w:right w:w="80" w:type="dxa"/>
            </w:tcMar>
          </w:tcPr>
          <w:p>
            <w:r>
              <w:rPr>
                <w:sz w:val="15"/>
              </w:rPr>
              <w:t>§27; INV-COA-05; API/event contract tests; requirement COA-05-R04</w:t>
            </w:r>
          </w:p>
        </w:tc>
        <w:tc>
          <w:tcPr>
            <w:tcW w:type="dxa" w:w="1531"/>
            <w:tcMar>
              <w:top w:w="70" w:type="dxa"/>
              <w:left w:w="80" w:type="dxa"/>
              <w:bottom w:w="70" w:type="dxa"/>
              <w:right w:w="80" w:type="dxa"/>
            </w:tcMar>
          </w:tcPr>
          <w:p>
            <w:r>
              <w:rPr>
                <w:sz w:val="15"/>
              </w:rPr>
              <w:t>§28; RB-COA-05</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COA-05-R05</w:t>
            </w:r>
          </w:p>
        </w:tc>
        <w:tc>
          <w:tcPr>
            <w:tcW w:type="dxa" w:w="1531"/>
            <w:tcMar>
              <w:top w:w="70" w:type="dxa"/>
              <w:left w:w="80" w:type="dxa"/>
              <w:bottom w:w="70" w:type="dxa"/>
              <w:right w:w="80" w:type="dxa"/>
            </w:tcMar>
          </w:tcPr>
          <w:p>
            <w:r>
              <w:rPr>
                <w:sz w:val="15"/>
              </w:rPr>
              <w:t>Health, Safety, Consent &amp; Incident Management</w:t>
            </w:r>
          </w:p>
        </w:tc>
        <w:tc>
          <w:tcPr>
            <w:tcW w:type="dxa" w:w="1531"/>
            <w:tcMar>
              <w:top w:w="70" w:type="dxa"/>
              <w:left w:w="80" w:type="dxa"/>
              <w:bottom w:w="70" w:type="dxa"/>
              <w:right w:w="80" w:type="dxa"/>
            </w:tcMar>
          </w:tcPr>
          <w:p>
            <w:r>
              <w:rPr>
                <w:sz w:val="15"/>
              </w:rPr>
              <w:t>Triage, immediate action, witnesses, evidence, notification, escalation, corrective action and closure.</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COA-05</w:t>
            </w:r>
          </w:p>
        </w:tc>
        <w:tc>
          <w:tcPr>
            <w:tcW w:type="dxa" w:w="1531"/>
            <w:tcMar>
              <w:top w:w="70" w:type="dxa"/>
              <w:left w:w="80" w:type="dxa"/>
              <w:bottom w:w="70" w:type="dxa"/>
              <w:right w:w="80" w:type="dxa"/>
            </w:tcMar>
          </w:tcPr>
          <w:p>
            <w:r>
              <w:rPr>
                <w:sz w:val="15"/>
              </w:rPr>
              <w:t>§10.28 COA-05 Implementation Contract; §17</w:t>
            </w:r>
          </w:p>
        </w:tc>
        <w:tc>
          <w:tcPr>
            <w:tcW w:type="dxa" w:w="1531"/>
            <w:tcMar>
              <w:top w:w="70" w:type="dxa"/>
              <w:left w:w="80" w:type="dxa"/>
              <w:bottom w:w="70" w:type="dxa"/>
              <w:right w:w="80" w:type="dxa"/>
            </w:tcMar>
          </w:tcPr>
          <w:p>
            <w:r>
              <w:rPr>
                <w:sz w:val="15"/>
              </w:rPr>
              <w:t>§27; INV-COA-05; API/event contract tests; requirement COA-05-R05</w:t>
            </w:r>
          </w:p>
        </w:tc>
        <w:tc>
          <w:tcPr>
            <w:tcW w:type="dxa" w:w="1531"/>
            <w:tcMar>
              <w:top w:w="70" w:type="dxa"/>
              <w:left w:w="80" w:type="dxa"/>
              <w:bottom w:w="70" w:type="dxa"/>
              <w:right w:w="80" w:type="dxa"/>
            </w:tcMar>
          </w:tcPr>
          <w:p>
            <w:r>
              <w:rPr>
                <w:sz w:val="15"/>
              </w:rPr>
              <w:t>§28; RB-COA-05</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COA-05-R06</w:t>
            </w:r>
          </w:p>
        </w:tc>
        <w:tc>
          <w:tcPr>
            <w:tcW w:type="dxa" w:w="1531"/>
            <w:tcMar>
              <w:top w:w="70" w:type="dxa"/>
              <w:left w:w="80" w:type="dxa"/>
              <w:bottom w:w="70" w:type="dxa"/>
              <w:right w:w="80" w:type="dxa"/>
            </w:tcMar>
          </w:tcPr>
          <w:p>
            <w:r>
              <w:rPr>
                <w:sz w:val="15"/>
              </w:rPr>
              <w:t>Health, Safety, Consent &amp; Incident Management</w:t>
            </w:r>
          </w:p>
        </w:tc>
        <w:tc>
          <w:tcPr>
            <w:tcW w:type="dxa" w:w="1531"/>
            <w:tcMar>
              <w:top w:w="70" w:type="dxa"/>
              <w:left w:w="80" w:type="dxa"/>
              <w:bottom w:w="70" w:type="dxa"/>
              <w:right w:w="80" w:type="dxa"/>
            </w:tcMar>
          </w:tcPr>
          <w:p>
            <w:r>
              <w:rPr>
                <w:sz w:val="15"/>
              </w:rPr>
              <w:t>Emergency mode with minimal necessary member context and controlled break-glass access.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COA-05</w:t>
            </w:r>
          </w:p>
        </w:tc>
        <w:tc>
          <w:tcPr>
            <w:tcW w:type="dxa" w:w="1531"/>
            <w:tcMar>
              <w:top w:w="70" w:type="dxa"/>
              <w:left w:w="80" w:type="dxa"/>
              <w:bottom w:w="70" w:type="dxa"/>
              <w:right w:w="80" w:type="dxa"/>
            </w:tcMar>
          </w:tcPr>
          <w:p>
            <w:r>
              <w:rPr>
                <w:sz w:val="15"/>
              </w:rPr>
              <w:t>§10.28 COA-05 Implementation Contract; §17</w:t>
            </w:r>
          </w:p>
        </w:tc>
        <w:tc>
          <w:tcPr>
            <w:tcW w:type="dxa" w:w="1531"/>
            <w:tcMar>
              <w:top w:w="70" w:type="dxa"/>
              <w:left w:w="80" w:type="dxa"/>
              <w:bottom w:w="70" w:type="dxa"/>
              <w:right w:w="80" w:type="dxa"/>
            </w:tcMar>
          </w:tcPr>
          <w:p>
            <w:r>
              <w:rPr>
                <w:sz w:val="15"/>
              </w:rPr>
              <w:t>§27; INV-COA-05; API/event contract tests; requirement COA-05-R06</w:t>
            </w:r>
          </w:p>
        </w:tc>
        <w:tc>
          <w:tcPr>
            <w:tcW w:type="dxa" w:w="1531"/>
            <w:tcMar>
              <w:top w:w="70" w:type="dxa"/>
              <w:left w:w="80" w:type="dxa"/>
              <w:bottom w:w="70" w:type="dxa"/>
              <w:right w:w="80" w:type="dxa"/>
            </w:tcMar>
          </w:tcPr>
          <w:p>
            <w:r>
              <w:rPr>
                <w:sz w:val="15"/>
              </w:rPr>
              <w:t>§28; RB-COA-05</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COA-05-R07</w:t>
            </w:r>
          </w:p>
        </w:tc>
        <w:tc>
          <w:tcPr>
            <w:tcW w:type="dxa" w:w="1531"/>
            <w:tcMar>
              <w:top w:w="70" w:type="dxa"/>
              <w:left w:w="80" w:type="dxa"/>
              <w:bottom w:w="70" w:type="dxa"/>
              <w:right w:w="80" w:type="dxa"/>
            </w:tcMar>
          </w:tcPr>
          <w:p>
            <w:r>
              <w:rPr>
                <w:sz w:val="15"/>
              </w:rPr>
              <w:t>Health, Safety, Consent &amp; Incident Management</w:t>
            </w:r>
          </w:p>
        </w:tc>
        <w:tc>
          <w:tcPr>
            <w:tcW w:type="dxa" w:w="1531"/>
            <w:tcMar>
              <w:top w:w="70" w:type="dxa"/>
              <w:left w:w="80" w:type="dxa"/>
              <w:bottom w:w="70" w:type="dxa"/>
              <w:right w:w="80" w:type="dxa"/>
            </w:tcMar>
          </w:tcPr>
          <w:p>
            <w:r>
              <w:rPr>
                <w:sz w:val="15"/>
              </w:rPr>
              <w:t>Safety rules integrated into workout, nutrition, booking, access, facility and communication decisions.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COA-05</w:t>
            </w:r>
          </w:p>
        </w:tc>
        <w:tc>
          <w:tcPr>
            <w:tcW w:type="dxa" w:w="1531"/>
            <w:tcMar>
              <w:top w:w="70" w:type="dxa"/>
              <w:left w:w="80" w:type="dxa"/>
              <w:bottom w:w="70" w:type="dxa"/>
              <w:right w:w="80" w:type="dxa"/>
            </w:tcMar>
          </w:tcPr>
          <w:p>
            <w:r>
              <w:rPr>
                <w:sz w:val="15"/>
              </w:rPr>
              <w:t>§10.28 COA-05 Implementation Contract; §17</w:t>
            </w:r>
          </w:p>
        </w:tc>
        <w:tc>
          <w:tcPr>
            <w:tcW w:type="dxa" w:w="1531"/>
            <w:tcMar>
              <w:top w:w="70" w:type="dxa"/>
              <w:left w:w="80" w:type="dxa"/>
              <w:bottom w:w="70" w:type="dxa"/>
              <w:right w:w="80" w:type="dxa"/>
            </w:tcMar>
          </w:tcPr>
          <w:p>
            <w:r>
              <w:rPr>
                <w:sz w:val="15"/>
              </w:rPr>
              <w:t>§27; INV-COA-05; API/event contract tests; requirement COA-05-R07</w:t>
            </w:r>
          </w:p>
        </w:tc>
        <w:tc>
          <w:tcPr>
            <w:tcW w:type="dxa" w:w="1531"/>
            <w:tcMar>
              <w:top w:w="70" w:type="dxa"/>
              <w:left w:w="80" w:type="dxa"/>
              <w:bottom w:w="70" w:type="dxa"/>
              <w:right w:w="80" w:type="dxa"/>
            </w:tcMar>
          </w:tcPr>
          <w:p>
            <w:r>
              <w:rPr>
                <w:sz w:val="15"/>
              </w:rPr>
              <w:t>§28; RB-COA-05</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COA-05-R08</w:t>
            </w:r>
          </w:p>
        </w:tc>
        <w:tc>
          <w:tcPr>
            <w:tcW w:type="dxa" w:w="1531"/>
            <w:tcMar>
              <w:top w:w="70" w:type="dxa"/>
              <w:left w:w="80" w:type="dxa"/>
              <w:bottom w:w="70" w:type="dxa"/>
              <w:right w:w="80" w:type="dxa"/>
            </w:tcMar>
          </w:tcPr>
          <w:p>
            <w:r>
              <w:rPr>
                <w:sz w:val="15"/>
              </w:rPr>
              <w:t>Health, Safety, Consent &amp; Incident Management</w:t>
            </w:r>
          </w:p>
        </w:tc>
        <w:tc>
          <w:tcPr>
            <w:tcW w:type="dxa" w:w="1531"/>
            <w:tcMar>
              <w:top w:w="70" w:type="dxa"/>
              <w:left w:w="80" w:type="dxa"/>
              <w:bottom w:w="70" w:type="dxa"/>
              <w:right w:w="80" w:type="dxa"/>
            </w:tcMar>
          </w:tcPr>
          <w:p>
            <w:r>
              <w:rPr>
                <w:sz w:val="15"/>
              </w:rPr>
              <w:t>Policy versioning, jurisdiction mapping, retention and legal hold.</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COA-05</w:t>
            </w:r>
          </w:p>
        </w:tc>
        <w:tc>
          <w:tcPr>
            <w:tcW w:type="dxa" w:w="1531"/>
            <w:tcMar>
              <w:top w:w="70" w:type="dxa"/>
              <w:left w:w="80" w:type="dxa"/>
              <w:bottom w:w="70" w:type="dxa"/>
              <w:right w:w="80" w:type="dxa"/>
            </w:tcMar>
          </w:tcPr>
          <w:p>
            <w:r>
              <w:rPr>
                <w:sz w:val="15"/>
              </w:rPr>
              <w:t>§10.28 COA-05 Implementation Contract; §17</w:t>
            </w:r>
          </w:p>
        </w:tc>
        <w:tc>
          <w:tcPr>
            <w:tcW w:type="dxa" w:w="1531"/>
            <w:tcMar>
              <w:top w:w="70" w:type="dxa"/>
              <w:left w:w="80" w:type="dxa"/>
              <w:bottom w:w="70" w:type="dxa"/>
              <w:right w:w="80" w:type="dxa"/>
            </w:tcMar>
          </w:tcPr>
          <w:p>
            <w:r>
              <w:rPr>
                <w:sz w:val="15"/>
              </w:rPr>
              <w:t>§27; INV-COA-05; API/event contract tests; requirement COA-05-R08</w:t>
            </w:r>
          </w:p>
        </w:tc>
        <w:tc>
          <w:tcPr>
            <w:tcW w:type="dxa" w:w="1531"/>
            <w:tcMar>
              <w:top w:w="70" w:type="dxa"/>
              <w:left w:w="80" w:type="dxa"/>
              <w:bottom w:w="70" w:type="dxa"/>
              <w:right w:w="80" w:type="dxa"/>
            </w:tcMar>
          </w:tcPr>
          <w:p>
            <w:r>
              <w:rPr>
                <w:sz w:val="15"/>
              </w:rPr>
              <w:t>§28; RB-COA-05</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ENG-01-R01</w:t>
            </w:r>
          </w:p>
        </w:tc>
        <w:tc>
          <w:tcPr>
            <w:tcW w:type="dxa" w:w="1531"/>
            <w:tcMar>
              <w:top w:w="70" w:type="dxa"/>
              <w:left w:w="80" w:type="dxa"/>
              <w:bottom w:w="70" w:type="dxa"/>
              <w:right w:w="80" w:type="dxa"/>
            </w:tcMar>
          </w:tcPr>
          <w:p>
            <w:r>
              <w:rPr>
                <w:sz w:val="15"/>
              </w:rPr>
              <w:t>Unified Inbox, Messaging &amp; Contextual Communication</w:t>
            </w:r>
          </w:p>
        </w:tc>
        <w:tc>
          <w:tcPr>
            <w:tcW w:type="dxa" w:w="1531"/>
            <w:tcMar>
              <w:top w:w="70" w:type="dxa"/>
              <w:left w:w="80" w:type="dxa"/>
              <w:bottom w:w="70" w:type="dxa"/>
              <w:right w:w="80" w:type="dxa"/>
            </w:tcMar>
          </w:tcPr>
          <w:p>
            <w:r>
              <w:rPr>
                <w:sz w:val="15"/>
              </w:rPr>
              <w:t>Unified conversation timeline for in-app chat, WhatsApp, SMS, email, call notes and staff notes.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ENG-01</w:t>
            </w:r>
          </w:p>
        </w:tc>
        <w:tc>
          <w:tcPr>
            <w:tcW w:type="dxa" w:w="1531"/>
            <w:tcMar>
              <w:top w:w="70" w:type="dxa"/>
              <w:left w:w="80" w:type="dxa"/>
              <w:bottom w:w="70" w:type="dxa"/>
              <w:right w:w="80" w:type="dxa"/>
            </w:tcMar>
          </w:tcPr>
          <w:p>
            <w:r>
              <w:rPr>
                <w:sz w:val="15"/>
              </w:rPr>
              <w:t>§10.29 ENG-01 Implementation Contract; §18</w:t>
            </w:r>
          </w:p>
        </w:tc>
        <w:tc>
          <w:tcPr>
            <w:tcW w:type="dxa" w:w="1531"/>
            <w:tcMar>
              <w:top w:w="70" w:type="dxa"/>
              <w:left w:w="80" w:type="dxa"/>
              <w:bottom w:w="70" w:type="dxa"/>
              <w:right w:w="80" w:type="dxa"/>
            </w:tcMar>
          </w:tcPr>
          <w:p>
            <w:r>
              <w:rPr>
                <w:sz w:val="15"/>
              </w:rPr>
              <w:t>§27; INV-ENG-01; API/event contract tests; requirement ENG-01-R01</w:t>
            </w:r>
          </w:p>
        </w:tc>
        <w:tc>
          <w:tcPr>
            <w:tcW w:type="dxa" w:w="1531"/>
            <w:tcMar>
              <w:top w:w="70" w:type="dxa"/>
              <w:left w:w="80" w:type="dxa"/>
              <w:bottom w:w="70" w:type="dxa"/>
              <w:right w:w="80" w:type="dxa"/>
            </w:tcMar>
          </w:tcPr>
          <w:p>
            <w:r>
              <w:rPr>
                <w:sz w:val="15"/>
              </w:rPr>
              <w:t>§28; RB-ENG-01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ENG-01-R02</w:t>
            </w:r>
          </w:p>
        </w:tc>
        <w:tc>
          <w:tcPr>
            <w:tcW w:type="dxa" w:w="1531"/>
            <w:tcMar>
              <w:top w:w="70" w:type="dxa"/>
              <w:left w:w="80" w:type="dxa"/>
              <w:bottom w:w="70" w:type="dxa"/>
              <w:right w:w="80" w:type="dxa"/>
            </w:tcMar>
          </w:tcPr>
          <w:p>
            <w:r>
              <w:rPr>
                <w:sz w:val="15"/>
              </w:rPr>
              <w:t>Unified Inbox, Messaging &amp; Contextual Communication</w:t>
            </w:r>
          </w:p>
        </w:tc>
        <w:tc>
          <w:tcPr>
            <w:tcW w:type="dxa" w:w="1531"/>
            <w:tcMar>
              <w:top w:w="70" w:type="dxa"/>
              <w:left w:w="80" w:type="dxa"/>
              <w:bottom w:w="70" w:type="dxa"/>
              <w:right w:w="80" w:type="dxa"/>
            </w:tcMar>
          </w:tcPr>
          <w:p>
            <w:r>
              <w:rPr>
                <w:sz w:val="15"/>
              </w:rPr>
              <w:t>Threads anchored to member, lead, booking, workout, meal, invoice, incident or support case.</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ENG-01</w:t>
            </w:r>
          </w:p>
        </w:tc>
        <w:tc>
          <w:tcPr>
            <w:tcW w:type="dxa" w:w="1531"/>
            <w:tcMar>
              <w:top w:w="70" w:type="dxa"/>
              <w:left w:w="80" w:type="dxa"/>
              <w:bottom w:w="70" w:type="dxa"/>
              <w:right w:w="80" w:type="dxa"/>
            </w:tcMar>
          </w:tcPr>
          <w:p>
            <w:r>
              <w:rPr>
                <w:sz w:val="15"/>
              </w:rPr>
              <w:t>§10.29 ENG-01 Implementation Contract; §18</w:t>
            </w:r>
          </w:p>
        </w:tc>
        <w:tc>
          <w:tcPr>
            <w:tcW w:type="dxa" w:w="1531"/>
            <w:tcMar>
              <w:top w:w="70" w:type="dxa"/>
              <w:left w:w="80" w:type="dxa"/>
              <w:bottom w:w="70" w:type="dxa"/>
              <w:right w:w="80" w:type="dxa"/>
            </w:tcMar>
          </w:tcPr>
          <w:p>
            <w:r>
              <w:rPr>
                <w:sz w:val="15"/>
              </w:rPr>
              <w:t>§27; INV-ENG-01; API/event contract tests; requirement ENG-01-R02</w:t>
            </w:r>
          </w:p>
        </w:tc>
        <w:tc>
          <w:tcPr>
            <w:tcW w:type="dxa" w:w="1531"/>
            <w:tcMar>
              <w:top w:w="70" w:type="dxa"/>
              <w:left w:w="80" w:type="dxa"/>
              <w:bottom w:w="70" w:type="dxa"/>
              <w:right w:w="80" w:type="dxa"/>
            </w:tcMar>
          </w:tcPr>
          <w:p>
            <w:r>
              <w:rPr>
                <w:sz w:val="15"/>
              </w:rPr>
              <w:t>§28; RB-ENG-01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ENG-01-R03</w:t>
            </w:r>
          </w:p>
        </w:tc>
        <w:tc>
          <w:tcPr>
            <w:tcW w:type="dxa" w:w="1531"/>
            <w:tcMar>
              <w:top w:w="70" w:type="dxa"/>
              <w:left w:w="80" w:type="dxa"/>
              <w:bottom w:w="70" w:type="dxa"/>
              <w:right w:w="80" w:type="dxa"/>
            </w:tcMar>
          </w:tcPr>
          <w:p>
            <w:r>
              <w:rPr>
                <w:sz w:val="15"/>
              </w:rPr>
              <w:t>Unified Inbox, Messaging &amp; Contextual Communication</w:t>
            </w:r>
          </w:p>
        </w:tc>
        <w:tc>
          <w:tcPr>
            <w:tcW w:type="dxa" w:w="1531"/>
            <w:tcMar>
              <w:top w:w="70" w:type="dxa"/>
              <w:left w:w="80" w:type="dxa"/>
              <w:bottom w:w="70" w:type="dxa"/>
              <w:right w:w="80" w:type="dxa"/>
            </w:tcMar>
          </w:tcPr>
          <w:p>
            <w:r>
              <w:rPr>
                <w:sz w:val="15"/>
              </w:rPr>
              <w:t>Shared team inbox with routing, assignment, status, collision prevention, SLA and handoff.</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ENG-01</w:t>
            </w:r>
          </w:p>
        </w:tc>
        <w:tc>
          <w:tcPr>
            <w:tcW w:type="dxa" w:w="1531"/>
            <w:tcMar>
              <w:top w:w="70" w:type="dxa"/>
              <w:left w:w="80" w:type="dxa"/>
              <w:bottom w:w="70" w:type="dxa"/>
              <w:right w:w="80" w:type="dxa"/>
            </w:tcMar>
          </w:tcPr>
          <w:p>
            <w:r>
              <w:rPr>
                <w:sz w:val="15"/>
              </w:rPr>
              <w:t>§10.29 ENG-01 Implementation Contract; §18</w:t>
            </w:r>
          </w:p>
        </w:tc>
        <w:tc>
          <w:tcPr>
            <w:tcW w:type="dxa" w:w="1531"/>
            <w:tcMar>
              <w:top w:w="70" w:type="dxa"/>
              <w:left w:w="80" w:type="dxa"/>
              <w:bottom w:w="70" w:type="dxa"/>
              <w:right w:w="80" w:type="dxa"/>
            </w:tcMar>
          </w:tcPr>
          <w:p>
            <w:r>
              <w:rPr>
                <w:sz w:val="15"/>
              </w:rPr>
              <w:t>§27; INV-ENG-01; API/event contract tests; requirement ENG-01-R03</w:t>
            </w:r>
          </w:p>
        </w:tc>
        <w:tc>
          <w:tcPr>
            <w:tcW w:type="dxa" w:w="1531"/>
            <w:tcMar>
              <w:top w:w="70" w:type="dxa"/>
              <w:left w:w="80" w:type="dxa"/>
              <w:bottom w:w="70" w:type="dxa"/>
              <w:right w:w="80" w:type="dxa"/>
            </w:tcMar>
          </w:tcPr>
          <w:p>
            <w:r>
              <w:rPr>
                <w:sz w:val="15"/>
              </w:rPr>
              <w:t>§28; RB-ENG-01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ENG-01-R04</w:t>
            </w:r>
          </w:p>
        </w:tc>
        <w:tc>
          <w:tcPr>
            <w:tcW w:type="dxa" w:w="1531"/>
            <w:tcMar>
              <w:top w:w="70" w:type="dxa"/>
              <w:left w:w="80" w:type="dxa"/>
              <w:bottom w:w="70" w:type="dxa"/>
              <w:right w:w="80" w:type="dxa"/>
            </w:tcMar>
          </w:tcPr>
          <w:p>
            <w:r>
              <w:rPr>
                <w:sz w:val="15"/>
              </w:rPr>
              <w:t>Unified Inbox, Messaging &amp; Contextual Communication</w:t>
            </w:r>
          </w:p>
        </w:tc>
        <w:tc>
          <w:tcPr>
            <w:tcW w:type="dxa" w:w="1531"/>
            <w:tcMar>
              <w:top w:w="70" w:type="dxa"/>
              <w:left w:w="80" w:type="dxa"/>
              <w:bottom w:w="70" w:type="dxa"/>
              <w:right w:w="80" w:type="dxa"/>
            </w:tcMar>
          </w:tcPr>
          <w:p>
            <w:r>
              <w:rPr>
                <w:sz w:val="15"/>
              </w:rPr>
              <w:t>Channel templates, approved WhatsApp templates, localized variables and preview.</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ENG-01</w:t>
            </w:r>
          </w:p>
        </w:tc>
        <w:tc>
          <w:tcPr>
            <w:tcW w:type="dxa" w:w="1531"/>
            <w:tcMar>
              <w:top w:w="70" w:type="dxa"/>
              <w:left w:w="80" w:type="dxa"/>
              <w:bottom w:w="70" w:type="dxa"/>
              <w:right w:w="80" w:type="dxa"/>
            </w:tcMar>
          </w:tcPr>
          <w:p>
            <w:r>
              <w:rPr>
                <w:sz w:val="15"/>
              </w:rPr>
              <w:t>§10.29 ENG-01 Implementation Contract; §18</w:t>
            </w:r>
          </w:p>
        </w:tc>
        <w:tc>
          <w:tcPr>
            <w:tcW w:type="dxa" w:w="1531"/>
            <w:tcMar>
              <w:top w:w="70" w:type="dxa"/>
              <w:left w:w="80" w:type="dxa"/>
              <w:bottom w:w="70" w:type="dxa"/>
              <w:right w:w="80" w:type="dxa"/>
            </w:tcMar>
          </w:tcPr>
          <w:p>
            <w:r>
              <w:rPr>
                <w:sz w:val="15"/>
              </w:rPr>
              <w:t>§27; INV-ENG-01; API/event contract tests; requirement ENG-01-R04</w:t>
            </w:r>
          </w:p>
        </w:tc>
        <w:tc>
          <w:tcPr>
            <w:tcW w:type="dxa" w:w="1531"/>
            <w:tcMar>
              <w:top w:w="70" w:type="dxa"/>
              <w:left w:w="80" w:type="dxa"/>
              <w:bottom w:w="70" w:type="dxa"/>
              <w:right w:w="80" w:type="dxa"/>
            </w:tcMar>
          </w:tcPr>
          <w:p>
            <w:r>
              <w:rPr>
                <w:sz w:val="15"/>
              </w:rPr>
              <w:t>§28; RB-ENG-01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ENG-01-R05</w:t>
            </w:r>
          </w:p>
        </w:tc>
        <w:tc>
          <w:tcPr>
            <w:tcW w:type="dxa" w:w="1531"/>
            <w:tcMar>
              <w:top w:w="70" w:type="dxa"/>
              <w:left w:w="80" w:type="dxa"/>
              <w:bottom w:w="70" w:type="dxa"/>
              <w:right w:w="80" w:type="dxa"/>
            </w:tcMar>
          </w:tcPr>
          <w:p>
            <w:r>
              <w:rPr>
                <w:sz w:val="15"/>
              </w:rPr>
              <w:t>Unified Inbox, Messaging &amp; Contextual Communication</w:t>
            </w:r>
          </w:p>
        </w:tc>
        <w:tc>
          <w:tcPr>
            <w:tcW w:type="dxa" w:w="1531"/>
            <w:tcMar>
              <w:top w:w="70" w:type="dxa"/>
              <w:left w:w="80" w:type="dxa"/>
              <w:bottom w:w="70" w:type="dxa"/>
              <w:right w:w="80" w:type="dxa"/>
            </w:tcMar>
          </w:tcPr>
          <w:p>
            <w:r>
              <w:rPr>
                <w:sz w:val="15"/>
              </w:rPr>
              <w:t>Member-to-coach messaging with availability, response expectations, media and moderation controls.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ENG-01</w:t>
            </w:r>
          </w:p>
        </w:tc>
        <w:tc>
          <w:tcPr>
            <w:tcW w:type="dxa" w:w="1531"/>
            <w:tcMar>
              <w:top w:w="70" w:type="dxa"/>
              <w:left w:w="80" w:type="dxa"/>
              <w:bottom w:w="70" w:type="dxa"/>
              <w:right w:w="80" w:type="dxa"/>
            </w:tcMar>
          </w:tcPr>
          <w:p>
            <w:r>
              <w:rPr>
                <w:sz w:val="15"/>
              </w:rPr>
              <w:t>§10.29 ENG-01 Implementation Contract; §18</w:t>
            </w:r>
          </w:p>
        </w:tc>
        <w:tc>
          <w:tcPr>
            <w:tcW w:type="dxa" w:w="1531"/>
            <w:tcMar>
              <w:top w:w="70" w:type="dxa"/>
              <w:left w:w="80" w:type="dxa"/>
              <w:bottom w:w="70" w:type="dxa"/>
              <w:right w:w="80" w:type="dxa"/>
            </w:tcMar>
          </w:tcPr>
          <w:p>
            <w:r>
              <w:rPr>
                <w:sz w:val="15"/>
              </w:rPr>
              <w:t>§27; INV-ENG-01; API/event contract tests; requirement ENG-01-R05</w:t>
            </w:r>
          </w:p>
        </w:tc>
        <w:tc>
          <w:tcPr>
            <w:tcW w:type="dxa" w:w="1531"/>
            <w:tcMar>
              <w:top w:w="70" w:type="dxa"/>
              <w:left w:w="80" w:type="dxa"/>
              <w:bottom w:w="70" w:type="dxa"/>
              <w:right w:w="80" w:type="dxa"/>
            </w:tcMar>
          </w:tcPr>
          <w:p>
            <w:r>
              <w:rPr>
                <w:sz w:val="15"/>
              </w:rPr>
              <w:t>§28; RB-ENG-01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ENG-01-R06</w:t>
            </w:r>
          </w:p>
        </w:tc>
        <w:tc>
          <w:tcPr>
            <w:tcW w:type="dxa" w:w="1531"/>
            <w:tcMar>
              <w:top w:w="70" w:type="dxa"/>
              <w:left w:w="80" w:type="dxa"/>
              <w:bottom w:w="70" w:type="dxa"/>
              <w:right w:w="80" w:type="dxa"/>
            </w:tcMar>
          </w:tcPr>
          <w:p>
            <w:r>
              <w:rPr>
                <w:sz w:val="15"/>
              </w:rPr>
              <w:t>Unified Inbox, Messaging &amp; Contextual Communication</w:t>
            </w:r>
          </w:p>
        </w:tc>
        <w:tc>
          <w:tcPr>
            <w:tcW w:type="dxa" w:w="1531"/>
            <w:tcMar>
              <w:top w:w="70" w:type="dxa"/>
              <w:left w:w="80" w:type="dxa"/>
              <w:bottom w:w="70" w:type="dxa"/>
              <w:right w:w="80" w:type="dxa"/>
            </w:tcMar>
          </w:tcPr>
          <w:p>
            <w:r>
              <w:rPr>
                <w:sz w:val="15"/>
              </w:rPr>
              <w:t>Consent, opt-out, quiet hours, communication preferences and legal retention by channel.</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ENG-01</w:t>
            </w:r>
          </w:p>
        </w:tc>
        <w:tc>
          <w:tcPr>
            <w:tcW w:type="dxa" w:w="1531"/>
            <w:tcMar>
              <w:top w:w="70" w:type="dxa"/>
              <w:left w:w="80" w:type="dxa"/>
              <w:bottom w:w="70" w:type="dxa"/>
              <w:right w:w="80" w:type="dxa"/>
            </w:tcMar>
          </w:tcPr>
          <w:p>
            <w:r>
              <w:rPr>
                <w:sz w:val="15"/>
              </w:rPr>
              <w:t>§10.29 ENG-01 Implementation Contract; §18</w:t>
            </w:r>
          </w:p>
        </w:tc>
        <w:tc>
          <w:tcPr>
            <w:tcW w:type="dxa" w:w="1531"/>
            <w:tcMar>
              <w:top w:w="70" w:type="dxa"/>
              <w:left w:w="80" w:type="dxa"/>
              <w:bottom w:w="70" w:type="dxa"/>
              <w:right w:w="80" w:type="dxa"/>
            </w:tcMar>
          </w:tcPr>
          <w:p>
            <w:r>
              <w:rPr>
                <w:sz w:val="15"/>
              </w:rPr>
              <w:t>§27; INV-ENG-01; API/event contract tests; requirement ENG-01-R06</w:t>
            </w:r>
          </w:p>
        </w:tc>
        <w:tc>
          <w:tcPr>
            <w:tcW w:type="dxa" w:w="1531"/>
            <w:tcMar>
              <w:top w:w="70" w:type="dxa"/>
              <w:left w:w="80" w:type="dxa"/>
              <w:bottom w:w="70" w:type="dxa"/>
              <w:right w:w="80" w:type="dxa"/>
            </w:tcMar>
          </w:tcPr>
          <w:p>
            <w:r>
              <w:rPr>
                <w:sz w:val="15"/>
              </w:rPr>
              <w:t>§28; RB-ENG-01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ENG-01-R07</w:t>
            </w:r>
          </w:p>
        </w:tc>
        <w:tc>
          <w:tcPr>
            <w:tcW w:type="dxa" w:w="1531"/>
            <w:tcMar>
              <w:top w:w="70" w:type="dxa"/>
              <w:left w:w="80" w:type="dxa"/>
              <w:bottom w:w="70" w:type="dxa"/>
              <w:right w:w="80" w:type="dxa"/>
            </w:tcMar>
          </w:tcPr>
          <w:p>
            <w:r>
              <w:rPr>
                <w:sz w:val="15"/>
              </w:rPr>
              <w:t>Unified Inbox, Messaging &amp; Contextual Communication</w:t>
            </w:r>
          </w:p>
        </w:tc>
        <w:tc>
          <w:tcPr>
            <w:tcW w:type="dxa" w:w="1531"/>
            <w:tcMar>
              <w:top w:w="70" w:type="dxa"/>
              <w:left w:w="80" w:type="dxa"/>
              <w:bottom w:w="70" w:type="dxa"/>
              <w:right w:w="80" w:type="dxa"/>
            </w:tcMar>
          </w:tcPr>
          <w:p>
            <w:r>
              <w:rPr>
                <w:sz w:val="15"/>
              </w:rPr>
              <w:t>Delivery, read, failure, reply and escalation status with provider reconciliation.</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ENG-01</w:t>
            </w:r>
          </w:p>
        </w:tc>
        <w:tc>
          <w:tcPr>
            <w:tcW w:type="dxa" w:w="1531"/>
            <w:tcMar>
              <w:top w:w="70" w:type="dxa"/>
              <w:left w:w="80" w:type="dxa"/>
              <w:bottom w:w="70" w:type="dxa"/>
              <w:right w:w="80" w:type="dxa"/>
            </w:tcMar>
          </w:tcPr>
          <w:p>
            <w:r>
              <w:rPr>
                <w:sz w:val="15"/>
              </w:rPr>
              <w:t>§10.29 ENG-01 Implementation Contract; §18</w:t>
            </w:r>
          </w:p>
        </w:tc>
        <w:tc>
          <w:tcPr>
            <w:tcW w:type="dxa" w:w="1531"/>
            <w:tcMar>
              <w:top w:w="70" w:type="dxa"/>
              <w:left w:w="80" w:type="dxa"/>
              <w:bottom w:w="70" w:type="dxa"/>
              <w:right w:w="80" w:type="dxa"/>
            </w:tcMar>
          </w:tcPr>
          <w:p>
            <w:r>
              <w:rPr>
                <w:sz w:val="15"/>
              </w:rPr>
              <w:t>§27; INV-ENG-01; API/event contract tests; requirement ENG-01-R07</w:t>
            </w:r>
          </w:p>
        </w:tc>
        <w:tc>
          <w:tcPr>
            <w:tcW w:type="dxa" w:w="1531"/>
            <w:tcMar>
              <w:top w:w="70" w:type="dxa"/>
              <w:left w:w="80" w:type="dxa"/>
              <w:bottom w:w="70" w:type="dxa"/>
              <w:right w:w="80" w:type="dxa"/>
            </w:tcMar>
          </w:tcPr>
          <w:p>
            <w:r>
              <w:rPr>
                <w:sz w:val="15"/>
              </w:rPr>
              <w:t>§28; RB-ENG-01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ENG-01-R08</w:t>
            </w:r>
          </w:p>
        </w:tc>
        <w:tc>
          <w:tcPr>
            <w:tcW w:type="dxa" w:w="1531"/>
            <w:tcMar>
              <w:top w:w="70" w:type="dxa"/>
              <w:left w:w="80" w:type="dxa"/>
              <w:bottom w:w="70" w:type="dxa"/>
              <w:right w:w="80" w:type="dxa"/>
            </w:tcMar>
          </w:tcPr>
          <w:p>
            <w:r>
              <w:rPr>
                <w:sz w:val="15"/>
              </w:rPr>
              <w:t>Unified Inbox, Messaging &amp; Contextual Communication</w:t>
            </w:r>
          </w:p>
        </w:tc>
        <w:tc>
          <w:tcPr>
            <w:tcW w:type="dxa" w:w="1531"/>
            <w:tcMar>
              <w:top w:w="70" w:type="dxa"/>
              <w:left w:w="80" w:type="dxa"/>
              <w:bottom w:w="70" w:type="dxa"/>
              <w:right w:w="80" w:type="dxa"/>
            </w:tcMar>
          </w:tcPr>
          <w:p>
            <w:r>
              <w:rPr>
                <w:sz w:val="15"/>
              </w:rPr>
              <w:t>AI-assisted drafts and summaries that never send without authorized policy.</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ENG-01</w:t>
            </w:r>
          </w:p>
        </w:tc>
        <w:tc>
          <w:tcPr>
            <w:tcW w:type="dxa" w:w="1531"/>
            <w:tcMar>
              <w:top w:w="70" w:type="dxa"/>
              <w:left w:w="80" w:type="dxa"/>
              <w:bottom w:w="70" w:type="dxa"/>
              <w:right w:w="80" w:type="dxa"/>
            </w:tcMar>
          </w:tcPr>
          <w:p>
            <w:r>
              <w:rPr>
                <w:sz w:val="15"/>
              </w:rPr>
              <w:t>§10.29 ENG-01 Implementation Contract; §18</w:t>
            </w:r>
          </w:p>
        </w:tc>
        <w:tc>
          <w:tcPr>
            <w:tcW w:type="dxa" w:w="1531"/>
            <w:tcMar>
              <w:top w:w="70" w:type="dxa"/>
              <w:left w:w="80" w:type="dxa"/>
              <w:bottom w:w="70" w:type="dxa"/>
              <w:right w:w="80" w:type="dxa"/>
            </w:tcMar>
          </w:tcPr>
          <w:p>
            <w:r>
              <w:rPr>
                <w:sz w:val="15"/>
              </w:rPr>
              <w:t>§27; INV-ENG-01; API/event contract tests; requirement ENG-01-R08</w:t>
            </w:r>
          </w:p>
        </w:tc>
        <w:tc>
          <w:tcPr>
            <w:tcW w:type="dxa" w:w="1531"/>
            <w:tcMar>
              <w:top w:w="70" w:type="dxa"/>
              <w:left w:w="80" w:type="dxa"/>
              <w:bottom w:w="70" w:type="dxa"/>
              <w:right w:w="80" w:type="dxa"/>
            </w:tcMar>
          </w:tcPr>
          <w:p>
            <w:r>
              <w:rPr>
                <w:sz w:val="15"/>
              </w:rPr>
              <w:t>§28; RB-ENG-01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ENG-02-R01</w:t>
            </w:r>
          </w:p>
        </w:tc>
        <w:tc>
          <w:tcPr>
            <w:tcW w:type="dxa" w:w="1531"/>
            <w:tcMar>
              <w:top w:w="70" w:type="dxa"/>
              <w:left w:w="80" w:type="dxa"/>
              <w:bottom w:w="70" w:type="dxa"/>
              <w:right w:w="80" w:type="dxa"/>
            </w:tcMar>
          </w:tcPr>
          <w:p>
            <w:r>
              <w:rPr>
                <w:sz w:val="15"/>
              </w:rPr>
              <w:t>Notification Platform, Templates &amp; Preferences</w:t>
            </w:r>
          </w:p>
        </w:tc>
        <w:tc>
          <w:tcPr>
            <w:tcW w:type="dxa" w:w="1531"/>
            <w:tcMar>
              <w:top w:w="70" w:type="dxa"/>
              <w:left w:w="80" w:type="dxa"/>
              <w:bottom w:w="70" w:type="dxa"/>
              <w:right w:w="80" w:type="dxa"/>
            </w:tcMar>
          </w:tcPr>
          <w:p>
            <w:r>
              <w:rPr>
                <w:sz w:val="15"/>
              </w:rPr>
              <w:t>Event-triggered email, push, SMS, WhatsApp and in-app notifications through one orchestration API.</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ENG-02</w:t>
            </w:r>
          </w:p>
        </w:tc>
        <w:tc>
          <w:tcPr>
            <w:tcW w:type="dxa" w:w="1531"/>
            <w:tcMar>
              <w:top w:w="70" w:type="dxa"/>
              <w:left w:w="80" w:type="dxa"/>
              <w:bottom w:w="70" w:type="dxa"/>
              <w:right w:w="80" w:type="dxa"/>
            </w:tcMar>
          </w:tcPr>
          <w:p>
            <w:r>
              <w:rPr>
                <w:sz w:val="15"/>
              </w:rPr>
              <w:t>§10.30 ENG-02 Implementation Contract; §18</w:t>
            </w:r>
          </w:p>
        </w:tc>
        <w:tc>
          <w:tcPr>
            <w:tcW w:type="dxa" w:w="1531"/>
            <w:tcMar>
              <w:top w:w="70" w:type="dxa"/>
              <w:left w:w="80" w:type="dxa"/>
              <w:bottom w:w="70" w:type="dxa"/>
              <w:right w:w="80" w:type="dxa"/>
            </w:tcMar>
          </w:tcPr>
          <w:p>
            <w:r>
              <w:rPr>
                <w:sz w:val="15"/>
              </w:rPr>
              <w:t>§27; INV-ENG-02; API/event contract tests; requirement ENG-02-R01</w:t>
            </w:r>
          </w:p>
        </w:tc>
        <w:tc>
          <w:tcPr>
            <w:tcW w:type="dxa" w:w="1531"/>
            <w:tcMar>
              <w:top w:w="70" w:type="dxa"/>
              <w:left w:w="80" w:type="dxa"/>
              <w:bottom w:w="70" w:type="dxa"/>
              <w:right w:w="80" w:type="dxa"/>
            </w:tcMar>
          </w:tcPr>
          <w:p>
            <w:r>
              <w:rPr>
                <w:sz w:val="15"/>
              </w:rPr>
              <w:t>§28; RB-ENG-02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ENG-02-R02</w:t>
            </w:r>
          </w:p>
        </w:tc>
        <w:tc>
          <w:tcPr>
            <w:tcW w:type="dxa" w:w="1531"/>
            <w:tcMar>
              <w:top w:w="70" w:type="dxa"/>
              <w:left w:w="80" w:type="dxa"/>
              <w:bottom w:w="70" w:type="dxa"/>
              <w:right w:w="80" w:type="dxa"/>
            </w:tcMar>
          </w:tcPr>
          <w:p>
            <w:r>
              <w:rPr>
                <w:sz w:val="15"/>
              </w:rPr>
              <w:t>Notification Platform, Templates &amp; Preferences</w:t>
            </w:r>
          </w:p>
        </w:tc>
        <w:tc>
          <w:tcPr>
            <w:tcW w:type="dxa" w:w="1531"/>
            <w:tcMar>
              <w:top w:w="70" w:type="dxa"/>
              <w:left w:w="80" w:type="dxa"/>
              <w:bottom w:w="70" w:type="dxa"/>
              <w:right w:w="80" w:type="dxa"/>
            </w:tcMar>
          </w:tcPr>
          <w:p>
            <w:r>
              <w:rPr>
                <w:sz w:val="15"/>
              </w:rPr>
              <w:t>Template versioning, localization, brand styling, variables, preview and approval.</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ENG-02</w:t>
            </w:r>
          </w:p>
        </w:tc>
        <w:tc>
          <w:tcPr>
            <w:tcW w:type="dxa" w:w="1531"/>
            <w:tcMar>
              <w:top w:w="70" w:type="dxa"/>
              <w:left w:w="80" w:type="dxa"/>
              <w:bottom w:w="70" w:type="dxa"/>
              <w:right w:w="80" w:type="dxa"/>
            </w:tcMar>
          </w:tcPr>
          <w:p>
            <w:r>
              <w:rPr>
                <w:sz w:val="15"/>
              </w:rPr>
              <w:t>§10.30 ENG-02 Implementation Contract; §18</w:t>
            </w:r>
          </w:p>
        </w:tc>
        <w:tc>
          <w:tcPr>
            <w:tcW w:type="dxa" w:w="1531"/>
            <w:tcMar>
              <w:top w:w="70" w:type="dxa"/>
              <w:left w:w="80" w:type="dxa"/>
              <w:bottom w:w="70" w:type="dxa"/>
              <w:right w:w="80" w:type="dxa"/>
            </w:tcMar>
          </w:tcPr>
          <w:p>
            <w:r>
              <w:rPr>
                <w:sz w:val="15"/>
              </w:rPr>
              <w:t>§27; INV-ENG-02; API/event contract tests; requirement ENG-02-R02</w:t>
            </w:r>
          </w:p>
        </w:tc>
        <w:tc>
          <w:tcPr>
            <w:tcW w:type="dxa" w:w="1531"/>
            <w:tcMar>
              <w:top w:w="70" w:type="dxa"/>
              <w:left w:w="80" w:type="dxa"/>
              <w:bottom w:w="70" w:type="dxa"/>
              <w:right w:w="80" w:type="dxa"/>
            </w:tcMar>
          </w:tcPr>
          <w:p>
            <w:r>
              <w:rPr>
                <w:sz w:val="15"/>
              </w:rPr>
              <w:t>§28; RB-ENG-02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ENG-02-R03</w:t>
            </w:r>
          </w:p>
        </w:tc>
        <w:tc>
          <w:tcPr>
            <w:tcW w:type="dxa" w:w="1531"/>
            <w:tcMar>
              <w:top w:w="70" w:type="dxa"/>
              <w:left w:w="80" w:type="dxa"/>
              <w:bottom w:w="70" w:type="dxa"/>
              <w:right w:w="80" w:type="dxa"/>
            </w:tcMar>
          </w:tcPr>
          <w:p>
            <w:r>
              <w:rPr>
                <w:sz w:val="15"/>
              </w:rPr>
              <w:t>Notification Platform, Templates &amp; Preferences</w:t>
            </w:r>
          </w:p>
        </w:tc>
        <w:tc>
          <w:tcPr>
            <w:tcW w:type="dxa" w:w="1531"/>
            <w:tcMar>
              <w:top w:w="70" w:type="dxa"/>
              <w:left w:w="80" w:type="dxa"/>
              <w:bottom w:w="70" w:type="dxa"/>
              <w:right w:w="80" w:type="dxa"/>
            </w:tcMar>
          </w:tcPr>
          <w:p>
            <w:r>
              <w:rPr>
                <w:sz w:val="15"/>
              </w:rPr>
              <w:t>Transactional, operational, coaching and marketing categories with different consent rules.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ENG-02</w:t>
            </w:r>
          </w:p>
        </w:tc>
        <w:tc>
          <w:tcPr>
            <w:tcW w:type="dxa" w:w="1531"/>
            <w:tcMar>
              <w:top w:w="70" w:type="dxa"/>
              <w:left w:w="80" w:type="dxa"/>
              <w:bottom w:w="70" w:type="dxa"/>
              <w:right w:w="80" w:type="dxa"/>
            </w:tcMar>
          </w:tcPr>
          <w:p>
            <w:r>
              <w:rPr>
                <w:sz w:val="15"/>
              </w:rPr>
              <w:t>§10.30 ENG-02 Implementation Contract; §18</w:t>
            </w:r>
          </w:p>
        </w:tc>
        <w:tc>
          <w:tcPr>
            <w:tcW w:type="dxa" w:w="1531"/>
            <w:tcMar>
              <w:top w:w="70" w:type="dxa"/>
              <w:left w:w="80" w:type="dxa"/>
              <w:bottom w:w="70" w:type="dxa"/>
              <w:right w:w="80" w:type="dxa"/>
            </w:tcMar>
          </w:tcPr>
          <w:p>
            <w:r>
              <w:rPr>
                <w:sz w:val="15"/>
              </w:rPr>
              <w:t>§27; INV-ENG-02; API/event contract tests; requirement ENG-02-R03</w:t>
            </w:r>
          </w:p>
        </w:tc>
        <w:tc>
          <w:tcPr>
            <w:tcW w:type="dxa" w:w="1531"/>
            <w:tcMar>
              <w:top w:w="70" w:type="dxa"/>
              <w:left w:w="80" w:type="dxa"/>
              <w:bottom w:w="70" w:type="dxa"/>
              <w:right w:w="80" w:type="dxa"/>
            </w:tcMar>
          </w:tcPr>
          <w:p>
            <w:r>
              <w:rPr>
                <w:sz w:val="15"/>
              </w:rPr>
              <w:t>§28; RB-ENG-02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ENG-02-R04</w:t>
            </w:r>
          </w:p>
        </w:tc>
        <w:tc>
          <w:tcPr>
            <w:tcW w:type="dxa" w:w="1531"/>
            <w:tcMar>
              <w:top w:w="70" w:type="dxa"/>
              <w:left w:w="80" w:type="dxa"/>
              <w:bottom w:w="70" w:type="dxa"/>
              <w:right w:w="80" w:type="dxa"/>
            </w:tcMar>
          </w:tcPr>
          <w:p>
            <w:r>
              <w:rPr>
                <w:sz w:val="15"/>
              </w:rPr>
              <w:t>Notification Platform, Templates &amp; Preferences</w:t>
            </w:r>
          </w:p>
        </w:tc>
        <w:tc>
          <w:tcPr>
            <w:tcW w:type="dxa" w:w="1531"/>
            <w:tcMar>
              <w:top w:w="70" w:type="dxa"/>
              <w:left w:w="80" w:type="dxa"/>
              <w:bottom w:w="70" w:type="dxa"/>
              <w:right w:w="80" w:type="dxa"/>
            </w:tcMar>
          </w:tcPr>
          <w:p>
            <w:r>
              <w:rPr>
                <w:sz w:val="15"/>
              </w:rPr>
              <w:t>User preferences, quiet hours, frequency caps, digesting, priority and channel fallback.</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ENG-02</w:t>
            </w:r>
          </w:p>
        </w:tc>
        <w:tc>
          <w:tcPr>
            <w:tcW w:type="dxa" w:w="1531"/>
            <w:tcMar>
              <w:top w:w="70" w:type="dxa"/>
              <w:left w:w="80" w:type="dxa"/>
              <w:bottom w:w="70" w:type="dxa"/>
              <w:right w:w="80" w:type="dxa"/>
            </w:tcMar>
          </w:tcPr>
          <w:p>
            <w:r>
              <w:rPr>
                <w:sz w:val="15"/>
              </w:rPr>
              <w:t>§10.30 ENG-02 Implementation Contract; §18</w:t>
            </w:r>
          </w:p>
        </w:tc>
        <w:tc>
          <w:tcPr>
            <w:tcW w:type="dxa" w:w="1531"/>
            <w:tcMar>
              <w:top w:w="70" w:type="dxa"/>
              <w:left w:w="80" w:type="dxa"/>
              <w:bottom w:w="70" w:type="dxa"/>
              <w:right w:w="80" w:type="dxa"/>
            </w:tcMar>
          </w:tcPr>
          <w:p>
            <w:r>
              <w:rPr>
                <w:sz w:val="15"/>
              </w:rPr>
              <w:t>§27; INV-ENG-02; API/event contract tests; requirement ENG-02-R04</w:t>
            </w:r>
          </w:p>
        </w:tc>
        <w:tc>
          <w:tcPr>
            <w:tcW w:type="dxa" w:w="1531"/>
            <w:tcMar>
              <w:top w:w="70" w:type="dxa"/>
              <w:left w:w="80" w:type="dxa"/>
              <w:bottom w:w="70" w:type="dxa"/>
              <w:right w:w="80" w:type="dxa"/>
            </w:tcMar>
          </w:tcPr>
          <w:p>
            <w:r>
              <w:rPr>
                <w:sz w:val="15"/>
              </w:rPr>
              <w:t>§28; RB-ENG-02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ENG-02-R05</w:t>
            </w:r>
          </w:p>
        </w:tc>
        <w:tc>
          <w:tcPr>
            <w:tcW w:type="dxa" w:w="1531"/>
            <w:tcMar>
              <w:top w:w="70" w:type="dxa"/>
              <w:left w:w="80" w:type="dxa"/>
              <w:bottom w:w="70" w:type="dxa"/>
              <w:right w:w="80" w:type="dxa"/>
            </w:tcMar>
          </w:tcPr>
          <w:p>
            <w:r>
              <w:rPr>
                <w:sz w:val="15"/>
              </w:rPr>
              <w:t>Notification Platform, Templates &amp; Preferences</w:t>
            </w:r>
          </w:p>
        </w:tc>
        <w:tc>
          <w:tcPr>
            <w:tcW w:type="dxa" w:w="1531"/>
            <w:tcMar>
              <w:top w:w="70" w:type="dxa"/>
              <w:left w:w="80" w:type="dxa"/>
              <w:bottom w:w="70" w:type="dxa"/>
              <w:right w:w="80" w:type="dxa"/>
            </w:tcMar>
          </w:tcPr>
          <w:p>
            <w:r>
              <w:rPr>
                <w:sz w:val="15"/>
              </w:rPr>
              <w:t>Scheduling, deduplication, idempotency, retry, provider failover and dead-letter handling.</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ENG-02</w:t>
            </w:r>
          </w:p>
        </w:tc>
        <w:tc>
          <w:tcPr>
            <w:tcW w:type="dxa" w:w="1531"/>
            <w:tcMar>
              <w:top w:w="70" w:type="dxa"/>
              <w:left w:w="80" w:type="dxa"/>
              <w:bottom w:w="70" w:type="dxa"/>
              <w:right w:w="80" w:type="dxa"/>
            </w:tcMar>
          </w:tcPr>
          <w:p>
            <w:r>
              <w:rPr>
                <w:sz w:val="15"/>
              </w:rPr>
              <w:t>§10.30 ENG-02 Implementation Contract; §18</w:t>
            </w:r>
          </w:p>
        </w:tc>
        <w:tc>
          <w:tcPr>
            <w:tcW w:type="dxa" w:w="1531"/>
            <w:tcMar>
              <w:top w:w="70" w:type="dxa"/>
              <w:left w:w="80" w:type="dxa"/>
              <w:bottom w:w="70" w:type="dxa"/>
              <w:right w:w="80" w:type="dxa"/>
            </w:tcMar>
          </w:tcPr>
          <w:p>
            <w:r>
              <w:rPr>
                <w:sz w:val="15"/>
              </w:rPr>
              <w:t>§27; INV-ENG-02; API/event contract tests; requirement ENG-02-R05</w:t>
            </w:r>
          </w:p>
        </w:tc>
        <w:tc>
          <w:tcPr>
            <w:tcW w:type="dxa" w:w="1531"/>
            <w:tcMar>
              <w:top w:w="70" w:type="dxa"/>
              <w:left w:w="80" w:type="dxa"/>
              <w:bottom w:w="70" w:type="dxa"/>
              <w:right w:w="80" w:type="dxa"/>
            </w:tcMar>
          </w:tcPr>
          <w:p>
            <w:r>
              <w:rPr>
                <w:sz w:val="15"/>
              </w:rPr>
              <w:t>§28; RB-ENG-02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ENG-02-R06</w:t>
            </w:r>
          </w:p>
        </w:tc>
        <w:tc>
          <w:tcPr>
            <w:tcW w:type="dxa" w:w="1531"/>
            <w:tcMar>
              <w:top w:w="70" w:type="dxa"/>
              <w:left w:w="80" w:type="dxa"/>
              <w:bottom w:w="70" w:type="dxa"/>
              <w:right w:w="80" w:type="dxa"/>
            </w:tcMar>
          </w:tcPr>
          <w:p>
            <w:r>
              <w:rPr>
                <w:sz w:val="15"/>
              </w:rPr>
              <w:t>Notification Platform, Templates &amp; Preferences</w:t>
            </w:r>
          </w:p>
        </w:tc>
        <w:tc>
          <w:tcPr>
            <w:tcW w:type="dxa" w:w="1531"/>
            <w:tcMar>
              <w:top w:w="70" w:type="dxa"/>
              <w:left w:w="80" w:type="dxa"/>
              <w:bottom w:w="70" w:type="dxa"/>
              <w:right w:w="80" w:type="dxa"/>
            </w:tcMar>
          </w:tcPr>
          <w:p>
            <w:r>
              <w:rPr>
                <w:sz w:val="15"/>
              </w:rPr>
              <w:t>Delivery analytics, complaint/bounce suppression and cost by tenant/channel.</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ENG-02</w:t>
            </w:r>
          </w:p>
        </w:tc>
        <w:tc>
          <w:tcPr>
            <w:tcW w:type="dxa" w:w="1531"/>
            <w:tcMar>
              <w:top w:w="70" w:type="dxa"/>
              <w:left w:w="80" w:type="dxa"/>
              <w:bottom w:w="70" w:type="dxa"/>
              <w:right w:w="80" w:type="dxa"/>
            </w:tcMar>
          </w:tcPr>
          <w:p>
            <w:r>
              <w:rPr>
                <w:sz w:val="15"/>
              </w:rPr>
              <w:t>§10.30 ENG-02 Implementation Contract; §18</w:t>
            </w:r>
          </w:p>
        </w:tc>
        <w:tc>
          <w:tcPr>
            <w:tcW w:type="dxa" w:w="1531"/>
            <w:tcMar>
              <w:top w:w="70" w:type="dxa"/>
              <w:left w:w="80" w:type="dxa"/>
              <w:bottom w:w="70" w:type="dxa"/>
              <w:right w:w="80" w:type="dxa"/>
            </w:tcMar>
          </w:tcPr>
          <w:p>
            <w:r>
              <w:rPr>
                <w:sz w:val="15"/>
              </w:rPr>
              <w:t>§27; INV-ENG-02; API/event contract tests; requirement ENG-02-R06</w:t>
            </w:r>
          </w:p>
        </w:tc>
        <w:tc>
          <w:tcPr>
            <w:tcW w:type="dxa" w:w="1531"/>
            <w:tcMar>
              <w:top w:w="70" w:type="dxa"/>
              <w:left w:w="80" w:type="dxa"/>
              <w:bottom w:w="70" w:type="dxa"/>
              <w:right w:w="80" w:type="dxa"/>
            </w:tcMar>
          </w:tcPr>
          <w:p>
            <w:r>
              <w:rPr>
                <w:sz w:val="15"/>
              </w:rPr>
              <w:t>§28; RB-ENG-02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ENG-02-R07</w:t>
            </w:r>
          </w:p>
        </w:tc>
        <w:tc>
          <w:tcPr>
            <w:tcW w:type="dxa" w:w="1531"/>
            <w:tcMar>
              <w:top w:w="70" w:type="dxa"/>
              <w:left w:w="80" w:type="dxa"/>
              <w:bottom w:w="70" w:type="dxa"/>
              <w:right w:w="80" w:type="dxa"/>
            </w:tcMar>
          </w:tcPr>
          <w:p>
            <w:r>
              <w:rPr>
                <w:sz w:val="15"/>
              </w:rPr>
              <w:t>Notification Platform, Templates &amp; Preferences</w:t>
            </w:r>
          </w:p>
        </w:tc>
        <w:tc>
          <w:tcPr>
            <w:tcW w:type="dxa" w:w="1531"/>
            <w:tcMar>
              <w:top w:w="70" w:type="dxa"/>
              <w:left w:w="80" w:type="dxa"/>
              <w:bottom w:w="70" w:type="dxa"/>
              <w:right w:w="80" w:type="dxa"/>
            </w:tcMar>
          </w:tcPr>
          <w:p>
            <w:r>
              <w:rPr>
                <w:sz w:val="15"/>
              </w:rPr>
              <w:t>Critical alerts that bypass selected preferences only under documented policy.</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ENG-02</w:t>
            </w:r>
          </w:p>
        </w:tc>
        <w:tc>
          <w:tcPr>
            <w:tcW w:type="dxa" w:w="1531"/>
            <w:tcMar>
              <w:top w:w="70" w:type="dxa"/>
              <w:left w:w="80" w:type="dxa"/>
              <w:bottom w:w="70" w:type="dxa"/>
              <w:right w:w="80" w:type="dxa"/>
            </w:tcMar>
          </w:tcPr>
          <w:p>
            <w:r>
              <w:rPr>
                <w:sz w:val="15"/>
              </w:rPr>
              <w:t>§10.30 ENG-02 Implementation Contract; §18</w:t>
            </w:r>
          </w:p>
        </w:tc>
        <w:tc>
          <w:tcPr>
            <w:tcW w:type="dxa" w:w="1531"/>
            <w:tcMar>
              <w:top w:w="70" w:type="dxa"/>
              <w:left w:w="80" w:type="dxa"/>
              <w:bottom w:w="70" w:type="dxa"/>
              <w:right w:w="80" w:type="dxa"/>
            </w:tcMar>
          </w:tcPr>
          <w:p>
            <w:r>
              <w:rPr>
                <w:sz w:val="15"/>
              </w:rPr>
              <w:t>§27; INV-ENG-02; API/event contract tests; requirement ENG-02-R07</w:t>
            </w:r>
          </w:p>
        </w:tc>
        <w:tc>
          <w:tcPr>
            <w:tcW w:type="dxa" w:w="1531"/>
            <w:tcMar>
              <w:top w:w="70" w:type="dxa"/>
              <w:left w:w="80" w:type="dxa"/>
              <w:bottom w:w="70" w:type="dxa"/>
              <w:right w:w="80" w:type="dxa"/>
            </w:tcMar>
          </w:tcPr>
          <w:p>
            <w:r>
              <w:rPr>
                <w:sz w:val="15"/>
              </w:rPr>
              <w:t>§28; RB-ENG-02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ENG-03-R01</w:t>
            </w:r>
          </w:p>
        </w:tc>
        <w:tc>
          <w:tcPr>
            <w:tcW w:type="dxa" w:w="1531"/>
            <w:tcMar>
              <w:top w:w="70" w:type="dxa"/>
              <w:left w:w="80" w:type="dxa"/>
              <w:bottom w:w="70" w:type="dxa"/>
              <w:right w:w="80" w:type="dxa"/>
            </w:tcMar>
          </w:tcPr>
          <w:p>
            <w:r>
              <w:rPr>
                <w:sz w:val="15"/>
              </w:rPr>
              <w:t>Community, Challenges, Achievements &amp; Rewards</w:t>
            </w:r>
          </w:p>
        </w:tc>
        <w:tc>
          <w:tcPr>
            <w:tcW w:type="dxa" w:w="1531"/>
            <w:tcMar>
              <w:top w:w="70" w:type="dxa"/>
              <w:left w:w="80" w:type="dxa"/>
              <w:bottom w:w="70" w:type="dxa"/>
              <w:right w:w="80" w:type="dxa"/>
            </w:tcMar>
          </w:tcPr>
          <w:p>
            <w:r>
              <w:rPr>
                <w:sz w:val="15"/>
              </w:rPr>
              <w:t>Challenges based on attendance, workout completion, distance, consistency, team goals or custom verified events.</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ENG-03</w:t>
            </w:r>
          </w:p>
        </w:tc>
        <w:tc>
          <w:tcPr>
            <w:tcW w:type="dxa" w:w="1531"/>
            <w:tcMar>
              <w:top w:w="70" w:type="dxa"/>
              <w:left w:w="80" w:type="dxa"/>
              <w:bottom w:w="70" w:type="dxa"/>
              <w:right w:w="80" w:type="dxa"/>
            </w:tcMar>
          </w:tcPr>
          <w:p>
            <w:r>
              <w:rPr>
                <w:sz w:val="15"/>
              </w:rPr>
              <w:t>§10.31 ENG-03 Implementation Contract; §18</w:t>
            </w:r>
          </w:p>
        </w:tc>
        <w:tc>
          <w:tcPr>
            <w:tcW w:type="dxa" w:w="1531"/>
            <w:tcMar>
              <w:top w:w="70" w:type="dxa"/>
              <w:left w:w="80" w:type="dxa"/>
              <w:bottom w:w="70" w:type="dxa"/>
              <w:right w:w="80" w:type="dxa"/>
            </w:tcMar>
          </w:tcPr>
          <w:p>
            <w:r>
              <w:rPr>
                <w:sz w:val="15"/>
              </w:rPr>
              <w:t>§27; INV-ENG-03; API/event contract tests; requirement ENG-03-R01</w:t>
            </w:r>
          </w:p>
        </w:tc>
        <w:tc>
          <w:tcPr>
            <w:tcW w:type="dxa" w:w="1531"/>
            <w:tcMar>
              <w:top w:w="70" w:type="dxa"/>
              <w:left w:w="80" w:type="dxa"/>
              <w:bottom w:w="70" w:type="dxa"/>
              <w:right w:w="80" w:type="dxa"/>
            </w:tcMar>
          </w:tcPr>
          <w:p>
            <w:r>
              <w:rPr>
                <w:sz w:val="15"/>
              </w:rPr>
              <w:t>§28; RB-ENG-03</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ENG-03-R02</w:t>
            </w:r>
          </w:p>
        </w:tc>
        <w:tc>
          <w:tcPr>
            <w:tcW w:type="dxa" w:w="1531"/>
            <w:tcMar>
              <w:top w:w="70" w:type="dxa"/>
              <w:left w:w="80" w:type="dxa"/>
              <w:bottom w:w="70" w:type="dxa"/>
              <w:right w:w="80" w:type="dxa"/>
            </w:tcMar>
          </w:tcPr>
          <w:p>
            <w:r>
              <w:rPr>
                <w:sz w:val="15"/>
              </w:rPr>
              <w:t>Community, Challenges, Achievements &amp; Rewards</w:t>
            </w:r>
          </w:p>
        </w:tc>
        <w:tc>
          <w:tcPr>
            <w:tcW w:type="dxa" w:w="1531"/>
            <w:tcMar>
              <w:top w:w="70" w:type="dxa"/>
              <w:left w:w="80" w:type="dxa"/>
              <w:bottom w:w="70" w:type="dxa"/>
              <w:right w:w="80" w:type="dxa"/>
            </w:tcMar>
          </w:tcPr>
          <w:p>
            <w:r>
              <w:rPr>
                <w:sz w:val="15"/>
              </w:rPr>
              <w:t>Private, club, location, corporate and invitation-only participation scopes.</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ENG-03</w:t>
            </w:r>
          </w:p>
        </w:tc>
        <w:tc>
          <w:tcPr>
            <w:tcW w:type="dxa" w:w="1531"/>
            <w:tcMar>
              <w:top w:w="70" w:type="dxa"/>
              <w:left w:w="80" w:type="dxa"/>
              <w:bottom w:w="70" w:type="dxa"/>
              <w:right w:w="80" w:type="dxa"/>
            </w:tcMar>
          </w:tcPr>
          <w:p>
            <w:r>
              <w:rPr>
                <w:sz w:val="15"/>
              </w:rPr>
              <w:t>§10.31 ENG-03 Implementation Contract; §18</w:t>
            </w:r>
          </w:p>
        </w:tc>
        <w:tc>
          <w:tcPr>
            <w:tcW w:type="dxa" w:w="1531"/>
            <w:tcMar>
              <w:top w:w="70" w:type="dxa"/>
              <w:left w:w="80" w:type="dxa"/>
              <w:bottom w:w="70" w:type="dxa"/>
              <w:right w:w="80" w:type="dxa"/>
            </w:tcMar>
          </w:tcPr>
          <w:p>
            <w:r>
              <w:rPr>
                <w:sz w:val="15"/>
              </w:rPr>
              <w:t>§27; INV-ENG-03; API/event contract tests; requirement ENG-03-R02</w:t>
            </w:r>
          </w:p>
        </w:tc>
        <w:tc>
          <w:tcPr>
            <w:tcW w:type="dxa" w:w="1531"/>
            <w:tcMar>
              <w:top w:w="70" w:type="dxa"/>
              <w:left w:w="80" w:type="dxa"/>
              <w:bottom w:w="70" w:type="dxa"/>
              <w:right w:w="80" w:type="dxa"/>
            </w:tcMar>
          </w:tcPr>
          <w:p>
            <w:r>
              <w:rPr>
                <w:sz w:val="15"/>
              </w:rPr>
              <w:t>§28; RB-ENG-03</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ENG-03-R03</w:t>
            </w:r>
          </w:p>
        </w:tc>
        <w:tc>
          <w:tcPr>
            <w:tcW w:type="dxa" w:w="1531"/>
            <w:tcMar>
              <w:top w:w="70" w:type="dxa"/>
              <w:left w:w="80" w:type="dxa"/>
              <w:bottom w:w="70" w:type="dxa"/>
              <w:right w:w="80" w:type="dxa"/>
            </w:tcMar>
          </w:tcPr>
          <w:p>
            <w:r>
              <w:rPr>
                <w:sz w:val="15"/>
              </w:rPr>
              <w:t>Community, Challenges, Achievements &amp; Rewards</w:t>
            </w:r>
          </w:p>
        </w:tc>
        <w:tc>
          <w:tcPr>
            <w:tcW w:type="dxa" w:w="1531"/>
            <w:tcMar>
              <w:top w:w="70" w:type="dxa"/>
              <w:left w:w="80" w:type="dxa"/>
              <w:bottom w:w="70" w:type="dxa"/>
              <w:right w:w="80" w:type="dxa"/>
            </w:tcMar>
          </w:tcPr>
          <w:p>
            <w:r>
              <w:rPr>
                <w:sz w:val="15"/>
              </w:rPr>
              <w:t>Leaderboards with privacy aliases, fair ranking, eligibility and anti-cheat review.</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ENG-03</w:t>
            </w:r>
          </w:p>
        </w:tc>
        <w:tc>
          <w:tcPr>
            <w:tcW w:type="dxa" w:w="1531"/>
            <w:tcMar>
              <w:top w:w="70" w:type="dxa"/>
              <w:left w:w="80" w:type="dxa"/>
              <w:bottom w:w="70" w:type="dxa"/>
              <w:right w:w="80" w:type="dxa"/>
            </w:tcMar>
          </w:tcPr>
          <w:p>
            <w:r>
              <w:rPr>
                <w:sz w:val="15"/>
              </w:rPr>
              <w:t>§10.31 ENG-03 Implementation Contract; §18</w:t>
            </w:r>
          </w:p>
        </w:tc>
        <w:tc>
          <w:tcPr>
            <w:tcW w:type="dxa" w:w="1531"/>
            <w:tcMar>
              <w:top w:w="70" w:type="dxa"/>
              <w:left w:w="80" w:type="dxa"/>
              <w:bottom w:w="70" w:type="dxa"/>
              <w:right w:w="80" w:type="dxa"/>
            </w:tcMar>
          </w:tcPr>
          <w:p>
            <w:r>
              <w:rPr>
                <w:sz w:val="15"/>
              </w:rPr>
              <w:t>§27; INV-ENG-03; API/event contract tests; requirement ENG-03-R03</w:t>
            </w:r>
          </w:p>
        </w:tc>
        <w:tc>
          <w:tcPr>
            <w:tcW w:type="dxa" w:w="1531"/>
            <w:tcMar>
              <w:top w:w="70" w:type="dxa"/>
              <w:left w:w="80" w:type="dxa"/>
              <w:bottom w:w="70" w:type="dxa"/>
              <w:right w:w="80" w:type="dxa"/>
            </w:tcMar>
          </w:tcPr>
          <w:p>
            <w:r>
              <w:rPr>
                <w:sz w:val="15"/>
              </w:rPr>
              <w:t>§28; RB-ENG-03</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ENG-03-R04</w:t>
            </w:r>
          </w:p>
        </w:tc>
        <w:tc>
          <w:tcPr>
            <w:tcW w:type="dxa" w:w="1531"/>
            <w:tcMar>
              <w:top w:w="70" w:type="dxa"/>
              <w:left w:w="80" w:type="dxa"/>
              <w:bottom w:w="70" w:type="dxa"/>
              <w:right w:w="80" w:type="dxa"/>
            </w:tcMar>
          </w:tcPr>
          <w:p>
            <w:r>
              <w:rPr>
                <w:sz w:val="15"/>
              </w:rPr>
              <w:t>Community, Challenges, Achievements &amp; Rewards</w:t>
            </w:r>
          </w:p>
        </w:tc>
        <w:tc>
          <w:tcPr>
            <w:tcW w:type="dxa" w:w="1531"/>
            <w:tcMar>
              <w:top w:w="70" w:type="dxa"/>
              <w:left w:w="80" w:type="dxa"/>
              <w:bottom w:w="70" w:type="dxa"/>
              <w:right w:w="80" w:type="dxa"/>
            </w:tcMar>
          </w:tcPr>
          <w:p>
            <w:r>
              <w:rPr>
                <w:sz w:val="15"/>
              </w:rPr>
              <w:t>Achievements, streaks and milestones based on trusted event sources.</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ENG-03</w:t>
            </w:r>
          </w:p>
        </w:tc>
        <w:tc>
          <w:tcPr>
            <w:tcW w:type="dxa" w:w="1531"/>
            <w:tcMar>
              <w:top w:w="70" w:type="dxa"/>
              <w:left w:w="80" w:type="dxa"/>
              <w:bottom w:w="70" w:type="dxa"/>
              <w:right w:w="80" w:type="dxa"/>
            </w:tcMar>
          </w:tcPr>
          <w:p>
            <w:r>
              <w:rPr>
                <w:sz w:val="15"/>
              </w:rPr>
              <w:t>§10.31 ENG-03 Implementation Contract; §18</w:t>
            </w:r>
          </w:p>
        </w:tc>
        <w:tc>
          <w:tcPr>
            <w:tcW w:type="dxa" w:w="1531"/>
            <w:tcMar>
              <w:top w:w="70" w:type="dxa"/>
              <w:left w:w="80" w:type="dxa"/>
              <w:bottom w:w="70" w:type="dxa"/>
              <w:right w:w="80" w:type="dxa"/>
            </w:tcMar>
          </w:tcPr>
          <w:p>
            <w:r>
              <w:rPr>
                <w:sz w:val="15"/>
              </w:rPr>
              <w:t>§27; INV-ENG-03; API/event contract tests; requirement ENG-03-R04</w:t>
            </w:r>
          </w:p>
        </w:tc>
        <w:tc>
          <w:tcPr>
            <w:tcW w:type="dxa" w:w="1531"/>
            <w:tcMar>
              <w:top w:w="70" w:type="dxa"/>
              <w:left w:w="80" w:type="dxa"/>
              <w:bottom w:w="70" w:type="dxa"/>
              <w:right w:w="80" w:type="dxa"/>
            </w:tcMar>
          </w:tcPr>
          <w:p>
            <w:r>
              <w:rPr>
                <w:sz w:val="15"/>
              </w:rPr>
              <w:t>§28; RB-ENG-03</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ENG-03-R05</w:t>
            </w:r>
          </w:p>
        </w:tc>
        <w:tc>
          <w:tcPr>
            <w:tcW w:type="dxa" w:w="1531"/>
            <w:tcMar>
              <w:top w:w="70" w:type="dxa"/>
              <w:left w:w="80" w:type="dxa"/>
              <w:bottom w:w="70" w:type="dxa"/>
              <w:right w:w="80" w:type="dxa"/>
            </w:tcMar>
          </w:tcPr>
          <w:p>
            <w:r>
              <w:rPr>
                <w:sz w:val="15"/>
              </w:rPr>
              <w:t>Community, Challenges, Achievements &amp; Rewards</w:t>
            </w:r>
          </w:p>
        </w:tc>
        <w:tc>
          <w:tcPr>
            <w:tcW w:type="dxa" w:w="1531"/>
            <w:tcMar>
              <w:top w:w="70" w:type="dxa"/>
              <w:left w:w="80" w:type="dxa"/>
              <w:bottom w:w="70" w:type="dxa"/>
              <w:right w:w="80" w:type="dxa"/>
            </w:tcMar>
          </w:tcPr>
          <w:p>
            <w:r>
              <w:rPr>
                <w:sz w:val="15"/>
              </w:rPr>
              <w:t>Reward rules for attendance, consistency, referrals, renewals, purchases, challenges and coaching milestones.</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ENG-03</w:t>
            </w:r>
          </w:p>
        </w:tc>
        <w:tc>
          <w:tcPr>
            <w:tcW w:type="dxa" w:w="1531"/>
            <w:tcMar>
              <w:top w:w="70" w:type="dxa"/>
              <w:left w:w="80" w:type="dxa"/>
              <w:bottom w:w="70" w:type="dxa"/>
              <w:right w:w="80" w:type="dxa"/>
            </w:tcMar>
          </w:tcPr>
          <w:p>
            <w:r>
              <w:rPr>
                <w:sz w:val="15"/>
              </w:rPr>
              <w:t>§10.31 ENG-03 Implementation Contract; §18</w:t>
            </w:r>
          </w:p>
        </w:tc>
        <w:tc>
          <w:tcPr>
            <w:tcW w:type="dxa" w:w="1531"/>
            <w:tcMar>
              <w:top w:w="70" w:type="dxa"/>
              <w:left w:w="80" w:type="dxa"/>
              <w:bottom w:w="70" w:type="dxa"/>
              <w:right w:w="80" w:type="dxa"/>
            </w:tcMar>
          </w:tcPr>
          <w:p>
            <w:r>
              <w:rPr>
                <w:sz w:val="15"/>
              </w:rPr>
              <w:t>§27; INV-ENG-03; API/event contract tests; requirement ENG-03-R05</w:t>
            </w:r>
          </w:p>
        </w:tc>
        <w:tc>
          <w:tcPr>
            <w:tcW w:type="dxa" w:w="1531"/>
            <w:tcMar>
              <w:top w:w="70" w:type="dxa"/>
              <w:left w:w="80" w:type="dxa"/>
              <w:bottom w:w="70" w:type="dxa"/>
              <w:right w:w="80" w:type="dxa"/>
            </w:tcMar>
          </w:tcPr>
          <w:p>
            <w:r>
              <w:rPr>
                <w:sz w:val="15"/>
              </w:rPr>
              <w:t>§28; RB-ENG-03</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ENG-03-R06</w:t>
            </w:r>
          </w:p>
        </w:tc>
        <w:tc>
          <w:tcPr>
            <w:tcW w:type="dxa" w:w="1531"/>
            <w:tcMar>
              <w:top w:w="70" w:type="dxa"/>
              <w:left w:w="80" w:type="dxa"/>
              <w:bottom w:w="70" w:type="dxa"/>
              <w:right w:w="80" w:type="dxa"/>
            </w:tcMar>
          </w:tcPr>
          <w:p>
            <w:r>
              <w:rPr>
                <w:sz w:val="15"/>
              </w:rPr>
              <w:t>Community, Challenges, Achievements &amp; Rewards</w:t>
            </w:r>
          </w:p>
        </w:tc>
        <w:tc>
          <w:tcPr>
            <w:tcW w:type="dxa" w:w="1531"/>
            <w:tcMar>
              <w:top w:w="70" w:type="dxa"/>
              <w:left w:w="80" w:type="dxa"/>
              <w:bottom w:w="70" w:type="dxa"/>
              <w:right w:w="80" w:type="dxa"/>
            </w:tcMar>
          </w:tcPr>
          <w:p>
            <w:r>
              <w:rPr>
                <w:sz w:val="15"/>
              </w:rPr>
              <w:t>Reward catalog supporting points, wallet credit, guest pass, product, class or privilege.</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ENG-03</w:t>
            </w:r>
          </w:p>
        </w:tc>
        <w:tc>
          <w:tcPr>
            <w:tcW w:type="dxa" w:w="1531"/>
            <w:tcMar>
              <w:top w:w="70" w:type="dxa"/>
              <w:left w:w="80" w:type="dxa"/>
              <w:bottom w:w="70" w:type="dxa"/>
              <w:right w:w="80" w:type="dxa"/>
            </w:tcMar>
          </w:tcPr>
          <w:p>
            <w:r>
              <w:rPr>
                <w:sz w:val="15"/>
              </w:rPr>
              <w:t>§10.31 ENG-03 Implementation Contract; §18</w:t>
            </w:r>
          </w:p>
        </w:tc>
        <w:tc>
          <w:tcPr>
            <w:tcW w:type="dxa" w:w="1531"/>
            <w:tcMar>
              <w:top w:w="70" w:type="dxa"/>
              <w:left w:w="80" w:type="dxa"/>
              <w:bottom w:w="70" w:type="dxa"/>
              <w:right w:w="80" w:type="dxa"/>
            </w:tcMar>
          </w:tcPr>
          <w:p>
            <w:r>
              <w:rPr>
                <w:sz w:val="15"/>
              </w:rPr>
              <w:t>§27; INV-ENG-03; API/event contract tests; requirement ENG-03-R06</w:t>
            </w:r>
          </w:p>
        </w:tc>
        <w:tc>
          <w:tcPr>
            <w:tcW w:type="dxa" w:w="1531"/>
            <w:tcMar>
              <w:top w:w="70" w:type="dxa"/>
              <w:left w:w="80" w:type="dxa"/>
              <w:bottom w:w="70" w:type="dxa"/>
              <w:right w:w="80" w:type="dxa"/>
            </w:tcMar>
          </w:tcPr>
          <w:p>
            <w:r>
              <w:rPr>
                <w:sz w:val="15"/>
              </w:rPr>
              <w:t>§28; RB-ENG-03</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ENG-03-R07</w:t>
            </w:r>
          </w:p>
        </w:tc>
        <w:tc>
          <w:tcPr>
            <w:tcW w:type="dxa" w:w="1531"/>
            <w:tcMar>
              <w:top w:w="70" w:type="dxa"/>
              <w:left w:w="80" w:type="dxa"/>
              <w:bottom w:w="70" w:type="dxa"/>
              <w:right w:w="80" w:type="dxa"/>
            </w:tcMar>
          </w:tcPr>
          <w:p>
            <w:r>
              <w:rPr>
                <w:sz w:val="15"/>
              </w:rPr>
              <w:t>Community, Challenges, Achievements &amp; Rewards</w:t>
            </w:r>
          </w:p>
        </w:tc>
        <w:tc>
          <w:tcPr>
            <w:tcW w:type="dxa" w:w="1531"/>
            <w:tcMar>
              <w:top w:w="70" w:type="dxa"/>
              <w:left w:w="80" w:type="dxa"/>
              <w:bottom w:w="70" w:type="dxa"/>
              <w:right w:w="80" w:type="dxa"/>
            </w:tcMar>
          </w:tcPr>
          <w:p>
            <w:r>
              <w:rPr>
                <w:sz w:val="15"/>
              </w:rPr>
              <w:t>Lightweight posts, announcements, reactions and comments with reporting, blocking and moderation.</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ENG-03</w:t>
            </w:r>
          </w:p>
        </w:tc>
        <w:tc>
          <w:tcPr>
            <w:tcW w:type="dxa" w:w="1531"/>
            <w:tcMar>
              <w:top w:w="70" w:type="dxa"/>
              <w:left w:w="80" w:type="dxa"/>
              <w:bottom w:w="70" w:type="dxa"/>
              <w:right w:w="80" w:type="dxa"/>
            </w:tcMar>
          </w:tcPr>
          <w:p>
            <w:r>
              <w:rPr>
                <w:sz w:val="15"/>
              </w:rPr>
              <w:t>§10.31 ENG-03 Implementation Contract; §18</w:t>
            </w:r>
          </w:p>
        </w:tc>
        <w:tc>
          <w:tcPr>
            <w:tcW w:type="dxa" w:w="1531"/>
            <w:tcMar>
              <w:top w:w="70" w:type="dxa"/>
              <w:left w:w="80" w:type="dxa"/>
              <w:bottom w:w="70" w:type="dxa"/>
              <w:right w:w="80" w:type="dxa"/>
            </w:tcMar>
          </w:tcPr>
          <w:p>
            <w:r>
              <w:rPr>
                <w:sz w:val="15"/>
              </w:rPr>
              <w:t>§27; INV-ENG-03; API/event contract tests; requirement ENG-03-R07</w:t>
            </w:r>
          </w:p>
        </w:tc>
        <w:tc>
          <w:tcPr>
            <w:tcW w:type="dxa" w:w="1531"/>
            <w:tcMar>
              <w:top w:w="70" w:type="dxa"/>
              <w:left w:w="80" w:type="dxa"/>
              <w:bottom w:w="70" w:type="dxa"/>
              <w:right w:w="80" w:type="dxa"/>
            </w:tcMar>
          </w:tcPr>
          <w:p>
            <w:r>
              <w:rPr>
                <w:sz w:val="15"/>
              </w:rPr>
              <w:t>§28; RB-ENG-03</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ENG-03-R08</w:t>
            </w:r>
          </w:p>
        </w:tc>
        <w:tc>
          <w:tcPr>
            <w:tcW w:type="dxa" w:w="1531"/>
            <w:tcMar>
              <w:top w:w="70" w:type="dxa"/>
              <w:left w:w="80" w:type="dxa"/>
              <w:bottom w:w="70" w:type="dxa"/>
              <w:right w:w="80" w:type="dxa"/>
            </w:tcMar>
          </w:tcPr>
          <w:p>
            <w:r>
              <w:rPr>
                <w:sz w:val="15"/>
              </w:rPr>
              <w:t>Community, Challenges, Achievements &amp; Rewards</w:t>
            </w:r>
          </w:p>
        </w:tc>
        <w:tc>
          <w:tcPr>
            <w:tcW w:type="dxa" w:w="1531"/>
            <w:tcMar>
              <w:top w:w="70" w:type="dxa"/>
              <w:left w:w="80" w:type="dxa"/>
              <w:bottom w:w="70" w:type="dxa"/>
              <w:right w:w="80" w:type="dxa"/>
            </w:tcMar>
          </w:tcPr>
          <w:p>
            <w:r>
              <w:rPr>
                <w:sz w:val="15"/>
              </w:rPr>
              <w:t>Fraud, duplicate-event and incentive-abuse controls before reward settlement.</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ENG-03</w:t>
            </w:r>
          </w:p>
        </w:tc>
        <w:tc>
          <w:tcPr>
            <w:tcW w:type="dxa" w:w="1531"/>
            <w:tcMar>
              <w:top w:w="70" w:type="dxa"/>
              <w:left w:w="80" w:type="dxa"/>
              <w:bottom w:w="70" w:type="dxa"/>
              <w:right w:w="80" w:type="dxa"/>
            </w:tcMar>
          </w:tcPr>
          <w:p>
            <w:r>
              <w:rPr>
                <w:sz w:val="15"/>
              </w:rPr>
              <w:t>§10.31 ENG-03 Implementation Contract; §18</w:t>
            </w:r>
          </w:p>
        </w:tc>
        <w:tc>
          <w:tcPr>
            <w:tcW w:type="dxa" w:w="1531"/>
            <w:tcMar>
              <w:top w:w="70" w:type="dxa"/>
              <w:left w:w="80" w:type="dxa"/>
              <w:bottom w:w="70" w:type="dxa"/>
              <w:right w:w="80" w:type="dxa"/>
            </w:tcMar>
          </w:tcPr>
          <w:p>
            <w:r>
              <w:rPr>
                <w:sz w:val="15"/>
              </w:rPr>
              <w:t>§27; INV-ENG-03; API/event contract tests; requirement ENG-03-R08</w:t>
            </w:r>
          </w:p>
        </w:tc>
        <w:tc>
          <w:tcPr>
            <w:tcW w:type="dxa" w:w="1531"/>
            <w:tcMar>
              <w:top w:w="70" w:type="dxa"/>
              <w:left w:w="80" w:type="dxa"/>
              <w:bottom w:w="70" w:type="dxa"/>
              <w:right w:w="80" w:type="dxa"/>
            </w:tcMar>
          </w:tcPr>
          <w:p>
            <w:r>
              <w:rPr>
                <w:sz w:val="15"/>
              </w:rPr>
              <w:t>§28; RB-ENG-03</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ENG-04-R01</w:t>
            </w:r>
          </w:p>
        </w:tc>
        <w:tc>
          <w:tcPr>
            <w:tcW w:type="dxa" w:w="1531"/>
            <w:tcMar>
              <w:top w:w="70" w:type="dxa"/>
              <w:left w:w="80" w:type="dxa"/>
              <w:bottom w:w="70" w:type="dxa"/>
              <w:right w:w="80" w:type="dxa"/>
            </w:tcMar>
          </w:tcPr>
          <w:p>
            <w:r>
              <w:rPr>
                <w:sz w:val="15"/>
              </w:rPr>
              <w:t>Member Self-Service, Digital Card &amp; Service Requests</w:t>
            </w:r>
          </w:p>
        </w:tc>
        <w:tc>
          <w:tcPr>
            <w:tcW w:type="dxa" w:w="1531"/>
            <w:tcMar>
              <w:top w:w="70" w:type="dxa"/>
              <w:left w:w="80" w:type="dxa"/>
              <w:bottom w:w="70" w:type="dxa"/>
              <w:right w:w="80" w:type="dxa"/>
            </w:tcMar>
          </w:tcPr>
          <w:p>
            <w:r>
              <w:rPr>
                <w:sz w:val="15"/>
              </w:rPr>
              <w:t>Digital membership card, QR/NFC credential and wallet pass with live status.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ENG-04</w:t>
            </w:r>
          </w:p>
        </w:tc>
        <w:tc>
          <w:tcPr>
            <w:tcW w:type="dxa" w:w="1531"/>
            <w:tcMar>
              <w:top w:w="70" w:type="dxa"/>
              <w:left w:w="80" w:type="dxa"/>
              <w:bottom w:w="70" w:type="dxa"/>
              <w:right w:w="80" w:type="dxa"/>
            </w:tcMar>
          </w:tcPr>
          <w:p>
            <w:r>
              <w:rPr>
                <w:sz w:val="15"/>
              </w:rPr>
              <w:t>§10.32 ENG-04 Implementation Contract; §18</w:t>
            </w:r>
          </w:p>
        </w:tc>
        <w:tc>
          <w:tcPr>
            <w:tcW w:type="dxa" w:w="1531"/>
            <w:tcMar>
              <w:top w:w="70" w:type="dxa"/>
              <w:left w:w="80" w:type="dxa"/>
              <w:bottom w:w="70" w:type="dxa"/>
              <w:right w:w="80" w:type="dxa"/>
            </w:tcMar>
          </w:tcPr>
          <w:p>
            <w:r>
              <w:rPr>
                <w:sz w:val="15"/>
              </w:rPr>
              <w:t>§27; INV-ENG-04; API/event contract tests; requirement ENG-04-R01</w:t>
            </w:r>
          </w:p>
        </w:tc>
        <w:tc>
          <w:tcPr>
            <w:tcW w:type="dxa" w:w="1531"/>
            <w:tcMar>
              <w:top w:w="70" w:type="dxa"/>
              <w:left w:w="80" w:type="dxa"/>
              <w:bottom w:w="70" w:type="dxa"/>
              <w:right w:w="80" w:type="dxa"/>
            </w:tcMar>
          </w:tcPr>
          <w:p>
            <w:r>
              <w:rPr>
                <w:sz w:val="15"/>
              </w:rPr>
              <w:t>§28; RB-ENG-04</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ENG-04-R02</w:t>
            </w:r>
          </w:p>
        </w:tc>
        <w:tc>
          <w:tcPr>
            <w:tcW w:type="dxa" w:w="1531"/>
            <w:tcMar>
              <w:top w:w="70" w:type="dxa"/>
              <w:left w:w="80" w:type="dxa"/>
              <w:bottom w:w="70" w:type="dxa"/>
              <w:right w:w="80" w:type="dxa"/>
            </w:tcMar>
          </w:tcPr>
          <w:p>
            <w:r>
              <w:rPr>
                <w:sz w:val="15"/>
              </w:rPr>
              <w:t>Member Self-Service, Digital Card &amp; Service Requests</w:t>
            </w:r>
          </w:p>
        </w:tc>
        <w:tc>
          <w:tcPr>
            <w:tcW w:type="dxa" w:w="1531"/>
            <w:tcMar>
              <w:top w:w="70" w:type="dxa"/>
              <w:left w:w="80" w:type="dxa"/>
              <w:bottom w:w="70" w:type="dxa"/>
              <w:right w:w="80" w:type="dxa"/>
            </w:tcMar>
          </w:tcPr>
          <w:p>
            <w:r>
              <w:rPr>
                <w:sz w:val="15"/>
              </w:rPr>
              <w:t>Renew, upgrade, downgrade, freeze, resume, cancel or request transfer with transparent effects and fees.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ENG-04</w:t>
            </w:r>
          </w:p>
        </w:tc>
        <w:tc>
          <w:tcPr>
            <w:tcW w:type="dxa" w:w="1531"/>
            <w:tcMar>
              <w:top w:w="70" w:type="dxa"/>
              <w:left w:w="80" w:type="dxa"/>
              <w:bottom w:w="70" w:type="dxa"/>
              <w:right w:w="80" w:type="dxa"/>
            </w:tcMar>
          </w:tcPr>
          <w:p>
            <w:r>
              <w:rPr>
                <w:sz w:val="15"/>
              </w:rPr>
              <w:t>§10.32 ENG-04 Implementation Contract; §18</w:t>
            </w:r>
          </w:p>
        </w:tc>
        <w:tc>
          <w:tcPr>
            <w:tcW w:type="dxa" w:w="1531"/>
            <w:tcMar>
              <w:top w:w="70" w:type="dxa"/>
              <w:left w:w="80" w:type="dxa"/>
              <w:bottom w:w="70" w:type="dxa"/>
              <w:right w:w="80" w:type="dxa"/>
            </w:tcMar>
          </w:tcPr>
          <w:p>
            <w:r>
              <w:rPr>
                <w:sz w:val="15"/>
              </w:rPr>
              <w:t>§27; INV-ENG-04; API/event contract tests; requirement ENG-04-R02</w:t>
            </w:r>
          </w:p>
        </w:tc>
        <w:tc>
          <w:tcPr>
            <w:tcW w:type="dxa" w:w="1531"/>
            <w:tcMar>
              <w:top w:w="70" w:type="dxa"/>
              <w:left w:w="80" w:type="dxa"/>
              <w:bottom w:w="70" w:type="dxa"/>
              <w:right w:w="80" w:type="dxa"/>
            </w:tcMar>
          </w:tcPr>
          <w:p>
            <w:r>
              <w:rPr>
                <w:sz w:val="15"/>
              </w:rPr>
              <w:t>§28; RB-ENG-04</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ENG-04-R03</w:t>
            </w:r>
          </w:p>
        </w:tc>
        <w:tc>
          <w:tcPr>
            <w:tcW w:type="dxa" w:w="1531"/>
            <w:tcMar>
              <w:top w:w="70" w:type="dxa"/>
              <w:left w:w="80" w:type="dxa"/>
              <w:bottom w:w="70" w:type="dxa"/>
              <w:right w:w="80" w:type="dxa"/>
            </w:tcMar>
          </w:tcPr>
          <w:p>
            <w:r>
              <w:rPr>
                <w:sz w:val="15"/>
              </w:rPr>
              <w:t>Member Self-Service, Digital Card &amp; Service Requests</w:t>
            </w:r>
          </w:p>
        </w:tc>
        <w:tc>
          <w:tcPr>
            <w:tcW w:type="dxa" w:w="1531"/>
            <w:tcMar>
              <w:top w:w="70" w:type="dxa"/>
              <w:left w:w="80" w:type="dxa"/>
              <w:bottom w:w="70" w:type="dxa"/>
              <w:right w:w="80" w:type="dxa"/>
            </w:tcMar>
          </w:tcPr>
          <w:p>
            <w:r>
              <w:rPr>
                <w:sz w:val="15"/>
              </w:rPr>
              <w:t>Manage payment methods, settle balances, view invoices/receipts/statements and download documents.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ENG-04</w:t>
            </w:r>
          </w:p>
        </w:tc>
        <w:tc>
          <w:tcPr>
            <w:tcW w:type="dxa" w:w="1531"/>
            <w:tcMar>
              <w:top w:w="70" w:type="dxa"/>
              <w:left w:w="80" w:type="dxa"/>
              <w:bottom w:w="70" w:type="dxa"/>
              <w:right w:w="80" w:type="dxa"/>
            </w:tcMar>
          </w:tcPr>
          <w:p>
            <w:r>
              <w:rPr>
                <w:sz w:val="15"/>
              </w:rPr>
              <w:t>§10.32 ENG-04 Implementation Contract; §18</w:t>
            </w:r>
          </w:p>
        </w:tc>
        <w:tc>
          <w:tcPr>
            <w:tcW w:type="dxa" w:w="1531"/>
            <w:tcMar>
              <w:top w:w="70" w:type="dxa"/>
              <w:left w:w="80" w:type="dxa"/>
              <w:bottom w:w="70" w:type="dxa"/>
              <w:right w:w="80" w:type="dxa"/>
            </w:tcMar>
          </w:tcPr>
          <w:p>
            <w:r>
              <w:rPr>
                <w:sz w:val="15"/>
              </w:rPr>
              <w:t>§27; INV-ENG-04; API/event contract tests; requirement ENG-04-R03</w:t>
            </w:r>
          </w:p>
        </w:tc>
        <w:tc>
          <w:tcPr>
            <w:tcW w:type="dxa" w:w="1531"/>
            <w:tcMar>
              <w:top w:w="70" w:type="dxa"/>
              <w:left w:w="80" w:type="dxa"/>
              <w:bottom w:w="70" w:type="dxa"/>
              <w:right w:w="80" w:type="dxa"/>
            </w:tcMar>
          </w:tcPr>
          <w:p>
            <w:r>
              <w:rPr>
                <w:sz w:val="15"/>
              </w:rPr>
              <w:t>§28; RB-ENG-04</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ENG-04-R04</w:t>
            </w:r>
          </w:p>
        </w:tc>
        <w:tc>
          <w:tcPr>
            <w:tcW w:type="dxa" w:w="1531"/>
            <w:tcMar>
              <w:top w:w="70" w:type="dxa"/>
              <w:left w:w="80" w:type="dxa"/>
              <w:bottom w:w="70" w:type="dxa"/>
              <w:right w:w="80" w:type="dxa"/>
            </w:tcMar>
          </w:tcPr>
          <w:p>
            <w:r>
              <w:rPr>
                <w:sz w:val="15"/>
              </w:rPr>
              <w:t>Member Self-Service, Digital Card &amp; Service Requests</w:t>
            </w:r>
          </w:p>
        </w:tc>
        <w:tc>
          <w:tcPr>
            <w:tcW w:type="dxa" w:w="1531"/>
            <w:tcMar>
              <w:top w:w="70" w:type="dxa"/>
              <w:left w:w="80" w:type="dxa"/>
              <w:bottom w:w="70" w:type="dxa"/>
              <w:right w:w="80" w:type="dxa"/>
            </w:tcMar>
          </w:tcPr>
          <w:p>
            <w:r>
              <w:rPr>
                <w:sz w:val="15"/>
              </w:rPr>
              <w:t>Buy packages, services, products, guest passes and gift cards.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ENG-04</w:t>
            </w:r>
          </w:p>
        </w:tc>
        <w:tc>
          <w:tcPr>
            <w:tcW w:type="dxa" w:w="1531"/>
            <w:tcMar>
              <w:top w:w="70" w:type="dxa"/>
              <w:left w:w="80" w:type="dxa"/>
              <w:bottom w:w="70" w:type="dxa"/>
              <w:right w:w="80" w:type="dxa"/>
            </w:tcMar>
          </w:tcPr>
          <w:p>
            <w:r>
              <w:rPr>
                <w:sz w:val="15"/>
              </w:rPr>
              <w:t>§10.32 ENG-04 Implementation Contract; §18</w:t>
            </w:r>
          </w:p>
        </w:tc>
        <w:tc>
          <w:tcPr>
            <w:tcW w:type="dxa" w:w="1531"/>
            <w:tcMar>
              <w:top w:w="70" w:type="dxa"/>
              <w:left w:w="80" w:type="dxa"/>
              <w:bottom w:w="70" w:type="dxa"/>
              <w:right w:w="80" w:type="dxa"/>
            </w:tcMar>
          </w:tcPr>
          <w:p>
            <w:r>
              <w:rPr>
                <w:sz w:val="15"/>
              </w:rPr>
              <w:t>§27; INV-ENG-04; API/event contract tests; requirement ENG-04-R04</w:t>
            </w:r>
          </w:p>
        </w:tc>
        <w:tc>
          <w:tcPr>
            <w:tcW w:type="dxa" w:w="1531"/>
            <w:tcMar>
              <w:top w:w="70" w:type="dxa"/>
              <w:left w:w="80" w:type="dxa"/>
              <w:bottom w:w="70" w:type="dxa"/>
              <w:right w:w="80" w:type="dxa"/>
            </w:tcMar>
          </w:tcPr>
          <w:p>
            <w:r>
              <w:rPr>
                <w:sz w:val="15"/>
              </w:rPr>
              <w:t>§28; RB-ENG-04</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ENG-04-R05</w:t>
            </w:r>
          </w:p>
        </w:tc>
        <w:tc>
          <w:tcPr>
            <w:tcW w:type="dxa" w:w="1531"/>
            <w:tcMar>
              <w:top w:w="70" w:type="dxa"/>
              <w:left w:w="80" w:type="dxa"/>
              <w:bottom w:w="70" w:type="dxa"/>
              <w:right w:w="80" w:type="dxa"/>
            </w:tcMar>
          </w:tcPr>
          <w:p>
            <w:r>
              <w:rPr>
                <w:sz w:val="15"/>
              </w:rPr>
              <w:t>Member Self-Service, Digital Card &amp; Service Requests</w:t>
            </w:r>
          </w:p>
        </w:tc>
        <w:tc>
          <w:tcPr>
            <w:tcW w:type="dxa" w:w="1531"/>
            <w:tcMar>
              <w:top w:w="70" w:type="dxa"/>
              <w:left w:w="80" w:type="dxa"/>
              <w:bottom w:w="70" w:type="dxa"/>
              <w:right w:w="80" w:type="dxa"/>
            </w:tcMar>
          </w:tcPr>
          <w:p>
            <w:r>
              <w:rPr>
                <w:sz w:val="15"/>
              </w:rPr>
              <w:t>Manage bookings, waitlist, household, dependents, consents, preferences, devices and access methods.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ENG-04</w:t>
            </w:r>
          </w:p>
        </w:tc>
        <w:tc>
          <w:tcPr>
            <w:tcW w:type="dxa" w:w="1531"/>
            <w:tcMar>
              <w:top w:w="70" w:type="dxa"/>
              <w:left w:w="80" w:type="dxa"/>
              <w:bottom w:w="70" w:type="dxa"/>
              <w:right w:w="80" w:type="dxa"/>
            </w:tcMar>
          </w:tcPr>
          <w:p>
            <w:r>
              <w:rPr>
                <w:sz w:val="15"/>
              </w:rPr>
              <w:t>§10.32 ENG-04 Implementation Contract; §18</w:t>
            </w:r>
          </w:p>
        </w:tc>
        <w:tc>
          <w:tcPr>
            <w:tcW w:type="dxa" w:w="1531"/>
            <w:tcMar>
              <w:top w:w="70" w:type="dxa"/>
              <w:left w:w="80" w:type="dxa"/>
              <w:bottom w:w="70" w:type="dxa"/>
              <w:right w:w="80" w:type="dxa"/>
            </w:tcMar>
          </w:tcPr>
          <w:p>
            <w:r>
              <w:rPr>
                <w:sz w:val="15"/>
              </w:rPr>
              <w:t>§27; INV-ENG-04; API/event contract tests; requirement ENG-04-R05</w:t>
            </w:r>
          </w:p>
        </w:tc>
        <w:tc>
          <w:tcPr>
            <w:tcW w:type="dxa" w:w="1531"/>
            <w:tcMar>
              <w:top w:w="70" w:type="dxa"/>
              <w:left w:w="80" w:type="dxa"/>
              <w:bottom w:w="70" w:type="dxa"/>
              <w:right w:w="80" w:type="dxa"/>
            </w:tcMar>
          </w:tcPr>
          <w:p>
            <w:r>
              <w:rPr>
                <w:sz w:val="15"/>
              </w:rPr>
              <w:t>§28; RB-ENG-04</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ENG-04-R06</w:t>
            </w:r>
          </w:p>
        </w:tc>
        <w:tc>
          <w:tcPr>
            <w:tcW w:type="dxa" w:w="1531"/>
            <w:tcMar>
              <w:top w:w="70" w:type="dxa"/>
              <w:left w:w="80" w:type="dxa"/>
              <w:bottom w:w="70" w:type="dxa"/>
              <w:right w:w="80" w:type="dxa"/>
            </w:tcMar>
          </w:tcPr>
          <w:p>
            <w:r>
              <w:rPr>
                <w:sz w:val="15"/>
              </w:rPr>
              <w:t>Member Self-Service, Digital Card &amp; Service Requests</w:t>
            </w:r>
          </w:p>
        </w:tc>
        <w:tc>
          <w:tcPr>
            <w:tcW w:type="dxa" w:w="1531"/>
            <w:tcMar>
              <w:top w:w="70" w:type="dxa"/>
              <w:left w:w="80" w:type="dxa"/>
              <w:bottom w:w="70" w:type="dxa"/>
              <w:right w:w="80" w:type="dxa"/>
            </w:tcMar>
          </w:tcPr>
          <w:p>
            <w:r>
              <w:rPr>
                <w:sz w:val="15"/>
              </w:rPr>
              <w:t>Service-request center with status, SLA, required documents, communication and resolution.</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ENG-04</w:t>
            </w:r>
          </w:p>
        </w:tc>
        <w:tc>
          <w:tcPr>
            <w:tcW w:type="dxa" w:w="1531"/>
            <w:tcMar>
              <w:top w:w="70" w:type="dxa"/>
              <w:left w:w="80" w:type="dxa"/>
              <w:bottom w:w="70" w:type="dxa"/>
              <w:right w:w="80" w:type="dxa"/>
            </w:tcMar>
          </w:tcPr>
          <w:p>
            <w:r>
              <w:rPr>
                <w:sz w:val="15"/>
              </w:rPr>
              <w:t>§10.32 ENG-04 Implementation Contract; §18</w:t>
            </w:r>
          </w:p>
        </w:tc>
        <w:tc>
          <w:tcPr>
            <w:tcW w:type="dxa" w:w="1531"/>
            <w:tcMar>
              <w:top w:w="70" w:type="dxa"/>
              <w:left w:w="80" w:type="dxa"/>
              <w:bottom w:w="70" w:type="dxa"/>
              <w:right w:w="80" w:type="dxa"/>
            </w:tcMar>
          </w:tcPr>
          <w:p>
            <w:r>
              <w:rPr>
                <w:sz w:val="15"/>
              </w:rPr>
              <w:t>§27; INV-ENG-04; API/event contract tests; requirement ENG-04-R06</w:t>
            </w:r>
          </w:p>
        </w:tc>
        <w:tc>
          <w:tcPr>
            <w:tcW w:type="dxa" w:w="1531"/>
            <w:tcMar>
              <w:top w:w="70" w:type="dxa"/>
              <w:left w:w="80" w:type="dxa"/>
              <w:bottom w:w="70" w:type="dxa"/>
              <w:right w:w="80" w:type="dxa"/>
            </w:tcMar>
          </w:tcPr>
          <w:p>
            <w:r>
              <w:rPr>
                <w:sz w:val="15"/>
              </w:rPr>
              <w:t>§28; RB-ENG-04</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ENG-04-R07</w:t>
            </w:r>
          </w:p>
        </w:tc>
        <w:tc>
          <w:tcPr>
            <w:tcW w:type="dxa" w:w="1531"/>
            <w:tcMar>
              <w:top w:w="70" w:type="dxa"/>
              <w:left w:w="80" w:type="dxa"/>
              <w:bottom w:w="70" w:type="dxa"/>
              <w:right w:w="80" w:type="dxa"/>
            </w:tcMar>
          </w:tcPr>
          <w:p>
            <w:r>
              <w:rPr>
                <w:sz w:val="15"/>
              </w:rPr>
              <w:t>Member Self-Service, Digital Card &amp; Service Requests</w:t>
            </w:r>
          </w:p>
        </w:tc>
        <w:tc>
          <w:tcPr>
            <w:tcW w:type="dxa" w:w="1531"/>
            <w:tcMar>
              <w:top w:w="70" w:type="dxa"/>
              <w:left w:w="80" w:type="dxa"/>
              <w:bottom w:w="70" w:type="dxa"/>
              <w:right w:w="80" w:type="dxa"/>
            </w:tcMar>
          </w:tcPr>
          <w:p>
            <w:r>
              <w:rPr>
                <w:sz w:val="15"/>
              </w:rPr>
              <w:t>Export personal data, correct profile information and request account/data deletion where applicable.</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ENG-04</w:t>
            </w:r>
          </w:p>
        </w:tc>
        <w:tc>
          <w:tcPr>
            <w:tcW w:type="dxa" w:w="1531"/>
            <w:tcMar>
              <w:top w:w="70" w:type="dxa"/>
              <w:left w:w="80" w:type="dxa"/>
              <w:bottom w:w="70" w:type="dxa"/>
              <w:right w:w="80" w:type="dxa"/>
            </w:tcMar>
          </w:tcPr>
          <w:p>
            <w:r>
              <w:rPr>
                <w:sz w:val="15"/>
              </w:rPr>
              <w:t>§10.32 ENG-04 Implementation Contract; §18</w:t>
            </w:r>
          </w:p>
        </w:tc>
        <w:tc>
          <w:tcPr>
            <w:tcW w:type="dxa" w:w="1531"/>
            <w:tcMar>
              <w:top w:w="70" w:type="dxa"/>
              <w:left w:w="80" w:type="dxa"/>
              <w:bottom w:w="70" w:type="dxa"/>
              <w:right w:w="80" w:type="dxa"/>
            </w:tcMar>
          </w:tcPr>
          <w:p>
            <w:r>
              <w:rPr>
                <w:sz w:val="15"/>
              </w:rPr>
              <w:t>§27; INV-ENG-04; API/event contract tests; requirement ENG-04-R07</w:t>
            </w:r>
          </w:p>
        </w:tc>
        <w:tc>
          <w:tcPr>
            <w:tcW w:type="dxa" w:w="1531"/>
            <w:tcMar>
              <w:top w:w="70" w:type="dxa"/>
              <w:left w:w="80" w:type="dxa"/>
              <w:bottom w:w="70" w:type="dxa"/>
              <w:right w:w="80" w:type="dxa"/>
            </w:tcMar>
          </w:tcPr>
          <w:p>
            <w:r>
              <w:rPr>
                <w:sz w:val="15"/>
              </w:rPr>
              <w:t>§28; RB-ENG-04</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AUT-01-R01</w:t>
            </w:r>
          </w:p>
        </w:tc>
        <w:tc>
          <w:tcPr>
            <w:tcW w:type="dxa" w:w="1531"/>
            <w:tcMar>
              <w:top w:w="70" w:type="dxa"/>
              <w:left w:w="80" w:type="dxa"/>
              <w:bottom w:w="70" w:type="dxa"/>
              <w:right w:w="80" w:type="dxa"/>
            </w:tcMar>
          </w:tcPr>
          <w:p>
            <w:r>
              <w:rPr>
                <w:sz w:val="15"/>
              </w:rPr>
              <w:t>Automation &amp; Workflow Orchestration</w:t>
            </w:r>
          </w:p>
        </w:tc>
        <w:tc>
          <w:tcPr>
            <w:tcW w:type="dxa" w:w="1531"/>
            <w:tcMar>
              <w:top w:w="70" w:type="dxa"/>
              <w:left w:w="80" w:type="dxa"/>
              <w:bottom w:w="70" w:type="dxa"/>
              <w:right w:w="80" w:type="dxa"/>
            </w:tcMar>
          </w:tcPr>
          <w:p>
            <w:r>
              <w:rPr>
                <w:sz w:val="15"/>
              </w:rPr>
              <w:t>Visual or structured builder using trigger, conditions, branches, waits, actions and stop criteria.</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AUT-01</w:t>
            </w:r>
          </w:p>
        </w:tc>
        <w:tc>
          <w:tcPr>
            <w:tcW w:type="dxa" w:w="1531"/>
            <w:tcMar>
              <w:top w:w="70" w:type="dxa"/>
              <w:left w:w="80" w:type="dxa"/>
              <w:bottom w:w="70" w:type="dxa"/>
              <w:right w:w="80" w:type="dxa"/>
            </w:tcMar>
          </w:tcPr>
          <w:p>
            <w:r>
              <w:rPr>
                <w:sz w:val="15"/>
              </w:rPr>
              <w:t>§10.33 AUT-01 Implementation Contract; §13</w:t>
            </w:r>
          </w:p>
        </w:tc>
        <w:tc>
          <w:tcPr>
            <w:tcW w:type="dxa" w:w="1531"/>
            <w:tcMar>
              <w:top w:w="70" w:type="dxa"/>
              <w:left w:w="80" w:type="dxa"/>
              <w:bottom w:w="70" w:type="dxa"/>
              <w:right w:w="80" w:type="dxa"/>
            </w:tcMar>
          </w:tcPr>
          <w:p>
            <w:r>
              <w:rPr>
                <w:sz w:val="15"/>
              </w:rPr>
              <w:t>§27; INV-AUT-01; API/event contract tests; requirement AUT-01-R01</w:t>
            </w:r>
          </w:p>
        </w:tc>
        <w:tc>
          <w:tcPr>
            <w:tcW w:type="dxa" w:w="1531"/>
            <w:tcMar>
              <w:top w:w="70" w:type="dxa"/>
              <w:left w:w="80" w:type="dxa"/>
              <w:bottom w:w="70" w:type="dxa"/>
              <w:right w:w="80" w:type="dxa"/>
            </w:tcMar>
          </w:tcPr>
          <w:p>
            <w:r>
              <w:rPr>
                <w:sz w:val="15"/>
              </w:rPr>
              <w:t>§28; RB-AUT-01</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AUT-01-R02</w:t>
            </w:r>
          </w:p>
        </w:tc>
        <w:tc>
          <w:tcPr>
            <w:tcW w:type="dxa" w:w="1531"/>
            <w:tcMar>
              <w:top w:w="70" w:type="dxa"/>
              <w:left w:w="80" w:type="dxa"/>
              <w:bottom w:w="70" w:type="dxa"/>
              <w:right w:w="80" w:type="dxa"/>
            </w:tcMar>
          </w:tcPr>
          <w:p>
            <w:r>
              <w:rPr>
                <w:sz w:val="15"/>
              </w:rPr>
              <w:t>Automation &amp; Workflow Orchestration</w:t>
            </w:r>
          </w:p>
        </w:tc>
        <w:tc>
          <w:tcPr>
            <w:tcW w:type="dxa" w:w="1531"/>
            <w:tcMar>
              <w:top w:w="70" w:type="dxa"/>
              <w:left w:w="80" w:type="dxa"/>
              <w:bottom w:w="70" w:type="dxa"/>
              <w:right w:w="80" w:type="dxa"/>
            </w:tcMar>
          </w:tcPr>
          <w:p>
            <w:r>
              <w:rPr>
                <w:sz w:val="15"/>
              </w:rPr>
              <w:t>Triggers from events, schedules, thresholds, inbound messages, webhooks and manual commands.</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AUT-01</w:t>
            </w:r>
          </w:p>
        </w:tc>
        <w:tc>
          <w:tcPr>
            <w:tcW w:type="dxa" w:w="1531"/>
            <w:tcMar>
              <w:top w:w="70" w:type="dxa"/>
              <w:left w:w="80" w:type="dxa"/>
              <w:bottom w:w="70" w:type="dxa"/>
              <w:right w:w="80" w:type="dxa"/>
            </w:tcMar>
          </w:tcPr>
          <w:p>
            <w:r>
              <w:rPr>
                <w:sz w:val="15"/>
              </w:rPr>
              <w:t>§10.33 AUT-01 Implementation Contract; §13</w:t>
            </w:r>
          </w:p>
        </w:tc>
        <w:tc>
          <w:tcPr>
            <w:tcW w:type="dxa" w:w="1531"/>
            <w:tcMar>
              <w:top w:w="70" w:type="dxa"/>
              <w:left w:w="80" w:type="dxa"/>
              <w:bottom w:w="70" w:type="dxa"/>
              <w:right w:w="80" w:type="dxa"/>
            </w:tcMar>
          </w:tcPr>
          <w:p>
            <w:r>
              <w:rPr>
                <w:sz w:val="15"/>
              </w:rPr>
              <w:t>§27; INV-AUT-01; API/event contract tests; requirement AUT-01-R02</w:t>
            </w:r>
          </w:p>
        </w:tc>
        <w:tc>
          <w:tcPr>
            <w:tcW w:type="dxa" w:w="1531"/>
            <w:tcMar>
              <w:top w:w="70" w:type="dxa"/>
              <w:left w:w="80" w:type="dxa"/>
              <w:bottom w:w="70" w:type="dxa"/>
              <w:right w:w="80" w:type="dxa"/>
            </w:tcMar>
          </w:tcPr>
          <w:p>
            <w:r>
              <w:rPr>
                <w:sz w:val="15"/>
              </w:rPr>
              <w:t>§28; RB-AUT-01</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AUT-01-R03</w:t>
            </w:r>
          </w:p>
        </w:tc>
        <w:tc>
          <w:tcPr>
            <w:tcW w:type="dxa" w:w="1531"/>
            <w:tcMar>
              <w:top w:w="70" w:type="dxa"/>
              <w:left w:w="80" w:type="dxa"/>
              <w:bottom w:w="70" w:type="dxa"/>
              <w:right w:w="80" w:type="dxa"/>
            </w:tcMar>
          </w:tcPr>
          <w:p>
            <w:r>
              <w:rPr>
                <w:sz w:val="15"/>
              </w:rPr>
              <w:t>Automation &amp; Workflow Orchestration</w:t>
            </w:r>
          </w:p>
        </w:tc>
        <w:tc>
          <w:tcPr>
            <w:tcW w:type="dxa" w:w="1531"/>
            <w:tcMar>
              <w:top w:w="70" w:type="dxa"/>
              <w:left w:w="80" w:type="dxa"/>
              <w:bottom w:w="70" w:type="dxa"/>
              <w:right w:w="80" w:type="dxa"/>
            </w:tcMar>
          </w:tcPr>
          <w:p>
            <w:r>
              <w:rPr>
                <w:sz w:val="15"/>
              </w:rPr>
              <w:t>Actions for notifications, tasks, tags, offers, booking, membership request, webhook, API and AI draft.</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AUT-01</w:t>
            </w:r>
          </w:p>
        </w:tc>
        <w:tc>
          <w:tcPr>
            <w:tcW w:type="dxa" w:w="1531"/>
            <w:tcMar>
              <w:top w:w="70" w:type="dxa"/>
              <w:left w:w="80" w:type="dxa"/>
              <w:bottom w:w="70" w:type="dxa"/>
              <w:right w:w="80" w:type="dxa"/>
            </w:tcMar>
          </w:tcPr>
          <w:p>
            <w:r>
              <w:rPr>
                <w:sz w:val="15"/>
              </w:rPr>
              <w:t>§10.33 AUT-01 Implementation Contract; §13</w:t>
            </w:r>
          </w:p>
        </w:tc>
        <w:tc>
          <w:tcPr>
            <w:tcW w:type="dxa" w:w="1531"/>
            <w:tcMar>
              <w:top w:w="70" w:type="dxa"/>
              <w:left w:w="80" w:type="dxa"/>
              <w:bottom w:w="70" w:type="dxa"/>
              <w:right w:w="80" w:type="dxa"/>
            </w:tcMar>
          </w:tcPr>
          <w:p>
            <w:r>
              <w:rPr>
                <w:sz w:val="15"/>
              </w:rPr>
              <w:t>§27; INV-AUT-01; API/event contract tests; requirement AUT-01-R03</w:t>
            </w:r>
          </w:p>
        </w:tc>
        <w:tc>
          <w:tcPr>
            <w:tcW w:type="dxa" w:w="1531"/>
            <w:tcMar>
              <w:top w:w="70" w:type="dxa"/>
              <w:left w:w="80" w:type="dxa"/>
              <w:bottom w:w="70" w:type="dxa"/>
              <w:right w:w="80" w:type="dxa"/>
            </w:tcMar>
          </w:tcPr>
          <w:p>
            <w:r>
              <w:rPr>
                <w:sz w:val="15"/>
              </w:rPr>
              <w:t>§28; RB-AUT-01</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AUT-01-R04</w:t>
            </w:r>
          </w:p>
        </w:tc>
        <w:tc>
          <w:tcPr>
            <w:tcW w:type="dxa" w:w="1531"/>
            <w:tcMar>
              <w:top w:w="70" w:type="dxa"/>
              <w:left w:w="80" w:type="dxa"/>
              <w:bottom w:w="70" w:type="dxa"/>
              <w:right w:w="80" w:type="dxa"/>
            </w:tcMar>
          </w:tcPr>
          <w:p>
            <w:r>
              <w:rPr>
                <w:sz w:val="15"/>
              </w:rPr>
              <w:t>Automation &amp; Workflow Orchestration</w:t>
            </w:r>
          </w:p>
        </w:tc>
        <w:tc>
          <w:tcPr>
            <w:tcW w:type="dxa" w:w="1531"/>
            <w:tcMar>
              <w:top w:w="70" w:type="dxa"/>
              <w:left w:w="80" w:type="dxa"/>
              <w:bottom w:w="70" w:type="dxa"/>
              <w:right w:w="80" w:type="dxa"/>
            </w:tcMar>
          </w:tcPr>
          <w:p>
            <w:r>
              <w:rPr>
                <w:sz w:val="15"/>
              </w:rPr>
              <w:t>Tenant-safe execution context, service identity, permission checks and secret references.</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AUT-01</w:t>
            </w:r>
          </w:p>
        </w:tc>
        <w:tc>
          <w:tcPr>
            <w:tcW w:type="dxa" w:w="1531"/>
            <w:tcMar>
              <w:top w:w="70" w:type="dxa"/>
              <w:left w:w="80" w:type="dxa"/>
              <w:bottom w:w="70" w:type="dxa"/>
              <w:right w:w="80" w:type="dxa"/>
            </w:tcMar>
          </w:tcPr>
          <w:p>
            <w:r>
              <w:rPr>
                <w:sz w:val="15"/>
              </w:rPr>
              <w:t>§10.33 AUT-01 Implementation Contract; §13</w:t>
            </w:r>
          </w:p>
        </w:tc>
        <w:tc>
          <w:tcPr>
            <w:tcW w:type="dxa" w:w="1531"/>
            <w:tcMar>
              <w:top w:w="70" w:type="dxa"/>
              <w:left w:w="80" w:type="dxa"/>
              <w:bottom w:w="70" w:type="dxa"/>
              <w:right w:w="80" w:type="dxa"/>
            </w:tcMar>
          </w:tcPr>
          <w:p>
            <w:r>
              <w:rPr>
                <w:sz w:val="15"/>
              </w:rPr>
              <w:t>§27; INV-AUT-01; API/event contract tests; requirement AUT-01-R04</w:t>
            </w:r>
          </w:p>
        </w:tc>
        <w:tc>
          <w:tcPr>
            <w:tcW w:type="dxa" w:w="1531"/>
            <w:tcMar>
              <w:top w:w="70" w:type="dxa"/>
              <w:left w:w="80" w:type="dxa"/>
              <w:bottom w:w="70" w:type="dxa"/>
              <w:right w:w="80" w:type="dxa"/>
            </w:tcMar>
          </w:tcPr>
          <w:p>
            <w:r>
              <w:rPr>
                <w:sz w:val="15"/>
              </w:rPr>
              <w:t>§28; RB-AUT-01</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AUT-01-R05</w:t>
            </w:r>
          </w:p>
        </w:tc>
        <w:tc>
          <w:tcPr>
            <w:tcW w:type="dxa" w:w="1531"/>
            <w:tcMar>
              <w:top w:w="70" w:type="dxa"/>
              <w:left w:w="80" w:type="dxa"/>
              <w:bottom w:w="70" w:type="dxa"/>
              <w:right w:w="80" w:type="dxa"/>
            </w:tcMar>
          </w:tcPr>
          <w:p>
            <w:r>
              <w:rPr>
                <w:sz w:val="15"/>
              </w:rPr>
              <w:t>Automation &amp; Workflow Orchestration</w:t>
            </w:r>
          </w:p>
        </w:tc>
        <w:tc>
          <w:tcPr>
            <w:tcW w:type="dxa" w:w="1531"/>
            <w:tcMar>
              <w:top w:w="70" w:type="dxa"/>
              <w:left w:w="80" w:type="dxa"/>
              <w:bottom w:w="70" w:type="dxa"/>
              <w:right w:w="80" w:type="dxa"/>
            </w:tcMar>
          </w:tcPr>
          <w:p>
            <w:r>
              <w:rPr>
                <w:sz w:val="15"/>
              </w:rPr>
              <w:t>Idempotency, retries, timeout, compensation, dead-letter queue and manual replay.</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AUT-01</w:t>
            </w:r>
          </w:p>
        </w:tc>
        <w:tc>
          <w:tcPr>
            <w:tcW w:type="dxa" w:w="1531"/>
            <w:tcMar>
              <w:top w:w="70" w:type="dxa"/>
              <w:left w:w="80" w:type="dxa"/>
              <w:bottom w:w="70" w:type="dxa"/>
              <w:right w:w="80" w:type="dxa"/>
            </w:tcMar>
          </w:tcPr>
          <w:p>
            <w:r>
              <w:rPr>
                <w:sz w:val="15"/>
              </w:rPr>
              <w:t>§10.33 AUT-01 Implementation Contract; §13</w:t>
            </w:r>
          </w:p>
        </w:tc>
        <w:tc>
          <w:tcPr>
            <w:tcW w:type="dxa" w:w="1531"/>
            <w:tcMar>
              <w:top w:w="70" w:type="dxa"/>
              <w:left w:w="80" w:type="dxa"/>
              <w:bottom w:w="70" w:type="dxa"/>
              <w:right w:w="80" w:type="dxa"/>
            </w:tcMar>
          </w:tcPr>
          <w:p>
            <w:r>
              <w:rPr>
                <w:sz w:val="15"/>
              </w:rPr>
              <w:t>§27; INV-AUT-01; API/event contract tests; requirement AUT-01-R05</w:t>
            </w:r>
          </w:p>
        </w:tc>
        <w:tc>
          <w:tcPr>
            <w:tcW w:type="dxa" w:w="1531"/>
            <w:tcMar>
              <w:top w:w="70" w:type="dxa"/>
              <w:left w:w="80" w:type="dxa"/>
              <w:bottom w:w="70" w:type="dxa"/>
              <w:right w:w="80" w:type="dxa"/>
            </w:tcMar>
          </w:tcPr>
          <w:p>
            <w:r>
              <w:rPr>
                <w:sz w:val="15"/>
              </w:rPr>
              <w:t>§28; RB-AUT-01</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AUT-01-R06</w:t>
            </w:r>
          </w:p>
        </w:tc>
        <w:tc>
          <w:tcPr>
            <w:tcW w:type="dxa" w:w="1531"/>
            <w:tcMar>
              <w:top w:w="70" w:type="dxa"/>
              <w:left w:w="80" w:type="dxa"/>
              <w:bottom w:w="70" w:type="dxa"/>
              <w:right w:w="80" w:type="dxa"/>
            </w:tcMar>
          </w:tcPr>
          <w:p>
            <w:r>
              <w:rPr>
                <w:sz w:val="15"/>
              </w:rPr>
              <w:t>Automation &amp; Workflow Orchestration</w:t>
            </w:r>
          </w:p>
        </w:tc>
        <w:tc>
          <w:tcPr>
            <w:tcW w:type="dxa" w:w="1531"/>
            <w:tcMar>
              <w:top w:w="70" w:type="dxa"/>
              <w:left w:w="80" w:type="dxa"/>
              <w:bottom w:w="70" w:type="dxa"/>
              <w:right w:w="80" w:type="dxa"/>
            </w:tcMar>
          </w:tcPr>
          <w:p>
            <w:r>
              <w:rPr>
                <w:sz w:val="15"/>
              </w:rPr>
              <w:t>Versioning, draft/publish, test mode, simulation, impact estimate and rollback.</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AUT-01</w:t>
            </w:r>
          </w:p>
        </w:tc>
        <w:tc>
          <w:tcPr>
            <w:tcW w:type="dxa" w:w="1531"/>
            <w:tcMar>
              <w:top w:w="70" w:type="dxa"/>
              <w:left w:w="80" w:type="dxa"/>
              <w:bottom w:w="70" w:type="dxa"/>
              <w:right w:w="80" w:type="dxa"/>
            </w:tcMar>
          </w:tcPr>
          <w:p>
            <w:r>
              <w:rPr>
                <w:sz w:val="15"/>
              </w:rPr>
              <w:t>§10.33 AUT-01 Implementation Contract; §13</w:t>
            </w:r>
          </w:p>
        </w:tc>
        <w:tc>
          <w:tcPr>
            <w:tcW w:type="dxa" w:w="1531"/>
            <w:tcMar>
              <w:top w:w="70" w:type="dxa"/>
              <w:left w:w="80" w:type="dxa"/>
              <w:bottom w:w="70" w:type="dxa"/>
              <w:right w:w="80" w:type="dxa"/>
            </w:tcMar>
          </w:tcPr>
          <w:p>
            <w:r>
              <w:rPr>
                <w:sz w:val="15"/>
              </w:rPr>
              <w:t>§27; INV-AUT-01; API/event contract tests; requirement AUT-01-R06</w:t>
            </w:r>
          </w:p>
        </w:tc>
        <w:tc>
          <w:tcPr>
            <w:tcW w:type="dxa" w:w="1531"/>
            <w:tcMar>
              <w:top w:w="70" w:type="dxa"/>
              <w:left w:w="80" w:type="dxa"/>
              <w:bottom w:w="70" w:type="dxa"/>
              <w:right w:w="80" w:type="dxa"/>
            </w:tcMar>
          </w:tcPr>
          <w:p>
            <w:r>
              <w:rPr>
                <w:sz w:val="15"/>
              </w:rPr>
              <w:t>§28; RB-AUT-01</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AUT-01-R07</w:t>
            </w:r>
          </w:p>
        </w:tc>
        <w:tc>
          <w:tcPr>
            <w:tcW w:type="dxa" w:w="1531"/>
            <w:tcMar>
              <w:top w:w="70" w:type="dxa"/>
              <w:left w:w="80" w:type="dxa"/>
              <w:bottom w:w="70" w:type="dxa"/>
              <w:right w:w="80" w:type="dxa"/>
            </w:tcMar>
          </w:tcPr>
          <w:p>
            <w:r>
              <w:rPr>
                <w:sz w:val="15"/>
              </w:rPr>
              <w:t>Automation &amp; Workflow Orchestration</w:t>
            </w:r>
          </w:p>
        </w:tc>
        <w:tc>
          <w:tcPr>
            <w:tcW w:type="dxa" w:w="1531"/>
            <w:tcMar>
              <w:top w:w="70" w:type="dxa"/>
              <w:left w:w="80" w:type="dxa"/>
              <w:bottom w:w="70" w:type="dxa"/>
              <w:right w:w="80" w:type="dxa"/>
            </w:tcMar>
          </w:tcPr>
          <w:p>
            <w:r>
              <w:rPr>
                <w:sz w:val="15"/>
              </w:rPr>
              <w:t>Execution timeline, reason, inputs, outputs, cost, errors and business outcome.</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AUT-01</w:t>
            </w:r>
          </w:p>
        </w:tc>
        <w:tc>
          <w:tcPr>
            <w:tcW w:type="dxa" w:w="1531"/>
            <w:tcMar>
              <w:top w:w="70" w:type="dxa"/>
              <w:left w:w="80" w:type="dxa"/>
              <w:bottom w:w="70" w:type="dxa"/>
              <w:right w:w="80" w:type="dxa"/>
            </w:tcMar>
          </w:tcPr>
          <w:p>
            <w:r>
              <w:rPr>
                <w:sz w:val="15"/>
              </w:rPr>
              <w:t>§10.33 AUT-01 Implementation Contract; §13</w:t>
            </w:r>
          </w:p>
        </w:tc>
        <w:tc>
          <w:tcPr>
            <w:tcW w:type="dxa" w:w="1531"/>
            <w:tcMar>
              <w:top w:w="70" w:type="dxa"/>
              <w:left w:w="80" w:type="dxa"/>
              <w:bottom w:w="70" w:type="dxa"/>
              <w:right w:w="80" w:type="dxa"/>
            </w:tcMar>
          </w:tcPr>
          <w:p>
            <w:r>
              <w:rPr>
                <w:sz w:val="15"/>
              </w:rPr>
              <w:t>§27; INV-AUT-01; API/event contract tests; requirement AUT-01-R07</w:t>
            </w:r>
          </w:p>
        </w:tc>
        <w:tc>
          <w:tcPr>
            <w:tcW w:type="dxa" w:w="1531"/>
            <w:tcMar>
              <w:top w:w="70" w:type="dxa"/>
              <w:left w:w="80" w:type="dxa"/>
              <w:bottom w:w="70" w:type="dxa"/>
              <w:right w:w="80" w:type="dxa"/>
            </w:tcMar>
          </w:tcPr>
          <w:p>
            <w:r>
              <w:rPr>
                <w:sz w:val="15"/>
              </w:rPr>
              <w:t>§28; RB-AUT-01</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AUT-01-R08</w:t>
            </w:r>
          </w:p>
        </w:tc>
        <w:tc>
          <w:tcPr>
            <w:tcW w:type="dxa" w:w="1531"/>
            <w:tcMar>
              <w:top w:w="70" w:type="dxa"/>
              <w:left w:w="80" w:type="dxa"/>
              <w:bottom w:w="70" w:type="dxa"/>
              <w:right w:w="80" w:type="dxa"/>
            </w:tcMar>
          </w:tcPr>
          <w:p>
            <w:r>
              <w:rPr>
                <w:sz w:val="15"/>
              </w:rPr>
              <w:t>Automation &amp; Workflow Orchestration</w:t>
            </w:r>
          </w:p>
        </w:tc>
        <w:tc>
          <w:tcPr>
            <w:tcW w:type="dxa" w:w="1531"/>
            <w:tcMar>
              <w:top w:w="70" w:type="dxa"/>
              <w:left w:w="80" w:type="dxa"/>
              <w:bottom w:w="70" w:type="dxa"/>
              <w:right w:w="80" w:type="dxa"/>
            </w:tcMar>
          </w:tcPr>
          <w:p>
            <w:r>
              <w:rPr>
                <w:sz w:val="15"/>
              </w:rPr>
              <w:t>Frequency caps and contact governance inherited from notification/communication policy.</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AUT-01</w:t>
            </w:r>
          </w:p>
        </w:tc>
        <w:tc>
          <w:tcPr>
            <w:tcW w:type="dxa" w:w="1531"/>
            <w:tcMar>
              <w:top w:w="70" w:type="dxa"/>
              <w:left w:w="80" w:type="dxa"/>
              <w:bottom w:w="70" w:type="dxa"/>
              <w:right w:w="80" w:type="dxa"/>
            </w:tcMar>
          </w:tcPr>
          <w:p>
            <w:r>
              <w:rPr>
                <w:sz w:val="15"/>
              </w:rPr>
              <w:t>§10.33 AUT-01 Implementation Contract; §13</w:t>
            </w:r>
          </w:p>
        </w:tc>
        <w:tc>
          <w:tcPr>
            <w:tcW w:type="dxa" w:w="1531"/>
            <w:tcMar>
              <w:top w:w="70" w:type="dxa"/>
              <w:left w:w="80" w:type="dxa"/>
              <w:bottom w:w="70" w:type="dxa"/>
              <w:right w:w="80" w:type="dxa"/>
            </w:tcMar>
          </w:tcPr>
          <w:p>
            <w:r>
              <w:rPr>
                <w:sz w:val="15"/>
              </w:rPr>
              <w:t>§27; INV-AUT-01; API/event contract tests; requirement AUT-01-R08</w:t>
            </w:r>
          </w:p>
        </w:tc>
        <w:tc>
          <w:tcPr>
            <w:tcW w:type="dxa" w:w="1531"/>
            <w:tcMar>
              <w:top w:w="70" w:type="dxa"/>
              <w:left w:w="80" w:type="dxa"/>
              <w:bottom w:w="70" w:type="dxa"/>
              <w:right w:w="80" w:type="dxa"/>
            </w:tcMar>
          </w:tcPr>
          <w:p>
            <w:r>
              <w:rPr>
                <w:sz w:val="15"/>
              </w:rPr>
              <w:t>§28; RB-AUT-01</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AUT-02-R01</w:t>
            </w:r>
          </w:p>
        </w:tc>
        <w:tc>
          <w:tcPr>
            <w:tcW w:type="dxa" w:w="1531"/>
            <w:tcMar>
              <w:top w:w="70" w:type="dxa"/>
              <w:left w:w="80" w:type="dxa"/>
              <w:bottom w:w="70" w:type="dxa"/>
              <w:right w:w="80" w:type="dxa"/>
            </w:tcMar>
          </w:tcPr>
          <w:p>
            <w:r>
              <w:rPr>
                <w:sz w:val="15"/>
              </w:rPr>
              <w:t>Tasks, Cases, Approvals, SLAs &amp; Escalations</w:t>
            </w:r>
          </w:p>
        </w:tc>
        <w:tc>
          <w:tcPr>
            <w:tcW w:type="dxa" w:w="1531"/>
            <w:tcMar>
              <w:top w:w="70" w:type="dxa"/>
              <w:left w:w="80" w:type="dxa"/>
              <w:bottom w:w="70" w:type="dxa"/>
              <w:right w:w="80" w:type="dxa"/>
            </w:tcMar>
          </w:tcPr>
          <w:p>
            <w:r>
              <w:rPr>
                <w:sz w:val="15"/>
              </w:rPr>
              <w:t>Tasks linked to member, lead, tenant, invoice, incident, device, booking, asset or workflow.</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AUT-02</w:t>
            </w:r>
          </w:p>
        </w:tc>
        <w:tc>
          <w:tcPr>
            <w:tcW w:type="dxa" w:w="1531"/>
            <w:tcMar>
              <w:top w:w="70" w:type="dxa"/>
              <w:left w:w="80" w:type="dxa"/>
              <w:bottom w:w="70" w:type="dxa"/>
              <w:right w:w="80" w:type="dxa"/>
            </w:tcMar>
          </w:tcPr>
          <w:p>
            <w:r>
              <w:rPr>
                <w:sz w:val="15"/>
              </w:rPr>
              <w:t>§10.34 AUT-02 Implementation Contract; §13</w:t>
            </w:r>
          </w:p>
        </w:tc>
        <w:tc>
          <w:tcPr>
            <w:tcW w:type="dxa" w:w="1531"/>
            <w:tcMar>
              <w:top w:w="70" w:type="dxa"/>
              <w:left w:w="80" w:type="dxa"/>
              <w:bottom w:w="70" w:type="dxa"/>
              <w:right w:w="80" w:type="dxa"/>
            </w:tcMar>
          </w:tcPr>
          <w:p>
            <w:r>
              <w:rPr>
                <w:sz w:val="15"/>
              </w:rPr>
              <w:t>§27; INV-AUT-02; API/event contract tests; requirement AUT-02-R01</w:t>
            </w:r>
          </w:p>
        </w:tc>
        <w:tc>
          <w:tcPr>
            <w:tcW w:type="dxa" w:w="1531"/>
            <w:tcMar>
              <w:top w:w="70" w:type="dxa"/>
              <w:left w:w="80" w:type="dxa"/>
              <w:bottom w:w="70" w:type="dxa"/>
              <w:right w:w="80" w:type="dxa"/>
            </w:tcMar>
          </w:tcPr>
          <w:p>
            <w:r>
              <w:rPr>
                <w:sz w:val="15"/>
              </w:rPr>
              <w:t>§28; RB-AUT-02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AUT-02-R02</w:t>
            </w:r>
          </w:p>
        </w:tc>
        <w:tc>
          <w:tcPr>
            <w:tcW w:type="dxa" w:w="1531"/>
            <w:tcMar>
              <w:top w:w="70" w:type="dxa"/>
              <w:left w:w="80" w:type="dxa"/>
              <w:bottom w:w="70" w:type="dxa"/>
              <w:right w:w="80" w:type="dxa"/>
            </w:tcMar>
          </w:tcPr>
          <w:p>
            <w:r>
              <w:rPr>
                <w:sz w:val="15"/>
              </w:rPr>
              <w:t>Tasks, Cases, Approvals, SLAs &amp; Escalations</w:t>
            </w:r>
          </w:p>
        </w:tc>
        <w:tc>
          <w:tcPr>
            <w:tcW w:type="dxa" w:w="1531"/>
            <w:tcMar>
              <w:top w:w="70" w:type="dxa"/>
              <w:left w:w="80" w:type="dxa"/>
              <w:bottom w:w="70" w:type="dxa"/>
              <w:right w:w="80" w:type="dxa"/>
            </w:tcMar>
          </w:tcPr>
          <w:p>
            <w:r>
              <w:rPr>
                <w:sz w:val="15"/>
              </w:rPr>
              <w:t>Assignee, team queue, priority, due date, checklist, evidence, dependency and status.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AUT-02</w:t>
            </w:r>
          </w:p>
        </w:tc>
        <w:tc>
          <w:tcPr>
            <w:tcW w:type="dxa" w:w="1531"/>
            <w:tcMar>
              <w:top w:w="70" w:type="dxa"/>
              <w:left w:w="80" w:type="dxa"/>
              <w:bottom w:w="70" w:type="dxa"/>
              <w:right w:w="80" w:type="dxa"/>
            </w:tcMar>
          </w:tcPr>
          <w:p>
            <w:r>
              <w:rPr>
                <w:sz w:val="15"/>
              </w:rPr>
              <w:t>§10.34 AUT-02 Implementation Contract; §13</w:t>
            </w:r>
          </w:p>
        </w:tc>
        <w:tc>
          <w:tcPr>
            <w:tcW w:type="dxa" w:w="1531"/>
            <w:tcMar>
              <w:top w:w="70" w:type="dxa"/>
              <w:left w:w="80" w:type="dxa"/>
              <w:bottom w:w="70" w:type="dxa"/>
              <w:right w:w="80" w:type="dxa"/>
            </w:tcMar>
          </w:tcPr>
          <w:p>
            <w:r>
              <w:rPr>
                <w:sz w:val="15"/>
              </w:rPr>
              <w:t>§27; INV-AUT-02; API/event contract tests; requirement AUT-02-R02</w:t>
            </w:r>
          </w:p>
        </w:tc>
        <w:tc>
          <w:tcPr>
            <w:tcW w:type="dxa" w:w="1531"/>
            <w:tcMar>
              <w:top w:w="70" w:type="dxa"/>
              <w:left w:w="80" w:type="dxa"/>
              <w:bottom w:w="70" w:type="dxa"/>
              <w:right w:w="80" w:type="dxa"/>
            </w:tcMar>
          </w:tcPr>
          <w:p>
            <w:r>
              <w:rPr>
                <w:sz w:val="15"/>
              </w:rPr>
              <w:t>§28; RB-AUT-02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AUT-02-R03</w:t>
            </w:r>
          </w:p>
        </w:tc>
        <w:tc>
          <w:tcPr>
            <w:tcW w:type="dxa" w:w="1531"/>
            <w:tcMar>
              <w:top w:w="70" w:type="dxa"/>
              <w:left w:w="80" w:type="dxa"/>
              <w:bottom w:w="70" w:type="dxa"/>
              <w:right w:w="80" w:type="dxa"/>
            </w:tcMar>
          </w:tcPr>
          <w:p>
            <w:r>
              <w:rPr>
                <w:sz w:val="15"/>
              </w:rPr>
              <w:t>Tasks, Cases, Approvals, SLAs &amp; Escalations</w:t>
            </w:r>
          </w:p>
        </w:tc>
        <w:tc>
          <w:tcPr>
            <w:tcW w:type="dxa" w:w="1531"/>
            <w:tcMar>
              <w:top w:w="70" w:type="dxa"/>
              <w:left w:w="80" w:type="dxa"/>
              <w:bottom w:w="70" w:type="dxa"/>
              <w:right w:w="80" w:type="dxa"/>
            </w:tcMar>
          </w:tcPr>
          <w:p>
            <w:r>
              <w:rPr>
                <w:sz w:val="15"/>
              </w:rPr>
              <w:t>Case container for multi-step problems with communication, timeline, documents and resolution reason.</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AUT-02</w:t>
            </w:r>
          </w:p>
        </w:tc>
        <w:tc>
          <w:tcPr>
            <w:tcW w:type="dxa" w:w="1531"/>
            <w:tcMar>
              <w:top w:w="70" w:type="dxa"/>
              <w:left w:w="80" w:type="dxa"/>
              <w:bottom w:w="70" w:type="dxa"/>
              <w:right w:w="80" w:type="dxa"/>
            </w:tcMar>
          </w:tcPr>
          <w:p>
            <w:r>
              <w:rPr>
                <w:sz w:val="15"/>
              </w:rPr>
              <w:t>§10.34 AUT-02 Implementation Contract; §13</w:t>
            </w:r>
          </w:p>
        </w:tc>
        <w:tc>
          <w:tcPr>
            <w:tcW w:type="dxa" w:w="1531"/>
            <w:tcMar>
              <w:top w:w="70" w:type="dxa"/>
              <w:left w:w="80" w:type="dxa"/>
              <w:bottom w:w="70" w:type="dxa"/>
              <w:right w:w="80" w:type="dxa"/>
            </w:tcMar>
          </w:tcPr>
          <w:p>
            <w:r>
              <w:rPr>
                <w:sz w:val="15"/>
              </w:rPr>
              <w:t>§27; INV-AUT-02; API/event contract tests; requirement AUT-02-R03</w:t>
            </w:r>
          </w:p>
        </w:tc>
        <w:tc>
          <w:tcPr>
            <w:tcW w:type="dxa" w:w="1531"/>
            <w:tcMar>
              <w:top w:w="70" w:type="dxa"/>
              <w:left w:w="80" w:type="dxa"/>
              <w:bottom w:w="70" w:type="dxa"/>
              <w:right w:w="80" w:type="dxa"/>
            </w:tcMar>
          </w:tcPr>
          <w:p>
            <w:r>
              <w:rPr>
                <w:sz w:val="15"/>
              </w:rPr>
              <w:t>§28; RB-AUT-02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AUT-02-R04</w:t>
            </w:r>
          </w:p>
        </w:tc>
        <w:tc>
          <w:tcPr>
            <w:tcW w:type="dxa" w:w="1531"/>
            <w:tcMar>
              <w:top w:w="70" w:type="dxa"/>
              <w:left w:w="80" w:type="dxa"/>
              <w:bottom w:w="70" w:type="dxa"/>
              <w:right w:w="80" w:type="dxa"/>
            </w:tcMar>
          </w:tcPr>
          <w:p>
            <w:r>
              <w:rPr>
                <w:sz w:val="15"/>
              </w:rPr>
              <w:t>Tasks, Cases, Approvals, SLAs &amp; Escalations</w:t>
            </w:r>
          </w:p>
        </w:tc>
        <w:tc>
          <w:tcPr>
            <w:tcW w:type="dxa" w:w="1531"/>
            <w:tcMar>
              <w:top w:w="70" w:type="dxa"/>
              <w:left w:w="80" w:type="dxa"/>
              <w:bottom w:w="70" w:type="dxa"/>
              <w:right w:w="80" w:type="dxa"/>
            </w:tcMar>
          </w:tcPr>
          <w:p>
            <w:r>
              <w:rPr>
                <w:sz w:val="15"/>
              </w:rPr>
              <w:t>Approval policies for refunds, discounts, price overrides, payroll, access exceptions, data export and deletion.</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AUT-02</w:t>
            </w:r>
          </w:p>
        </w:tc>
        <w:tc>
          <w:tcPr>
            <w:tcW w:type="dxa" w:w="1531"/>
            <w:tcMar>
              <w:top w:w="70" w:type="dxa"/>
              <w:left w:w="80" w:type="dxa"/>
              <w:bottom w:w="70" w:type="dxa"/>
              <w:right w:w="80" w:type="dxa"/>
            </w:tcMar>
          </w:tcPr>
          <w:p>
            <w:r>
              <w:rPr>
                <w:sz w:val="15"/>
              </w:rPr>
              <w:t>§10.34 AUT-02 Implementation Contract; §13</w:t>
            </w:r>
          </w:p>
        </w:tc>
        <w:tc>
          <w:tcPr>
            <w:tcW w:type="dxa" w:w="1531"/>
            <w:tcMar>
              <w:top w:w="70" w:type="dxa"/>
              <w:left w:w="80" w:type="dxa"/>
              <w:bottom w:w="70" w:type="dxa"/>
              <w:right w:w="80" w:type="dxa"/>
            </w:tcMar>
          </w:tcPr>
          <w:p>
            <w:r>
              <w:rPr>
                <w:sz w:val="15"/>
              </w:rPr>
              <w:t>§27; INV-AUT-02; API/event contract tests; requirement AUT-02-R04</w:t>
            </w:r>
          </w:p>
        </w:tc>
        <w:tc>
          <w:tcPr>
            <w:tcW w:type="dxa" w:w="1531"/>
            <w:tcMar>
              <w:top w:w="70" w:type="dxa"/>
              <w:left w:w="80" w:type="dxa"/>
              <w:bottom w:w="70" w:type="dxa"/>
              <w:right w:w="80" w:type="dxa"/>
            </w:tcMar>
          </w:tcPr>
          <w:p>
            <w:r>
              <w:rPr>
                <w:sz w:val="15"/>
              </w:rPr>
              <w:t>§28; RB-AUT-02</w:t>
            </w:r>
          </w:p>
        </w:tc>
        <w:tc>
          <w:tcPr>
            <w:tcW w:type="dxa" w:w="1531"/>
            <w:tcMar>
              <w:top w:w="70" w:type="dxa"/>
              <w:left w:w="80" w:type="dxa"/>
              <w:bottom w:w="70" w:type="dxa"/>
              <w:right w:w="80" w:type="dxa"/>
            </w:tcMar>
          </w:tcPr>
          <w:p>
            <w:r>
              <w:rPr>
                <w:sz w:val="15"/>
              </w:rPr>
              <w:t>PARTIAL - external validation / later adapter evidence required</w:t>
            </w:r>
          </w:p>
        </w:tc>
      </w:tr>
      <w:tr>
        <w:tc>
          <w:tcPr>
            <w:tcW w:type="dxa" w:w="1531"/>
            <w:tcMar>
              <w:top w:w="70" w:type="dxa"/>
              <w:left w:w="80" w:type="dxa"/>
              <w:bottom w:w="70" w:type="dxa"/>
              <w:right w:w="80" w:type="dxa"/>
            </w:tcMar>
          </w:tcPr>
          <w:p>
            <w:r>
              <w:rPr>
                <w:sz w:val="15"/>
              </w:rPr>
              <w:t>AUT-02-R05</w:t>
            </w:r>
          </w:p>
        </w:tc>
        <w:tc>
          <w:tcPr>
            <w:tcW w:type="dxa" w:w="1531"/>
            <w:tcMar>
              <w:top w:w="70" w:type="dxa"/>
              <w:left w:w="80" w:type="dxa"/>
              <w:bottom w:w="70" w:type="dxa"/>
              <w:right w:w="80" w:type="dxa"/>
            </w:tcMar>
          </w:tcPr>
          <w:p>
            <w:r>
              <w:rPr>
                <w:sz w:val="15"/>
              </w:rPr>
              <w:t>Tasks, Cases, Approvals, SLAs &amp; Escalations</w:t>
            </w:r>
          </w:p>
        </w:tc>
        <w:tc>
          <w:tcPr>
            <w:tcW w:type="dxa" w:w="1531"/>
            <w:tcMar>
              <w:top w:w="70" w:type="dxa"/>
              <w:left w:w="80" w:type="dxa"/>
              <w:bottom w:w="70" w:type="dxa"/>
              <w:right w:w="80" w:type="dxa"/>
            </w:tcMar>
          </w:tcPr>
          <w:p>
            <w:r>
              <w:rPr>
                <w:sz w:val="15"/>
              </w:rPr>
              <w:t>Sequential, parallel, quorum and amount-based approvals with delegation and expiry.</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AUT-02</w:t>
            </w:r>
          </w:p>
        </w:tc>
        <w:tc>
          <w:tcPr>
            <w:tcW w:type="dxa" w:w="1531"/>
            <w:tcMar>
              <w:top w:w="70" w:type="dxa"/>
              <w:left w:w="80" w:type="dxa"/>
              <w:bottom w:w="70" w:type="dxa"/>
              <w:right w:w="80" w:type="dxa"/>
            </w:tcMar>
          </w:tcPr>
          <w:p>
            <w:r>
              <w:rPr>
                <w:sz w:val="15"/>
              </w:rPr>
              <w:t>§10.34 AUT-02 Implementation Contract; §13</w:t>
            </w:r>
          </w:p>
        </w:tc>
        <w:tc>
          <w:tcPr>
            <w:tcW w:type="dxa" w:w="1531"/>
            <w:tcMar>
              <w:top w:w="70" w:type="dxa"/>
              <w:left w:w="80" w:type="dxa"/>
              <w:bottom w:w="70" w:type="dxa"/>
              <w:right w:w="80" w:type="dxa"/>
            </w:tcMar>
          </w:tcPr>
          <w:p>
            <w:r>
              <w:rPr>
                <w:sz w:val="15"/>
              </w:rPr>
              <w:t>§27; INV-AUT-02; API/event contract tests; requirement AUT-02-R05</w:t>
            </w:r>
          </w:p>
        </w:tc>
        <w:tc>
          <w:tcPr>
            <w:tcW w:type="dxa" w:w="1531"/>
            <w:tcMar>
              <w:top w:w="70" w:type="dxa"/>
              <w:left w:w="80" w:type="dxa"/>
              <w:bottom w:w="70" w:type="dxa"/>
              <w:right w:w="80" w:type="dxa"/>
            </w:tcMar>
          </w:tcPr>
          <w:p>
            <w:r>
              <w:rPr>
                <w:sz w:val="15"/>
              </w:rPr>
              <w:t>§28; RB-AUT-02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AUT-02-R06</w:t>
            </w:r>
          </w:p>
        </w:tc>
        <w:tc>
          <w:tcPr>
            <w:tcW w:type="dxa" w:w="1531"/>
            <w:tcMar>
              <w:top w:w="70" w:type="dxa"/>
              <w:left w:w="80" w:type="dxa"/>
              <w:bottom w:w="70" w:type="dxa"/>
              <w:right w:w="80" w:type="dxa"/>
            </w:tcMar>
          </w:tcPr>
          <w:p>
            <w:r>
              <w:rPr>
                <w:sz w:val="15"/>
              </w:rPr>
              <w:t>Tasks, Cases, Approvals, SLAs &amp; Escalations</w:t>
            </w:r>
          </w:p>
        </w:tc>
        <w:tc>
          <w:tcPr>
            <w:tcW w:type="dxa" w:w="1531"/>
            <w:tcMar>
              <w:top w:w="70" w:type="dxa"/>
              <w:left w:w="80" w:type="dxa"/>
              <w:bottom w:w="70" w:type="dxa"/>
              <w:right w:w="80" w:type="dxa"/>
            </w:tcMar>
          </w:tcPr>
          <w:p>
            <w:r>
              <w:rPr>
                <w:sz w:val="15"/>
              </w:rPr>
              <w:t>SLA clocks, business hours, pause reasons, breach warning and escalation routes.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AUT-02</w:t>
            </w:r>
          </w:p>
        </w:tc>
        <w:tc>
          <w:tcPr>
            <w:tcW w:type="dxa" w:w="1531"/>
            <w:tcMar>
              <w:top w:w="70" w:type="dxa"/>
              <w:left w:w="80" w:type="dxa"/>
              <w:bottom w:w="70" w:type="dxa"/>
              <w:right w:w="80" w:type="dxa"/>
            </w:tcMar>
          </w:tcPr>
          <w:p>
            <w:r>
              <w:rPr>
                <w:sz w:val="15"/>
              </w:rPr>
              <w:t>§10.34 AUT-02 Implementation Contract; §13</w:t>
            </w:r>
          </w:p>
        </w:tc>
        <w:tc>
          <w:tcPr>
            <w:tcW w:type="dxa" w:w="1531"/>
            <w:tcMar>
              <w:top w:w="70" w:type="dxa"/>
              <w:left w:w="80" w:type="dxa"/>
              <w:bottom w:w="70" w:type="dxa"/>
              <w:right w:w="80" w:type="dxa"/>
            </w:tcMar>
          </w:tcPr>
          <w:p>
            <w:r>
              <w:rPr>
                <w:sz w:val="15"/>
              </w:rPr>
              <w:t>§27; INV-AUT-02; API/event contract tests; requirement AUT-02-R06</w:t>
            </w:r>
          </w:p>
        </w:tc>
        <w:tc>
          <w:tcPr>
            <w:tcW w:type="dxa" w:w="1531"/>
            <w:tcMar>
              <w:top w:w="70" w:type="dxa"/>
              <w:left w:w="80" w:type="dxa"/>
              <w:bottom w:w="70" w:type="dxa"/>
              <w:right w:w="80" w:type="dxa"/>
            </w:tcMar>
          </w:tcPr>
          <w:p>
            <w:r>
              <w:rPr>
                <w:sz w:val="15"/>
              </w:rPr>
              <w:t>§28; RB-AUT-02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AUT-02-R07</w:t>
            </w:r>
          </w:p>
        </w:tc>
        <w:tc>
          <w:tcPr>
            <w:tcW w:type="dxa" w:w="1531"/>
            <w:tcMar>
              <w:top w:w="70" w:type="dxa"/>
              <w:left w:w="80" w:type="dxa"/>
              <w:bottom w:w="70" w:type="dxa"/>
              <w:right w:w="80" w:type="dxa"/>
            </w:tcMar>
          </w:tcPr>
          <w:p>
            <w:r>
              <w:rPr>
                <w:sz w:val="15"/>
              </w:rPr>
              <w:t>Tasks, Cases, Approvals, SLAs &amp; Escalations</w:t>
            </w:r>
          </w:p>
        </w:tc>
        <w:tc>
          <w:tcPr>
            <w:tcW w:type="dxa" w:w="1531"/>
            <w:tcMar>
              <w:top w:w="70" w:type="dxa"/>
              <w:left w:w="80" w:type="dxa"/>
              <w:bottom w:w="70" w:type="dxa"/>
              <w:right w:w="80" w:type="dxa"/>
            </w:tcMar>
          </w:tcPr>
          <w:p>
            <w:r>
              <w:rPr>
                <w:sz w:val="15"/>
              </w:rPr>
              <w:t>Workload, aging, bottleneck, outcome and compliance reporting.</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V1 General Availability</w:t>
            </w:r>
          </w:p>
        </w:tc>
        <w:tc>
          <w:tcPr>
            <w:tcW w:type="dxa" w:w="1531"/>
            <w:tcMar>
              <w:top w:w="70" w:type="dxa"/>
              <w:left w:w="80" w:type="dxa"/>
              <w:bottom w:w="70" w:type="dxa"/>
              <w:right w:w="80" w:type="dxa"/>
            </w:tcMar>
          </w:tcPr>
          <w:p>
            <w:r>
              <w:rPr>
                <w:sz w:val="15"/>
              </w:rPr>
              <w:t>AUT-02</w:t>
            </w:r>
          </w:p>
        </w:tc>
        <w:tc>
          <w:tcPr>
            <w:tcW w:type="dxa" w:w="1531"/>
            <w:tcMar>
              <w:top w:w="70" w:type="dxa"/>
              <w:left w:w="80" w:type="dxa"/>
              <w:bottom w:w="70" w:type="dxa"/>
              <w:right w:w="80" w:type="dxa"/>
            </w:tcMar>
          </w:tcPr>
          <w:p>
            <w:r>
              <w:rPr>
                <w:sz w:val="15"/>
              </w:rPr>
              <w:t>§10.34 AUT-02 Implementation Contract; §13</w:t>
            </w:r>
          </w:p>
        </w:tc>
        <w:tc>
          <w:tcPr>
            <w:tcW w:type="dxa" w:w="1531"/>
            <w:tcMar>
              <w:top w:w="70" w:type="dxa"/>
              <w:left w:w="80" w:type="dxa"/>
              <w:bottom w:w="70" w:type="dxa"/>
              <w:right w:w="80" w:type="dxa"/>
            </w:tcMar>
          </w:tcPr>
          <w:p>
            <w:r>
              <w:rPr>
                <w:sz w:val="15"/>
              </w:rPr>
              <w:t>§27; INV-AUT-02; API/event contract tests; requirement AUT-02-R07</w:t>
            </w:r>
          </w:p>
        </w:tc>
        <w:tc>
          <w:tcPr>
            <w:tcW w:type="dxa" w:w="1531"/>
            <w:tcMar>
              <w:top w:w="70" w:type="dxa"/>
              <w:left w:w="80" w:type="dxa"/>
              <w:bottom w:w="70" w:type="dxa"/>
              <w:right w:w="80" w:type="dxa"/>
            </w:tcMar>
          </w:tcPr>
          <w:p>
            <w:r>
              <w:rPr>
                <w:sz w:val="15"/>
              </w:rPr>
              <w:t>§28; RB-AUT-02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INT-01-R01</w:t>
            </w:r>
          </w:p>
        </w:tc>
        <w:tc>
          <w:tcPr>
            <w:tcW w:type="dxa" w:w="1531"/>
            <w:tcMar>
              <w:top w:w="70" w:type="dxa"/>
              <w:left w:w="80" w:type="dxa"/>
              <w:bottom w:w="70" w:type="dxa"/>
              <w:right w:w="80" w:type="dxa"/>
            </w:tcMar>
          </w:tcPr>
          <w:p>
            <w:r>
              <w:rPr>
                <w:sz w:val="15"/>
              </w:rPr>
              <w:t>Operational Analytics, BI, Forecasting &amp; Benchmarking</w:t>
            </w:r>
          </w:p>
        </w:tc>
        <w:tc>
          <w:tcPr>
            <w:tcW w:type="dxa" w:w="1531"/>
            <w:tcMar>
              <w:top w:w="70" w:type="dxa"/>
              <w:left w:w="80" w:type="dxa"/>
              <w:bottom w:w="70" w:type="dxa"/>
              <w:right w:w="80" w:type="dxa"/>
            </w:tcMar>
          </w:tcPr>
          <w:p>
            <w:r>
              <w:rPr>
                <w:sz w:val="15"/>
              </w:rPr>
              <w:t>Role-specific scorecards for owner, region, club, sales, finance, coaching, operations and customer success.</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INT-01</w:t>
            </w:r>
          </w:p>
        </w:tc>
        <w:tc>
          <w:tcPr>
            <w:tcW w:type="dxa" w:w="1531"/>
            <w:tcMar>
              <w:top w:w="70" w:type="dxa"/>
              <w:left w:w="80" w:type="dxa"/>
              <w:bottom w:w="70" w:type="dxa"/>
              <w:right w:w="80" w:type="dxa"/>
            </w:tcMar>
          </w:tcPr>
          <w:p>
            <w:r>
              <w:rPr>
                <w:sz w:val="15"/>
              </w:rPr>
              <w:t>§10.35 INT-01 Implementation Contract; §19</w:t>
            </w:r>
          </w:p>
        </w:tc>
        <w:tc>
          <w:tcPr>
            <w:tcW w:type="dxa" w:w="1531"/>
            <w:tcMar>
              <w:top w:w="70" w:type="dxa"/>
              <w:left w:w="80" w:type="dxa"/>
              <w:bottom w:w="70" w:type="dxa"/>
              <w:right w:w="80" w:type="dxa"/>
            </w:tcMar>
          </w:tcPr>
          <w:p>
            <w:r>
              <w:rPr>
                <w:sz w:val="15"/>
              </w:rPr>
              <w:t>§27; INV-INT-01; API/event contract tests; requirement INT-01-R01</w:t>
            </w:r>
          </w:p>
        </w:tc>
        <w:tc>
          <w:tcPr>
            <w:tcW w:type="dxa" w:w="1531"/>
            <w:tcMar>
              <w:top w:w="70" w:type="dxa"/>
              <w:left w:w="80" w:type="dxa"/>
              <w:bottom w:w="70" w:type="dxa"/>
              <w:right w:w="80" w:type="dxa"/>
            </w:tcMar>
          </w:tcPr>
          <w:p>
            <w:r>
              <w:rPr>
                <w:sz w:val="15"/>
              </w:rPr>
              <w:t>§28; RB-INT-01</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INT-01-R02</w:t>
            </w:r>
          </w:p>
        </w:tc>
        <w:tc>
          <w:tcPr>
            <w:tcW w:type="dxa" w:w="1531"/>
            <w:tcMar>
              <w:top w:w="70" w:type="dxa"/>
              <w:left w:w="80" w:type="dxa"/>
              <w:bottom w:w="70" w:type="dxa"/>
              <w:right w:w="80" w:type="dxa"/>
            </w:tcMar>
          </w:tcPr>
          <w:p>
            <w:r>
              <w:rPr>
                <w:sz w:val="15"/>
              </w:rPr>
              <w:t>Operational Analytics, BI, Forecasting &amp; Benchmarking</w:t>
            </w:r>
          </w:p>
        </w:tc>
        <w:tc>
          <w:tcPr>
            <w:tcW w:type="dxa" w:w="1531"/>
            <w:tcMar>
              <w:top w:w="70" w:type="dxa"/>
              <w:left w:w="80" w:type="dxa"/>
              <w:bottom w:w="70" w:type="dxa"/>
              <w:right w:w="80" w:type="dxa"/>
            </w:tcMar>
          </w:tcPr>
          <w:p>
            <w:r>
              <w:rPr>
                <w:sz w:val="15"/>
              </w:rPr>
              <w:t>Metric semantic layer with definition, owner, grain, source, freshness and tenant-safe access.</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INT-01</w:t>
            </w:r>
          </w:p>
        </w:tc>
        <w:tc>
          <w:tcPr>
            <w:tcW w:type="dxa" w:w="1531"/>
            <w:tcMar>
              <w:top w:w="70" w:type="dxa"/>
              <w:left w:w="80" w:type="dxa"/>
              <w:bottom w:w="70" w:type="dxa"/>
              <w:right w:w="80" w:type="dxa"/>
            </w:tcMar>
          </w:tcPr>
          <w:p>
            <w:r>
              <w:rPr>
                <w:sz w:val="15"/>
              </w:rPr>
              <w:t>§10.35 INT-01 Implementation Contract; §19</w:t>
            </w:r>
          </w:p>
        </w:tc>
        <w:tc>
          <w:tcPr>
            <w:tcW w:type="dxa" w:w="1531"/>
            <w:tcMar>
              <w:top w:w="70" w:type="dxa"/>
              <w:left w:w="80" w:type="dxa"/>
              <w:bottom w:w="70" w:type="dxa"/>
              <w:right w:w="80" w:type="dxa"/>
            </w:tcMar>
          </w:tcPr>
          <w:p>
            <w:r>
              <w:rPr>
                <w:sz w:val="15"/>
              </w:rPr>
              <w:t>§27; INV-INT-01; API/event contract tests; requirement INT-01-R02</w:t>
            </w:r>
          </w:p>
        </w:tc>
        <w:tc>
          <w:tcPr>
            <w:tcW w:type="dxa" w:w="1531"/>
            <w:tcMar>
              <w:top w:w="70" w:type="dxa"/>
              <w:left w:w="80" w:type="dxa"/>
              <w:bottom w:w="70" w:type="dxa"/>
              <w:right w:w="80" w:type="dxa"/>
            </w:tcMar>
          </w:tcPr>
          <w:p>
            <w:r>
              <w:rPr>
                <w:sz w:val="15"/>
              </w:rPr>
              <w:t>§28; RB-INT-01</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INT-01-R03</w:t>
            </w:r>
          </w:p>
        </w:tc>
        <w:tc>
          <w:tcPr>
            <w:tcW w:type="dxa" w:w="1531"/>
            <w:tcMar>
              <w:top w:w="70" w:type="dxa"/>
              <w:left w:w="80" w:type="dxa"/>
              <w:bottom w:w="70" w:type="dxa"/>
              <w:right w:w="80" w:type="dxa"/>
            </w:tcMar>
          </w:tcPr>
          <w:p>
            <w:r>
              <w:rPr>
                <w:sz w:val="15"/>
              </w:rPr>
              <w:t>Operational Analytics, BI, Forecasting &amp; Benchmarking</w:t>
            </w:r>
          </w:p>
        </w:tc>
        <w:tc>
          <w:tcPr>
            <w:tcW w:type="dxa" w:w="1531"/>
            <w:tcMar>
              <w:top w:w="70" w:type="dxa"/>
              <w:left w:w="80" w:type="dxa"/>
              <w:bottom w:w="70" w:type="dxa"/>
              <w:right w:w="80" w:type="dxa"/>
            </w:tcMar>
          </w:tcPr>
          <w:p>
            <w:r>
              <w:rPr>
                <w:sz w:val="15"/>
              </w:rPr>
              <w:t>Revenue, collections, membership, retention, attendance, booking, PT, nutrition, POS, inventory, staff and NPS analytics.</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INT-01</w:t>
            </w:r>
          </w:p>
        </w:tc>
        <w:tc>
          <w:tcPr>
            <w:tcW w:type="dxa" w:w="1531"/>
            <w:tcMar>
              <w:top w:w="70" w:type="dxa"/>
              <w:left w:w="80" w:type="dxa"/>
              <w:bottom w:w="70" w:type="dxa"/>
              <w:right w:w="80" w:type="dxa"/>
            </w:tcMar>
          </w:tcPr>
          <w:p>
            <w:r>
              <w:rPr>
                <w:sz w:val="15"/>
              </w:rPr>
              <w:t>§10.35 INT-01 Implementation Contract; §19</w:t>
            </w:r>
          </w:p>
        </w:tc>
        <w:tc>
          <w:tcPr>
            <w:tcW w:type="dxa" w:w="1531"/>
            <w:tcMar>
              <w:top w:w="70" w:type="dxa"/>
              <w:left w:w="80" w:type="dxa"/>
              <w:bottom w:w="70" w:type="dxa"/>
              <w:right w:w="80" w:type="dxa"/>
            </w:tcMar>
          </w:tcPr>
          <w:p>
            <w:r>
              <w:rPr>
                <w:sz w:val="15"/>
              </w:rPr>
              <w:t>§27; INV-INT-01; API/event contract tests; requirement INT-01-R03</w:t>
            </w:r>
          </w:p>
        </w:tc>
        <w:tc>
          <w:tcPr>
            <w:tcW w:type="dxa" w:w="1531"/>
            <w:tcMar>
              <w:top w:w="70" w:type="dxa"/>
              <w:left w:w="80" w:type="dxa"/>
              <w:bottom w:w="70" w:type="dxa"/>
              <w:right w:w="80" w:type="dxa"/>
            </w:tcMar>
          </w:tcPr>
          <w:p>
            <w:r>
              <w:rPr>
                <w:sz w:val="15"/>
              </w:rPr>
              <w:t>§28; RB-INT-01</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INT-01-R04</w:t>
            </w:r>
          </w:p>
        </w:tc>
        <w:tc>
          <w:tcPr>
            <w:tcW w:type="dxa" w:w="1531"/>
            <w:tcMar>
              <w:top w:w="70" w:type="dxa"/>
              <w:left w:w="80" w:type="dxa"/>
              <w:bottom w:w="70" w:type="dxa"/>
              <w:right w:w="80" w:type="dxa"/>
            </w:tcMar>
          </w:tcPr>
          <w:p>
            <w:r>
              <w:rPr>
                <w:sz w:val="15"/>
              </w:rPr>
              <w:t>Operational Analytics, BI, Forecasting &amp; Benchmarking</w:t>
            </w:r>
          </w:p>
        </w:tc>
        <w:tc>
          <w:tcPr>
            <w:tcW w:type="dxa" w:w="1531"/>
            <w:tcMar>
              <w:top w:w="70" w:type="dxa"/>
              <w:left w:w="80" w:type="dxa"/>
              <w:bottom w:w="70" w:type="dxa"/>
              <w:right w:w="80" w:type="dxa"/>
            </w:tcMar>
          </w:tcPr>
          <w:p>
            <w:r>
              <w:rPr>
                <w:sz w:val="15"/>
              </w:rPr>
              <w:t>Drill from KPI to cohort, location, segment and permission-aware underlying records.</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INT-01</w:t>
            </w:r>
          </w:p>
        </w:tc>
        <w:tc>
          <w:tcPr>
            <w:tcW w:type="dxa" w:w="1531"/>
            <w:tcMar>
              <w:top w:w="70" w:type="dxa"/>
              <w:left w:w="80" w:type="dxa"/>
              <w:bottom w:w="70" w:type="dxa"/>
              <w:right w:w="80" w:type="dxa"/>
            </w:tcMar>
          </w:tcPr>
          <w:p>
            <w:r>
              <w:rPr>
                <w:sz w:val="15"/>
              </w:rPr>
              <w:t>§10.35 INT-01 Implementation Contract; §19</w:t>
            </w:r>
          </w:p>
        </w:tc>
        <w:tc>
          <w:tcPr>
            <w:tcW w:type="dxa" w:w="1531"/>
            <w:tcMar>
              <w:top w:w="70" w:type="dxa"/>
              <w:left w:w="80" w:type="dxa"/>
              <w:bottom w:w="70" w:type="dxa"/>
              <w:right w:w="80" w:type="dxa"/>
            </w:tcMar>
          </w:tcPr>
          <w:p>
            <w:r>
              <w:rPr>
                <w:sz w:val="15"/>
              </w:rPr>
              <w:t>§27; INV-INT-01; API/event contract tests; requirement INT-01-R04</w:t>
            </w:r>
          </w:p>
        </w:tc>
        <w:tc>
          <w:tcPr>
            <w:tcW w:type="dxa" w:w="1531"/>
            <w:tcMar>
              <w:top w:w="70" w:type="dxa"/>
              <w:left w:w="80" w:type="dxa"/>
              <w:bottom w:w="70" w:type="dxa"/>
              <w:right w:w="80" w:type="dxa"/>
            </w:tcMar>
          </w:tcPr>
          <w:p>
            <w:r>
              <w:rPr>
                <w:sz w:val="15"/>
              </w:rPr>
              <w:t>§28; RB-INT-01</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INT-01-R05</w:t>
            </w:r>
          </w:p>
        </w:tc>
        <w:tc>
          <w:tcPr>
            <w:tcW w:type="dxa" w:w="1531"/>
            <w:tcMar>
              <w:top w:w="70" w:type="dxa"/>
              <w:left w:w="80" w:type="dxa"/>
              <w:bottom w:w="70" w:type="dxa"/>
              <w:right w:w="80" w:type="dxa"/>
            </w:tcMar>
          </w:tcPr>
          <w:p>
            <w:r>
              <w:rPr>
                <w:sz w:val="15"/>
              </w:rPr>
              <w:t>Operational Analytics, BI, Forecasting &amp; Benchmarking</w:t>
            </w:r>
          </w:p>
        </w:tc>
        <w:tc>
          <w:tcPr>
            <w:tcW w:type="dxa" w:w="1531"/>
            <w:tcMar>
              <w:top w:w="70" w:type="dxa"/>
              <w:left w:w="80" w:type="dxa"/>
              <w:bottom w:w="70" w:type="dxa"/>
              <w:right w:w="80" w:type="dxa"/>
            </w:tcMar>
          </w:tcPr>
          <w:p>
            <w:r>
              <w:rPr>
                <w:sz w:val="15"/>
              </w:rPr>
              <w:t>Variance explanations, anomaly detection, forecasts, targets and scenario comparisons.</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INT-01</w:t>
            </w:r>
          </w:p>
        </w:tc>
        <w:tc>
          <w:tcPr>
            <w:tcW w:type="dxa" w:w="1531"/>
            <w:tcMar>
              <w:top w:w="70" w:type="dxa"/>
              <w:left w:w="80" w:type="dxa"/>
              <w:bottom w:w="70" w:type="dxa"/>
              <w:right w:w="80" w:type="dxa"/>
            </w:tcMar>
          </w:tcPr>
          <w:p>
            <w:r>
              <w:rPr>
                <w:sz w:val="15"/>
              </w:rPr>
              <w:t>§10.35 INT-01 Implementation Contract; §19</w:t>
            </w:r>
          </w:p>
        </w:tc>
        <w:tc>
          <w:tcPr>
            <w:tcW w:type="dxa" w:w="1531"/>
            <w:tcMar>
              <w:top w:w="70" w:type="dxa"/>
              <w:left w:w="80" w:type="dxa"/>
              <w:bottom w:w="70" w:type="dxa"/>
              <w:right w:w="80" w:type="dxa"/>
            </w:tcMar>
          </w:tcPr>
          <w:p>
            <w:r>
              <w:rPr>
                <w:sz w:val="15"/>
              </w:rPr>
              <w:t>§27; INV-INT-01; API/event contract tests; requirement INT-01-R05</w:t>
            </w:r>
          </w:p>
        </w:tc>
        <w:tc>
          <w:tcPr>
            <w:tcW w:type="dxa" w:w="1531"/>
            <w:tcMar>
              <w:top w:w="70" w:type="dxa"/>
              <w:left w:w="80" w:type="dxa"/>
              <w:bottom w:w="70" w:type="dxa"/>
              <w:right w:w="80" w:type="dxa"/>
            </w:tcMar>
          </w:tcPr>
          <w:p>
            <w:r>
              <w:rPr>
                <w:sz w:val="15"/>
              </w:rPr>
              <w:t>§28; RB-INT-01</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INT-01-R06</w:t>
            </w:r>
          </w:p>
        </w:tc>
        <w:tc>
          <w:tcPr>
            <w:tcW w:type="dxa" w:w="1531"/>
            <w:tcMar>
              <w:top w:w="70" w:type="dxa"/>
              <w:left w:w="80" w:type="dxa"/>
              <w:bottom w:w="70" w:type="dxa"/>
              <w:right w:w="80" w:type="dxa"/>
            </w:tcMar>
          </w:tcPr>
          <w:p>
            <w:r>
              <w:rPr>
                <w:sz w:val="15"/>
              </w:rPr>
              <w:t>Operational Analytics, BI, Forecasting &amp; Benchmarking</w:t>
            </w:r>
          </w:p>
        </w:tc>
        <w:tc>
          <w:tcPr>
            <w:tcW w:type="dxa" w:w="1531"/>
            <w:tcMar>
              <w:top w:w="70" w:type="dxa"/>
              <w:left w:w="80" w:type="dxa"/>
              <w:bottom w:w="70" w:type="dxa"/>
              <w:right w:w="80" w:type="dxa"/>
            </w:tcMar>
          </w:tcPr>
          <w:p>
            <w:r>
              <w:rPr>
                <w:sz w:val="15"/>
              </w:rPr>
              <w:t>Benchmarking across a chain and optional privacy-preserving industry cohorts.</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INT-01</w:t>
            </w:r>
          </w:p>
        </w:tc>
        <w:tc>
          <w:tcPr>
            <w:tcW w:type="dxa" w:w="1531"/>
            <w:tcMar>
              <w:top w:w="70" w:type="dxa"/>
              <w:left w:w="80" w:type="dxa"/>
              <w:bottom w:w="70" w:type="dxa"/>
              <w:right w:w="80" w:type="dxa"/>
            </w:tcMar>
          </w:tcPr>
          <w:p>
            <w:r>
              <w:rPr>
                <w:sz w:val="15"/>
              </w:rPr>
              <w:t>§10.35 INT-01 Implementation Contract; §19</w:t>
            </w:r>
          </w:p>
        </w:tc>
        <w:tc>
          <w:tcPr>
            <w:tcW w:type="dxa" w:w="1531"/>
            <w:tcMar>
              <w:top w:w="70" w:type="dxa"/>
              <w:left w:w="80" w:type="dxa"/>
              <w:bottom w:w="70" w:type="dxa"/>
              <w:right w:w="80" w:type="dxa"/>
            </w:tcMar>
          </w:tcPr>
          <w:p>
            <w:r>
              <w:rPr>
                <w:sz w:val="15"/>
              </w:rPr>
              <w:t>§27; INV-INT-01; API/event contract tests; requirement INT-01-R06</w:t>
            </w:r>
          </w:p>
        </w:tc>
        <w:tc>
          <w:tcPr>
            <w:tcW w:type="dxa" w:w="1531"/>
            <w:tcMar>
              <w:top w:w="70" w:type="dxa"/>
              <w:left w:w="80" w:type="dxa"/>
              <w:bottom w:w="70" w:type="dxa"/>
              <w:right w:w="80" w:type="dxa"/>
            </w:tcMar>
          </w:tcPr>
          <w:p>
            <w:r>
              <w:rPr>
                <w:sz w:val="15"/>
              </w:rPr>
              <w:t>§28; RB-INT-01</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INT-01-R07</w:t>
            </w:r>
          </w:p>
        </w:tc>
        <w:tc>
          <w:tcPr>
            <w:tcW w:type="dxa" w:w="1531"/>
            <w:tcMar>
              <w:top w:w="70" w:type="dxa"/>
              <w:left w:w="80" w:type="dxa"/>
              <w:bottom w:w="70" w:type="dxa"/>
              <w:right w:w="80" w:type="dxa"/>
            </w:tcMar>
          </w:tcPr>
          <w:p>
            <w:r>
              <w:rPr>
                <w:sz w:val="15"/>
              </w:rPr>
              <w:t>Operational Analytics, BI, Forecasting &amp; Benchmarking</w:t>
            </w:r>
          </w:p>
        </w:tc>
        <w:tc>
          <w:tcPr>
            <w:tcW w:type="dxa" w:w="1531"/>
            <w:tcMar>
              <w:top w:w="70" w:type="dxa"/>
              <w:left w:w="80" w:type="dxa"/>
              <w:bottom w:w="70" w:type="dxa"/>
              <w:right w:w="80" w:type="dxa"/>
            </w:tcMar>
          </w:tcPr>
          <w:p>
            <w:r>
              <w:rPr>
                <w:sz w:val="15"/>
              </w:rPr>
              <w:t>Scheduled reports, exports, alerts and embedded analytics.</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INT-01</w:t>
            </w:r>
          </w:p>
        </w:tc>
        <w:tc>
          <w:tcPr>
            <w:tcW w:type="dxa" w:w="1531"/>
            <w:tcMar>
              <w:top w:w="70" w:type="dxa"/>
              <w:left w:w="80" w:type="dxa"/>
              <w:bottom w:w="70" w:type="dxa"/>
              <w:right w:w="80" w:type="dxa"/>
            </w:tcMar>
          </w:tcPr>
          <w:p>
            <w:r>
              <w:rPr>
                <w:sz w:val="15"/>
              </w:rPr>
              <w:t>§10.35 INT-01 Implementation Contract; §19</w:t>
            </w:r>
          </w:p>
        </w:tc>
        <w:tc>
          <w:tcPr>
            <w:tcW w:type="dxa" w:w="1531"/>
            <w:tcMar>
              <w:top w:w="70" w:type="dxa"/>
              <w:left w:w="80" w:type="dxa"/>
              <w:bottom w:w="70" w:type="dxa"/>
              <w:right w:w="80" w:type="dxa"/>
            </w:tcMar>
          </w:tcPr>
          <w:p>
            <w:r>
              <w:rPr>
                <w:sz w:val="15"/>
              </w:rPr>
              <w:t>§27; INV-INT-01; API/event contract tests; requirement INT-01-R07</w:t>
            </w:r>
          </w:p>
        </w:tc>
        <w:tc>
          <w:tcPr>
            <w:tcW w:type="dxa" w:w="1531"/>
            <w:tcMar>
              <w:top w:w="70" w:type="dxa"/>
              <w:left w:w="80" w:type="dxa"/>
              <w:bottom w:w="70" w:type="dxa"/>
              <w:right w:w="80" w:type="dxa"/>
            </w:tcMar>
          </w:tcPr>
          <w:p>
            <w:r>
              <w:rPr>
                <w:sz w:val="15"/>
              </w:rPr>
              <w:t>§28; RB-INT-01</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INT-01-R08</w:t>
            </w:r>
          </w:p>
        </w:tc>
        <w:tc>
          <w:tcPr>
            <w:tcW w:type="dxa" w:w="1531"/>
            <w:tcMar>
              <w:top w:w="70" w:type="dxa"/>
              <w:left w:w="80" w:type="dxa"/>
              <w:bottom w:w="70" w:type="dxa"/>
              <w:right w:w="80" w:type="dxa"/>
            </w:tcMar>
          </w:tcPr>
          <w:p>
            <w:r>
              <w:rPr>
                <w:sz w:val="15"/>
              </w:rPr>
              <w:t>Operational Analytics, BI, Forecasting &amp; Benchmarking</w:t>
            </w:r>
          </w:p>
        </w:tc>
        <w:tc>
          <w:tcPr>
            <w:tcW w:type="dxa" w:w="1531"/>
            <w:tcMar>
              <w:top w:w="70" w:type="dxa"/>
              <w:left w:w="80" w:type="dxa"/>
              <w:bottom w:w="70" w:type="dxa"/>
              <w:right w:w="80" w:type="dxa"/>
            </w:tcMar>
          </w:tcPr>
          <w:p>
            <w:r>
              <w:rPr>
                <w:sz w:val="15"/>
              </w:rPr>
              <w:t>Data quality, freshness and completeness indicators displayed with decisions.</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INT-01</w:t>
            </w:r>
          </w:p>
        </w:tc>
        <w:tc>
          <w:tcPr>
            <w:tcW w:type="dxa" w:w="1531"/>
            <w:tcMar>
              <w:top w:w="70" w:type="dxa"/>
              <w:left w:w="80" w:type="dxa"/>
              <w:bottom w:w="70" w:type="dxa"/>
              <w:right w:w="80" w:type="dxa"/>
            </w:tcMar>
          </w:tcPr>
          <w:p>
            <w:r>
              <w:rPr>
                <w:sz w:val="15"/>
              </w:rPr>
              <w:t>§10.35 INT-01 Implementation Contract; §19</w:t>
            </w:r>
          </w:p>
        </w:tc>
        <w:tc>
          <w:tcPr>
            <w:tcW w:type="dxa" w:w="1531"/>
            <w:tcMar>
              <w:top w:w="70" w:type="dxa"/>
              <w:left w:w="80" w:type="dxa"/>
              <w:bottom w:w="70" w:type="dxa"/>
              <w:right w:w="80" w:type="dxa"/>
            </w:tcMar>
          </w:tcPr>
          <w:p>
            <w:r>
              <w:rPr>
                <w:sz w:val="15"/>
              </w:rPr>
              <w:t>§27; INV-INT-01; API/event contract tests; requirement INT-01-R08</w:t>
            </w:r>
          </w:p>
        </w:tc>
        <w:tc>
          <w:tcPr>
            <w:tcW w:type="dxa" w:w="1531"/>
            <w:tcMar>
              <w:top w:w="70" w:type="dxa"/>
              <w:left w:w="80" w:type="dxa"/>
              <w:bottom w:w="70" w:type="dxa"/>
              <w:right w:w="80" w:type="dxa"/>
            </w:tcMar>
          </w:tcPr>
          <w:p>
            <w:r>
              <w:rPr>
                <w:sz w:val="15"/>
              </w:rPr>
              <w:t>§28; RB-INT-01</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INT-02-R01</w:t>
            </w:r>
          </w:p>
        </w:tc>
        <w:tc>
          <w:tcPr>
            <w:tcW w:type="dxa" w:w="1531"/>
            <w:tcMar>
              <w:top w:w="70" w:type="dxa"/>
              <w:left w:w="80" w:type="dxa"/>
              <w:bottom w:w="70" w:type="dxa"/>
              <w:right w:w="80" w:type="dxa"/>
            </w:tcMar>
          </w:tcPr>
          <w:p>
            <w:r>
              <w:rPr>
                <w:sz w:val="15"/>
              </w:rPr>
              <w:t>AI Platform, Copilots, Agents &amp; Governance</w:t>
            </w:r>
          </w:p>
        </w:tc>
        <w:tc>
          <w:tcPr>
            <w:tcW w:type="dxa" w:w="1531"/>
            <w:tcMar>
              <w:top w:w="70" w:type="dxa"/>
              <w:left w:w="80" w:type="dxa"/>
              <w:bottom w:w="70" w:type="dxa"/>
              <w:right w:w="80" w:type="dxa"/>
            </w:tcMar>
          </w:tcPr>
          <w:p>
            <w:r>
              <w:rPr>
                <w:sz w:val="15"/>
              </w:rPr>
              <w:t>Admin Copilot for business questions, explanations, prioritized actions, draft campaigns and guarded execution.</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INT-02</w:t>
            </w:r>
          </w:p>
        </w:tc>
        <w:tc>
          <w:tcPr>
            <w:tcW w:type="dxa" w:w="1531"/>
            <w:tcMar>
              <w:top w:w="70" w:type="dxa"/>
              <w:left w:w="80" w:type="dxa"/>
              <w:bottom w:w="70" w:type="dxa"/>
              <w:right w:w="80" w:type="dxa"/>
            </w:tcMar>
          </w:tcPr>
          <w:p>
            <w:r>
              <w:rPr>
                <w:sz w:val="15"/>
              </w:rPr>
              <w:t>§10.36 INT-02 Implementation Contract; §19</w:t>
            </w:r>
          </w:p>
        </w:tc>
        <w:tc>
          <w:tcPr>
            <w:tcW w:type="dxa" w:w="1531"/>
            <w:tcMar>
              <w:top w:w="70" w:type="dxa"/>
              <w:left w:w="80" w:type="dxa"/>
              <w:bottom w:w="70" w:type="dxa"/>
              <w:right w:w="80" w:type="dxa"/>
            </w:tcMar>
          </w:tcPr>
          <w:p>
            <w:r>
              <w:rPr>
                <w:sz w:val="15"/>
              </w:rPr>
              <w:t>§27; INV-INT-02; API/event contract tests; requirement INT-02-R01</w:t>
            </w:r>
          </w:p>
        </w:tc>
        <w:tc>
          <w:tcPr>
            <w:tcW w:type="dxa" w:w="1531"/>
            <w:tcMar>
              <w:top w:w="70" w:type="dxa"/>
              <w:left w:w="80" w:type="dxa"/>
              <w:bottom w:w="70" w:type="dxa"/>
              <w:right w:w="80" w:type="dxa"/>
            </w:tcMar>
          </w:tcPr>
          <w:p>
            <w:r>
              <w:rPr>
                <w:sz w:val="15"/>
              </w:rPr>
              <w:t>§28; RB-INT-02</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INT-02-R02</w:t>
            </w:r>
          </w:p>
        </w:tc>
        <w:tc>
          <w:tcPr>
            <w:tcW w:type="dxa" w:w="1531"/>
            <w:tcMar>
              <w:top w:w="70" w:type="dxa"/>
              <w:left w:w="80" w:type="dxa"/>
              <w:bottom w:w="70" w:type="dxa"/>
              <w:right w:w="80" w:type="dxa"/>
            </w:tcMar>
          </w:tcPr>
          <w:p>
            <w:r>
              <w:rPr>
                <w:sz w:val="15"/>
              </w:rPr>
              <w:t>AI Platform, Copilots, Agents &amp; Governance</w:t>
            </w:r>
          </w:p>
        </w:tc>
        <w:tc>
          <w:tcPr>
            <w:tcW w:type="dxa" w:w="1531"/>
            <w:tcMar>
              <w:top w:w="70" w:type="dxa"/>
              <w:left w:w="80" w:type="dxa"/>
              <w:bottom w:w="70" w:type="dxa"/>
              <w:right w:w="80" w:type="dxa"/>
            </w:tcMar>
          </w:tcPr>
          <w:p>
            <w:r>
              <w:rPr>
                <w:sz w:val="15"/>
              </w:rPr>
              <w:t>Sales Copilot for lead prioritization, conversation summary, next action, objection help and follow-up draft.</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INT-02</w:t>
            </w:r>
          </w:p>
        </w:tc>
        <w:tc>
          <w:tcPr>
            <w:tcW w:type="dxa" w:w="1531"/>
            <w:tcMar>
              <w:top w:w="70" w:type="dxa"/>
              <w:left w:w="80" w:type="dxa"/>
              <w:bottom w:w="70" w:type="dxa"/>
              <w:right w:w="80" w:type="dxa"/>
            </w:tcMar>
          </w:tcPr>
          <w:p>
            <w:r>
              <w:rPr>
                <w:sz w:val="15"/>
              </w:rPr>
              <w:t>§10.36 INT-02 Implementation Contract; §19</w:t>
            </w:r>
          </w:p>
        </w:tc>
        <w:tc>
          <w:tcPr>
            <w:tcW w:type="dxa" w:w="1531"/>
            <w:tcMar>
              <w:top w:w="70" w:type="dxa"/>
              <w:left w:w="80" w:type="dxa"/>
              <w:bottom w:w="70" w:type="dxa"/>
              <w:right w:w="80" w:type="dxa"/>
            </w:tcMar>
          </w:tcPr>
          <w:p>
            <w:r>
              <w:rPr>
                <w:sz w:val="15"/>
              </w:rPr>
              <w:t>§27; INV-INT-02; API/event contract tests; requirement INT-02-R02</w:t>
            </w:r>
          </w:p>
        </w:tc>
        <w:tc>
          <w:tcPr>
            <w:tcW w:type="dxa" w:w="1531"/>
            <w:tcMar>
              <w:top w:w="70" w:type="dxa"/>
              <w:left w:w="80" w:type="dxa"/>
              <w:bottom w:w="70" w:type="dxa"/>
              <w:right w:w="80" w:type="dxa"/>
            </w:tcMar>
          </w:tcPr>
          <w:p>
            <w:r>
              <w:rPr>
                <w:sz w:val="15"/>
              </w:rPr>
              <w:t>§28; RB-INT-02</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INT-02-R03</w:t>
            </w:r>
          </w:p>
        </w:tc>
        <w:tc>
          <w:tcPr>
            <w:tcW w:type="dxa" w:w="1531"/>
            <w:tcMar>
              <w:top w:w="70" w:type="dxa"/>
              <w:left w:w="80" w:type="dxa"/>
              <w:bottom w:w="70" w:type="dxa"/>
              <w:right w:w="80" w:type="dxa"/>
            </w:tcMar>
          </w:tcPr>
          <w:p>
            <w:r>
              <w:rPr>
                <w:sz w:val="15"/>
              </w:rPr>
              <w:t>AI Platform, Copilots, Agents &amp; Governance</w:t>
            </w:r>
          </w:p>
        </w:tc>
        <w:tc>
          <w:tcPr>
            <w:tcW w:type="dxa" w:w="1531"/>
            <w:tcMar>
              <w:top w:w="70" w:type="dxa"/>
              <w:left w:w="80" w:type="dxa"/>
              <w:bottom w:w="70" w:type="dxa"/>
              <w:right w:w="80" w:type="dxa"/>
            </w:tcMar>
          </w:tcPr>
          <w:p>
            <w:r>
              <w:rPr>
                <w:sz w:val="15"/>
              </w:rPr>
              <w:t>Coach Copilot for attention list, program/nutrition draft, adaptation, review summary and client message.</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INT-02</w:t>
            </w:r>
          </w:p>
        </w:tc>
        <w:tc>
          <w:tcPr>
            <w:tcW w:type="dxa" w:w="1531"/>
            <w:tcMar>
              <w:top w:w="70" w:type="dxa"/>
              <w:left w:w="80" w:type="dxa"/>
              <w:bottom w:w="70" w:type="dxa"/>
              <w:right w:w="80" w:type="dxa"/>
            </w:tcMar>
          </w:tcPr>
          <w:p>
            <w:r>
              <w:rPr>
                <w:sz w:val="15"/>
              </w:rPr>
              <w:t>§10.36 INT-02 Implementation Contract; §19</w:t>
            </w:r>
          </w:p>
        </w:tc>
        <w:tc>
          <w:tcPr>
            <w:tcW w:type="dxa" w:w="1531"/>
            <w:tcMar>
              <w:top w:w="70" w:type="dxa"/>
              <w:left w:w="80" w:type="dxa"/>
              <w:bottom w:w="70" w:type="dxa"/>
              <w:right w:w="80" w:type="dxa"/>
            </w:tcMar>
          </w:tcPr>
          <w:p>
            <w:r>
              <w:rPr>
                <w:sz w:val="15"/>
              </w:rPr>
              <w:t>§27; INV-INT-02; API/event contract tests; requirement INT-02-R03</w:t>
            </w:r>
          </w:p>
        </w:tc>
        <w:tc>
          <w:tcPr>
            <w:tcW w:type="dxa" w:w="1531"/>
            <w:tcMar>
              <w:top w:w="70" w:type="dxa"/>
              <w:left w:w="80" w:type="dxa"/>
              <w:bottom w:w="70" w:type="dxa"/>
              <w:right w:w="80" w:type="dxa"/>
            </w:tcMar>
          </w:tcPr>
          <w:p>
            <w:r>
              <w:rPr>
                <w:sz w:val="15"/>
              </w:rPr>
              <w:t>§28; RB-INT-02</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INT-02-R04</w:t>
            </w:r>
          </w:p>
        </w:tc>
        <w:tc>
          <w:tcPr>
            <w:tcW w:type="dxa" w:w="1531"/>
            <w:tcMar>
              <w:top w:w="70" w:type="dxa"/>
              <w:left w:w="80" w:type="dxa"/>
              <w:bottom w:w="70" w:type="dxa"/>
              <w:right w:w="80" w:type="dxa"/>
            </w:tcMar>
          </w:tcPr>
          <w:p>
            <w:r>
              <w:rPr>
                <w:sz w:val="15"/>
              </w:rPr>
              <w:t>AI Platform, Copilots, Agents &amp; Governance</w:t>
            </w:r>
          </w:p>
        </w:tc>
        <w:tc>
          <w:tcPr>
            <w:tcW w:type="dxa" w:w="1531"/>
            <w:tcMar>
              <w:top w:w="70" w:type="dxa"/>
              <w:left w:w="80" w:type="dxa"/>
              <w:bottom w:w="70" w:type="dxa"/>
              <w:right w:w="80" w:type="dxa"/>
            </w:tcMar>
          </w:tcPr>
          <w:p>
            <w:r>
              <w:rPr>
                <w:sz w:val="15"/>
              </w:rPr>
              <w:t>Member Assistant for navigation, booking, plan explanation and low-risk allowed substitutions.</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INT-02</w:t>
            </w:r>
          </w:p>
        </w:tc>
        <w:tc>
          <w:tcPr>
            <w:tcW w:type="dxa" w:w="1531"/>
            <w:tcMar>
              <w:top w:w="70" w:type="dxa"/>
              <w:left w:w="80" w:type="dxa"/>
              <w:bottom w:w="70" w:type="dxa"/>
              <w:right w:w="80" w:type="dxa"/>
            </w:tcMar>
          </w:tcPr>
          <w:p>
            <w:r>
              <w:rPr>
                <w:sz w:val="15"/>
              </w:rPr>
              <w:t>§10.36 INT-02 Implementation Contract; §19</w:t>
            </w:r>
          </w:p>
        </w:tc>
        <w:tc>
          <w:tcPr>
            <w:tcW w:type="dxa" w:w="1531"/>
            <w:tcMar>
              <w:top w:w="70" w:type="dxa"/>
              <w:left w:w="80" w:type="dxa"/>
              <w:bottom w:w="70" w:type="dxa"/>
              <w:right w:w="80" w:type="dxa"/>
            </w:tcMar>
          </w:tcPr>
          <w:p>
            <w:r>
              <w:rPr>
                <w:sz w:val="15"/>
              </w:rPr>
              <w:t>§27; INV-INT-02; API/event contract tests; requirement INT-02-R04</w:t>
            </w:r>
          </w:p>
        </w:tc>
        <w:tc>
          <w:tcPr>
            <w:tcW w:type="dxa" w:w="1531"/>
            <w:tcMar>
              <w:top w:w="70" w:type="dxa"/>
              <w:left w:w="80" w:type="dxa"/>
              <w:bottom w:w="70" w:type="dxa"/>
              <w:right w:w="80" w:type="dxa"/>
            </w:tcMar>
          </w:tcPr>
          <w:p>
            <w:r>
              <w:rPr>
                <w:sz w:val="15"/>
              </w:rPr>
              <w:t>§28; RB-INT-02</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INT-02-R05</w:t>
            </w:r>
          </w:p>
        </w:tc>
        <w:tc>
          <w:tcPr>
            <w:tcW w:type="dxa" w:w="1531"/>
            <w:tcMar>
              <w:top w:w="70" w:type="dxa"/>
              <w:left w:w="80" w:type="dxa"/>
              <w:bottom w:w="70" w:type="dxa"/>
              <w:right w:w="80" w:type="dxa"/>
            </w:tcMar>
          </w:tcPr>
          <w:p>
            <w:r>
              <w:rPr>
                <w:sz w:val="15"/>
              </w:rPr>
              <w:t>AI Platform, Copilots, Agents &amp; Governance</w:t>
            </w:r>
          </w:p>
        </w:tc>
        <w:tc>
          <w:tcPr>
            <w:tcW w:type="dxa" w:w="1531"/>
            <w:tcMar>
              <w:top w:w="70" w:type="dxa"/>
              <w:left w:w="80" w:type="dxa"/>
              <w:bottom w:w="70" w:type="dxa"/>
              <w:right w:w="80" w:type="dxa"/>
            </w:tcMar>
          </w:tcPr>
          <w:p>
            <w:r>
              <w:rPr>
                <w:sz w:val="15"/>
              </w:rPr>
              <w:t>Retrieval layer with tenant, role, purpose and record-level authorization at query and response time.</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INT-02</w:t>
            </w:r>
          </w:p>
        </w:tc>
        <w:tc>
          <w:tcPr>
            <w:tcW w:type="dxa" w:w="1531"/>
            <w:tcMar>
              <w:top w:w="70" w:type="dxa"/>
              <w:left w:w="80" w:type="dxa"/>
              <w:bottom w:w="70" w:type="dxa"/>
              <w:right w:w="80" w:type="dxa"/>
            </w:tcMar>
          </w:tcPr>
          <w:p>
            <w:r>
              <w:rPr>
                <w:sz w:val="15"/>
              </w:rPr>
              <w:t>§10.36 INT-02 Implementation Contract; §19</w:t>
            </w:r>
          </w:p>
        </w:tc>
        <w:tc>
          <w:tcPr>
            <w:tcW w:type="dxa" w:w="1531"/>
            <w:tcMar>
              <w:top w:w="70" w:type="dxa"/>
              <w:left w:w="80" w:type="dxa"/>
              <w:bottom w:w="70" w:type="dxa"/>
              <w:right w:w="80" w:type="dxa"/>
            </w:tcMar>
          </w:tcPr>
          <w:p>
            <w:r>
              <w:rPr>
                <w:sz w:val="15"/>
              </w:rPr>
              <w:t>§27; INV-INT-02; API/event contract tests; requirement INT-02-R05</w:t>
            </w:r>
          </w:p>
        </w:tc>
        <w:tc>
          <w:tcPr>
            <w:tcW w:type="dxa" w:w="1531"/>
            <w:tcMar>
              <w:top w:w="70" w:type="dxa"/>
              <w:left w:w="80" w:type="dxa"/>
              <w:bottom w:w="70" w:type="dxa"/>
              <w:right w:w="80" w:type="dxa"/>
            </w:tcMar>
          </w:tcPr>
          <w:p>
            <w:r>
              <w:rPr>
                <w:sz w:val="15"/>
              </w:rPr>
              <w:t>§28; RB-INT-02</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INT-02-R06</w:t>
            </w:r>
          </w:p>
        </w:tc>
        <w:tc>
          <w:tcPr>
            <w:tcW w:type="dxa" w:w="1531"/>
            <w:tcMar>
              <w:top w:w="70" w:type="dxa"/>
              <w:left w:w="80" w:type="dxa"/>
              <w:bottom w:w="70" w:type="dxa"/>
              <w:right w:w="80" w:type="dxa"/>
            </w:tcMar>
          </w:tcPr>
          <w:p>
            <w:r>
              <w:rPr>
                <w:sz w:val="15"/>
              </w:rPr>
              <w:t>AI Platform, Copilots, Agents &amp; Governance</w:t>
            </w:r>
          </w:p>
        </w:tc>
        <w:tc>
          <w:tcPr>
            <w:tcW w:type="dxa" w:w="1531"/>
            <w:tcMar>
              <w:top w:w="70" w:type="dxa"/>
              <w:left w:w="80" w:type="dxa"/>
              <w:bottom w:w="70" w:type="dxa"/>
              <w:right w:w="80" w:type="dxa"/>
            </w:tcMar>
          </w:tcPr>
          <w:p>
            <w:r>
              <w:rPr>
                <w:sz w:val="15"/>
              </w:rPr>
              <w:t>Tool/action registry with schemas, permission checks, risk tiers, approvals, idempotency and compensating actions.</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INT-02</w:t>
            </w:r>
          </w:p>
        </w:tc>
        <w:tc>
          <w:tcPr>
            <w:tcW w:type="dxa" w:w="1531"/>
            <w:tcMar>
              <w:top w:w="70" w:type="dxa"/>
              <w:left w:w="80" w:type="dxa"/>
              <w:bottom w:w="70" w:type="dxa"/>
              <w:right w:w="80" w:type="dxa"/>
            </w:tcMar>
          </w:tcPr>
          <w:p>
            <w:r>
              <w:rPr>
                <w:sz w:val="15"/>
              </w:rPr>
              <w:t>§10.36 INT-02 Implementation Contract; §19</w:t>
            </w:r>
          </w:p>
        </w:tc>
        <w:tc>
          <w:tcPr>
            <w:tcW w:type="dxa" w:w="1531"/>
            <w:tcMar>
              <w:top w:w="70" w:type="dxa"/>
              <w:left w:w="80" w:type="dxa"/>
              <w:bottom w:w="70" w:type="dxa"/>
              <w:right w:w="80" w:type="dxa"/>
            </w:tcMar>
          </w:tcPr>
          <w:p>
            <w:r>
              <w:rPr>
                <w:sz w:val="15"/>
              </w:rPr>
              <w:t>§27; INV-INT-02; API/event contract tests; requirement INT-02-R06</w:t>
            </w:r>
          </w:p>
        </w:tc>
        <w:tc>
          <w:tcPr>
            <w:tcW w:type="dxa" w:w="1531"/>
            <w:tcMar>
              <w:top w:w="70" w:type="dxa"/>
              <w:left w:w="80" w:type="dxa"/>
              <w:bottom w:w="70" w:type="dxa"/>
              <w:right w:w="80" w:type="dxa"/>
            </w:tcMar>
          </w:tcPr>
          <w:p>
            <w:r>
              <w:rPr>
                <w:sz w:val="15"/>
              </w:rPr>
              <w:t>§28; RB-INT-02</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INT-02-R07</w:t>
            </w:r>
          </w:p>
        </w:tc>
        <w:tc>
          <w:tcPr>
            <w:tcW w:type="dxa" w:w="1531"/>
            <w:tcMar>
              <w:top w:w="70" w:type="dxa"/>
              <w:left w:w="80" w:type="dxa"/>
              <w:bottom w:w="70" w:type="dxa"/>
              <w:right w:w="80" w:type="dxa"/>
            </w:tcMar>
          </w:tcPr>
          <w:p>
            <w:r>
              <w:rPr>
                <w:sz w:val="15"/>
              </w:rPr>
              <w:t>AI Platform, Copilots, Agents &amp; Governance</w:t>
            </w:r>
          </w:p>
        </w:tc>
        <w:tc>
          <w:tcPr>
            <w:tcW w:type="dxa" w:w="1531"/>
            <w:tcMar>
              <w:top w:w="70" w:type="dxa"/>
              <w:left w:w="80" w:type="dxa"/>
              <w:bottom w:w="70" w:type="dxa"/>
              <w:right w:w="80" w:type="dxa"/>
            </w:tcMar>
          </w:tcPr>
          <w:p>
            <w:r>
              <w:rPr>
                <w:sz w:val="15"/>
              </w:rPr>
              <w:t>Prompt/model/version registry, evaluation sets, routing, fallback, latency and budget controls.</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INT-02</w:t>
            </w:r>
          </w:p>
        </w:tc>
        <w:tc>
          <w:tcPr>
            <w:tcW w:type="dxa" w:w="1531"/>
            <w:tcMar>
              <w:top w:w="70" w:type="dxa"/>
              <w:left w:w="80" w:type="dxa"/>
              <w:bottom w:w="70" w:type="dxa"/>
              <w:right w:w="80" w:type="dxa"/>
            </w:tcMar>
          </w:tcPr>
          <w:p>
            <w:r>
              <w:rPr>
                <w:sz w:val="15"/>
              </w:rPr>
              <w:t>§10.36 INT-02 Implementation Contract; §19</w:t>
            </w:r>
          </w:p>
        </w:tc>
        <w:tc>
          <w:tcPr>
            <w:tcW w:type="dxa" w:w="1531"/>
            <w:tcMar>
              <w:top w:w="70" w:type="dxa"/>
              <w:left w:w="80" w:type="dxa"/>
              <w:bottom w:w="70" w:type="dxa"/>
              <w:right w:w="80" w:type="dxa"/>
            </w:tcMar>
          </w:tcPr>
          <w:p>
            <w:r>
              <w:rPr>
                <w:sz w:val="15"/>
              </w:rPr>
              <w:t>§27; INV-INT-02; API/event contract tests; requirement INT-02-R07</w:t>
            </w:r>
          </w:p>
        </w:tc>
        <w:tc>
          <w:tcPr>
            <w:tcW w:type="dxa" w:w="1531"/>
            <w:tcMar>
              <w:top w:w="70" w:type="dxa"/>
              <w:left w:w="80" w:type="dxa"/>
              <w:bottom w:w="70" w:type="dxa"/>
              <w:right w:w="80" w:type="dxa"/>
            </w:tcMar>
          </w:tcPr>
          <w:p>
            <w:r>
              <w:rPr>
                <w:sz w:val="15"/>
              </w:rPr>
              <w:t>§28; RB-INT-02</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INT-02-R08</w:t>
            </w:r>
          </w:p>
        </w:tc>
        <w:tc>
          <w:tcPr>
            <w:tcW w:type="dxa" w:w="1531"/>
            <w:tcMar>
              <w:top w:w="70" w:type="dxa"/>
              <w:left w:w="80" w:type="dxa"/>
              <w:bottom w:w="70" w:type="dxa"/>
              <w:right w:w="80" w:type="dxa"/>
            </w:tcMar>
          </w:tcPr>
          <w:p>
            <w:r>
              <w:rPr>
                <w:sz w:val="15"/>
              </w:rPr>
              <w:t>AI Platform, Copilots, Agents &amp; Governance</w:t>
            </w:r>
          </w:p>
        </w:tc>
        <w:tc>
          <w:tcPr>
            <w:tcW w:type="dxa" w:w="1531"/>
            <w:tcMar>
              <w:top w:w="70" w:type="dxa"/>
              <w:left w:w="80" w:type="dxa"/>
              <w:bottom w:w="70" w:type="dxa"/>
              <w:right w:w="80" w:type="dxa"/>
            </w:tcMar>
          </w:tcPr>
          <w:p>
            <w:r>
              <w:rPr>
                <w:sz w:val="15"/>
              </w:rPr>
              <w:t>AI audit recording context references, model, prompt version, outputs, confidence, citations, actions and approver.</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INT-02</w:t>
            </w:r>
          </w:p>
        </w:tc>
        <w:tc>
          <w:tcPr>
            <w:tcW w:type="dxa" w:w="1531"/>
            <w:tcMar>
              <w:top w:w="70" w:type="dxa"/>
              <w:left w:w="80" w:type="dxa"/>
              <w:bottom w:w="70" w:type="dxa"/>
              <w:right w:w="80" w:type="dxa"/>
            </w:tcMar>
          </w:tcPr>
          <w:p>
            <w:r>
              <w:rPr>
                <w:sz w:val="15"/>
              </w:rPr>
              <w:t>§10.36 INT-02 Implementation Contract; §19</w:t>
            </w:r>
          </w:p>
        </w:tc>
        <w:tc>
          <w:tcPr>
            <w:tcW w:type="dxa" w:w="1531"/>
            <w:tcMar>
              <w:top w:w="70" w:type="dxa"/>
              <w:left w:w="80" w:type="dxa"/>
              <w:bottom w:w="70" w:type="dxa"/>
              <w:right w:w="80" w:type="dxa"/>
            </w:tcMar>
          </w:tcPr>
          <w:p>
            <w:r>
              <w:rPr>
                <w:sz w:val="15"/>
              </w:rPr>
              <w:t>§27; INV-INT-02; API/event contract tests; requirement INT-02-R08</w:t>
            </w:r>
          </w:p>
        </w:tc>
        <w:tc>
          <w:tcPr>
            <w:tcW w:type="dxa" w:w="1531"/>
            <w:tcMar>
              <w:top w:w="70" w:type="dxa"/>
              <w:left w:w="80" w:type="dxa"/>
              <w:bottom w:w="70" w:type="dxa"/>
              <w:right w:w="80" w:type="dxa"/>
            </w:tcMar>
          </w:tcPr>
          <w:p>
            <w:r>
              <w:rPr>
                <w:sz w:val="15"/>
              </w:rPr>
              <w:t>§28; RB-INT-02</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INT-02-R09</w:t>
            </w:r>
          </w:p>
        </w:tc>
        <w:tc>
          <w:tcPr>
            <w:tcW w:type="dxa" w:w="1531"/>
            <w:tcMar>
              <w:top w:w="70" w:type="dxa"/>
              <w:left w:w="80" w:type="dxa"/>
              <w:bottom w:w="70" w:type="dxa"/>
              <w:right w:w="80" w:type="dxa"/>
            </w:tcMar>
          </w:tcPr>
          <w:p>
            <w:r>
              <w:rPr>
                <w:sz w:val="15"/>
              </w:rPr>
              <w:t>AI Platform, Copilots, Agents &amp; Governance</w:t>
            </w:r>
          </w:p>
        </w:tc>
        <w:tc>
          <w:tcPr>
            <w:tcW w:type="dxa" w:w="1531"/>
            <w:tcMar>
              <w:top w:w="70" w:type="dxa"/>
              <w:left w:w="80" w:type="dxa"/>
              <w:bottom w:w="70" w:type="dxa"/>
              <w:right w:w="80" w:type="dxa"/>
            </w:tcMar>
          </w:tcPr>
          <w:p>
            <w:r>
              <w:rPr>
                <w:sz w:val="15"/>
              </w:rPr>
              <w:t>Safety boundaries for health, nutrition, finance, biometric, employment and legal-sensitive use cases.</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INT-02</w:t>
            </w:r>
          </w:p>
        </w:tc>
        <w:tc>
          <w:tcPr>
            <w:tcW w:type="dxa" w:w="1531"/>
            <w:tcMar>
              <w:top w:w="70" w:type="dxa"/>
              <w:left w:w="80" w:type="dxa"/>
              <w:bottom w:w="70" w:type="dxa"/>
              <w:right w:w="80" w:type="dxa"/>
            </w:tcMar>
          </w:tcPr>
          <w:p>
            <w:r>
              <w:rPr>
                <w:sz w:val="15"/>
              </w:rPr>
              <w:t>§10.36 INT-02 Implementation Contract; §19</w:t>
            </w:r>
          </w:p>
        </w:tc>
        <w:tc>
          <w:tcPr>
            <w:tcW w:type="dxa" w:w="1531"/>
            <w:tcMar>
              <w:top w:w="70" w:type="dxa"/>
              <w:left w:w="80" w:type="dxa"/>
              <w:bottom w:w="70" w:type="dxa"/>
              <w:right w:w="80" w:type="dxa"/>
            </w:tcMar>
          </w:tcPr>
          <w:p>
            <w:r>
              <w:rPr>
                <w:sz w:val="15"/>
              </w:rPr>
              <w:t>§27; INV-INT-02; API/event contract tests; requirement INT-02-R09</w:t>
            </w:r>
          </w:p>
        </w:tc>
        <w:tc>
          <w:tcPr>
            <w:tcW w:type="dxa" w:w="1531"/>
            <w:tcMar>
              <w:top w:w="70" w:type="dxa"/>
              <w:left w:w="80" w:type="dxa"/>
              <w:bottom w:w="70" w:type="dxa"/>
              <w:right w:w="80" w:type="dxa"/>
            </w:tcMar>
          </w:tcPr>
          <w:p>
            <w:r>
              <w:rPr>
                <w:sz w:val="15"/>
              </w:rPr>
              <w:t>§28; RB-INT-02</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INT-02-R10</w:t>
            </w:r>
          </w:p>
        </w:tc>
        <w:tc>
          <w:tcPr>
            <w:tcW w:type="dxa" w:w="1531"/>
            <w:tcMar>
              <w:top w:w="70" w:type="dxa"/>
              <w:left w:w="80" w:type="dxa"/>
              <w:bottom w:w="70" w:type="dxa"/>
              <w:right w:w="80" w:type="dxa"/>
            </w:tcMar>
          </w:tcPr>
          <w:p>
            <w:r>
              <w:rPr>
                <w:sz w:val="15"/>
              </w:rPr>
              <w:t>AI Platform, Copilots, Agents &amp; Governance</w:t>
            </w:r>
          </w:p>
        </w:tc>
        <w:tc>
          <w:tcPr>
            <w:tcW w:type="dxa" w:w="1531"/>
            <w:tcMar>
              <w:top w:w="70" w:type="dxa"/>
              <w:left w:w="80" w:type="dxa"/>
              <w:bottom w:w="70" w:type="dxa"/>
              <w:right w:w="80" w:type="dxa"/>
            </w:tcMar>
          </w:tcPr>
          <w:p>
            <w:r>
              <w:rPr>
                <w:sz w:val="15"/>
              </w:rPr>
              <w:t>Tenant-level opt-in, data-use controls, regional model policy, cost budget and feature disablement.</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INT-02</w:t>
            </w:r>
          </w:p>
        </w:tc>
        <w:tc>
          <w:tcPr>
            <w:tcW w:type="dxa" w:w="1531"/>
            <w:tcMar>
              <w:top w:w="70" w:type="dxa"/>
              <w:left w:w="80" w:type="dxa"/>
              <w:bottom w:w="70" w:type="dxa"/>
              <w:right w:w="80" w:type="dxa"/>
            </w:tcMar>
          </w:tcPr>
          <w:p>
            <w:r>
              <w:rPr>
                <w:sz w:val="15"/>
              </w:rPr>
              <w:t>§10.36 INT-02 Implementation Contract; §19</w:t>
            </w:r>
          </w:p>
        </w:tc>
        <w:tc>
          <w:tcPr>
            <w:tcW w:type="dxa" w:w="1531"/>
            <w:tcMar>
              <w:top w:w="70" w:type="dxa"/>
              <w:left w:w="80" w:type="dxa"/>
              <w:bottom w:w="70" w:type="dxa"/>
              <w:right w:w="80" w:type="dxa"/>
            </w:tcMar>
          </w:tcPr>
          <w:p>
            <w:r>
              <w:rPr>
                <w:sz w:val="15"/>
              </w:rPr>
              <w:t>§27; INV-INT-02; API/event contract tests; requirement INT-02-R10</w:t>
            </w:r>
          </w:p>
        </w:tc>
        <w:tc>
          <w:tcPr>
            <w:tcW w:type="dxa" w:w="1531"/>
            <w:tcMar>
              <w:top w:w="70" w:type="dxa"/>
              <w:left w:w="80" w:type="dxa"/>
              <w:bottom w:w="70" w:type="dxa"/>
              <w:right w:w="80" w:type="dxa"/>
            </w:tcMar>
          </w:tcPr>
          <w:p>
            <w:r>
              <w:rPr>
                <w:sz w:val="15"/>
              </w:rPr>
              <w:t>§28; RB-INT-02</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INT-03-R01</w:t>
            </w:r>
          </w:p>
        </w:tc>
        <w:tc>
          <w:tcPr>
            <w:tcW w:type="dxa" w:w="1531"/>
            <w:tcMar>
              <w:top w:w="70" w:type="dxa"/>
              <w:left w:w="80" w:type="dxa"/>
              <w:bottom w:w="70" w:type="dxa"/>
              <w:right w:w="80" w:type="dxa"/>
            </w:tcMar>
          </w:tcPr>
          <w:p>
            <w:r>
              <w:rPr>
                <w:sz w:val="15"/>
              </w:rPr>
              <w:t>Global Search, Command Bar &amp; Knowledge Navigation</w:t>
            </w:r>
          </w:p>
        </w:tc>
        <w:tc>
          <w:tcPr>
            <w:tcW w:type="dxa" w:w="1531"/>
            <w:tcMar>
              <w:top w:w="70" w:type="dxa"/>
              <w:left w:w="80" w:type="dxa"/>
              <w:bottom w:w="70" w:type="dxa"/>
              <w:right w:w="80" w:type="dxa"/>
            </w:tcMar>
          </w:tcPr>
          <w:p>
            <w:r>
              <w:rPr>
                <w:sz w:val="15"/>
              </w:rPr>
              <w:t>Keyboard-first global command bar on Admin Web and role-appropriate search on mobile.</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INT-03</w:t>
            </w:r>
          </w:p>
        </w:tc>
        <w:tc>
          <w:tcPr>
            <w:tcW w:type="dxa" w:w="1531"/>
            <w:tcMar>
              <w:top w:w="70" w:type="dxa"/>
              <w:left w:w="80" w:type="dxa"/>
              <w:bottom w:w="70" w:type="dxa"/>
              <w:right w:w="80" w:type="dxa"/>
            </w:tcMar>
          </w:tcPr>
          <w:p>
            <w:r>
              <w:rPr>
                <w:sz w:val="15"/>
              </w:rPr>
              <w:t>§10.37 INT-03 Implementation Contract; §19</w:t>
            </w:r>
          </w:p>
        </w:tc>
        <w:tc>
          <w:tcPr>
            <w:tcW w:type="dxa" w:w="1531"/>
            <w:tcMar>
              <w:top w:w="70" w:type="dxa"/>
              <w:left w:w="80" w:type="dxa"/>
              <w:bottom w:w="70" w:type="dxa"/>
              <w:right w:w="80" w:type="dxa"/>
            </w:tcMar>
          </w:tcPr>
          <w:p>
            <w:r>
              <w:rPr>
                <w:sz w:val="15"/>
              </w:rPr>
              <w:t>§27; INV-INT-03; API/event contract tests; requirement INT-03-R01</w:t>
            </w:r>
          </w:p>
        </w:tc>
        <w:tc>
          <w:tcPr>
            <w:tcW w:type="dxa" w:w="1531"/>
            <w:tcMar>
              <w:top w:w="70" w:type="dxa"/>
              <w:left w:w="80" w:type="dxa"/>
              <w:bottom w:w="70" w:type="dxa"/>
              <w:right w:w="80" w:type="dxa"/>
            </w:tcMar>
          </w:tcPr>
          <w:p>
            <w:r>
              <w:rPr>
                <w:sz w:val="15"/>
              </w:rPr>
              <w:t>§28; RB-INT-03</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INT-03-R02</w:t>
            </w:r>
          </w:p>
        </w:tc>
        <w:tc>
          <w:tcPr>
            <w:tcW w:type="dxa" w:w="1531"/>
            <w:tcMar>
              <w:top w:w="70" w:type="dxa"/>
              <w:left w:w="80" w:type="dxa"/>
              <w:bottom w:w="70" w:type="dxa"/>
              <w:right w:w="80" w:type="dxa"/>
            </w:tcMar>
          </w:tcPr>
          <w:p>
            <w:r>
              <w:rPr>
                <w:sz w:val="15"/>
              </w:rPr>
              <w:t>Global Search, Command Bar &amp; Knowledge Navigation</w:t>
            </w:r>
          </w:p>
        </w:tc>
        <w:tc>
          <w:tcPr>
            <w:tcW w:type="dxa" w:w="1531"/>
            <w:tcMar>
              <w:top w:w="70" w:type="dxa"/>
              <w:left w:w="80" w:type="dxa"/>
              <w:bottom w:w="70" w:type="dxa"/>
              <w:right w:w="80" w:type="dxa"/>
            </w:tcMar>
          </w:tcPr>
          <w:p>
            <w:r>
              <w:rPr>
                <w:sz w:val="15"/>
              </w:rPr>
              <w:t>Search members, leads, staff, bookings, invoices, products, orders, tasks, incidents, assets and settings.</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INT-03</w:t>
            </w:r>
          </w:p>
        </w:tc>
        <w:tc>
          <w:tcPr>
            <w:tcW w:type="dxa" w:w="1531"/>
            <w:tcMar>
              <w:top w:w="70" w:type="dxa"/>
              <w:left w:w="80" w:type="dxa"/>
              <w:bottom w:w="70" w:type="dxa"/>
              <w:right w:w="80" w:type="dxa"/>
            </w:tcMar>
          </w:tcPr>
          <w:p>
            <w:r>
              <w:rPr>
                <w:sz w:val="15"/>
              </w:rPr>
              <w:t>§10.37 INT-03 Implementation Contract; §19</w:t>
            </w:r>
          </w:p>
        </w:tc>
        <w:tc>
          <w:tcPr>
            <w:tcW w:type="dxa" w:w="1531"/>
            <w:tcMar>
              <w:top w:w="70" w:type="dxa"/>
              <w:left w:w="80" w:type="dxa"/>
              <w:bottom w:w="70" w:type="dxa"/>
              <w:right w:w="80" w:type="dxa"/>
            </w:tcMar>
          </w:tcPr>
          <w:p>
            <w:r>
              <w:rPr>
                <w:sz w:val="15"/>
              </w:rPr>
              <w:t>§27; INV-INT-03; API/event contract tests; requirement INT-03-R02</w:t>
            </w:r>
          </w:p>
        </w:tc>
        <w:tc>
          <w:tcPr>
            <w:tcW w:type="dxa" w:w="1531"/>
            <w:tcMar>
              <w:top w:w="70" w:type="dxa"/>
              <w:left w:w="80" w:type="dxa"/>
              <w:bottom w:w="70" w:type="dxa"/>
              <w:right w:w="80" w:type="dxa"/>
            </w:tcMar>
          </w:tcPr>
          <w:p>
            <w:r>
              <w:rPr>
                <w:sz w:val="15"/>
              </w:rPr>
              <w:t>§28; RB-INT-03</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INT-03-R03</w:t>
            </w:r>
          </w:p>
        </w:tc>
        <w:tc>
          <w:tcPr>
            <w:tcW w:type="dxa" w:w="1531"/>
            <w:tcMar>
              <w:top w:w="70" w:type="dxa"/>
              <w:left w:w="80" w:type="dxa"/>
              <w:bottom w:w="70" w:type="dxa"/>
              <w:right w:w="80" w:type="dxa"/>
            </w:tcMar>
          </w:tcPr>
          <w:p>
            <w:r>
              <w:rPr>
                <w:sz w:val="15"/>
              </w:rPr>
              <w:t>Global Search, Command Bar &amp; Knowledge Navigation</w:t>
            </w:r>
          </w:p>
        </w:tc>
        <w:tc>
          <w:tcPr>
            <w:tcW w:type="dxa" w:w="1531"/>
            <w:tcMar>
              <w:top w:w="70" w:type="dxa"/>
              <w:left w:w="80" w:type="dxa"/>
              <w:bottom w:w="70" w:type="dxa"/>
              <w:right w:w="80" w:type="dxa"/>
            </w:tcMar>
          </w:tcPr>
          <w:p>
            <w:r>
              <w:rPr>
                <w:sz w:val="15"/>
              </w:rPr>
              <w:t>Permission-aware indexing, query filtering, result masking and post-filter validation.</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INT-03</w:t>
            </w:r>
          </w:p>
        </w:tc>
        <w:tc>
          <w:tcPr>
            <w:tcW w:type="dxa" w:w="1531"/>
            <w:tcMar>
              <w:top w:w="70" w:type="dxa"/>
              <w:left w:w="80" w:type="dxa"/>
              <w:bottom w:w="70" w:type="dxa"/>
              <w:right w:w="80" w:type="dxa"/>
            </w:tcMar>
          </w:tcPr>
          <w:p>
            <w:r>
              <w:rPr>
                <w:sz w:val="15"/>
              </w:rPr>
              <w:t>§10.37 INT-03 Implementation Contract; §19</w:t>
            </w:r>
          </w:p>
        </w:tc>
        <w:tc>
          <w:tcPr>
            <w:tcW w:type="dxa" w:w="1531"/>
            <w:tcMar>
              <w:top w:w="70" w:type="dxa"/>
              <w:left w:w="80" w:type="dxa"/>
              <w:bottom w:w="70" w:type="dxa"/>
              <w:right w:w="80" w:type="dxa"/>
            </w:tcMar>
          </w:tcPr>
          <w:p>
            <w:r>
              <w:rPr>
                <w:sz w:val="15"/>
              </w:rPr>
              <w:t>§27; INV-INT-03; API/event contract tests; requirement INT-03-R03</w:t>
            </w:r>
          </w:p>
        </w:tc>
        <w:tc>
          <w:tcPr>
            <w:tcW w:type="dxa" w:w="1531"/>
            <w:tcMar>
              <w:top w:w="70" w:type="dxa"/>
              <w:left w:w="80" w:type="dxa"/>
              <w:bottom w:w="70" w:type="dxa"/>
              <w:right w:w="80" w:type="dxa"/>
            </w:tcMar>
          </w:tcPr>
          <w:p>
            <w:r>
              <w:rPr>
                <w:sz w:val="15"/>
              </w:rPr>
              <w:t>§28; RB-INT-03</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INT-03-R04</w:t>
            </w:r>
          </w:p>
        </w:tc>
        <w:tc>
          <w:tcPr>
            <w:tcW w:type="dxa" w:w="1531"/>
            <w:tcMar>
              <w:top w:w="70" w:type="dxa"/>
              <w:left w:w="80" w:type="dxa"/>
              <w:bottom w:w="70" w:type="dxa"/>
              <w:right w:w="80" w:type="dxa"/>
            </w:tcMar>
          </w:tcPr>
          <w:p>
            <w:r>
              <w:rPr>
                <w:sz w:val="15"/>
              </w:rPr>
              <w:t>Global Search, Command Bar &amp; Knowledge Navigation</w:t>
            </w:r>
          </w:p>
        </w:tc>
        <w:tc>
          <w:tcPr>
            <w:tcW w:type="dxa" w:w="1531"/>
            <w:tcMar>
              <w:top w:w="70" w:type="dxa"/>
              <w:left w:w="80" w:type="dxa"/>
              <w:bottom w:w="70" w:type="dxa"/>
              <w:right w:w="80" w:type="dxa"/>
            </w:tcMar>
          </w:tcPr>
          <w:p>
            <w:r>
              <w:rPr>
                <w:sz w:val="15"/>
              </w:rPr>
              <w:t>Recent, pinned, suggested and context-sensitive actions such as create, refund, book, message or navigate.</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INT-03</w:t>
            </w:r>
          </w:p>
        </w:tc>
        <w:tc>
          <w:tcPr>
            <w:tcW w:type="dxa" w:w="1531"/>
            <w:tcMar>
              <w:top w:w="70" w:type="dxa"/>
              <w:left w:w="80" w:type="dxa"/>
              <w:bottom w:w="70" w:type="dxa"/>
              <w:right w:w="80" w:type="dxa"/>
            </w:tcMar>
          </w:tcPr>
          <w:p>
            <w:r>
              <w:rPr>
                <w:sz w:val="15"/>
              </w:rPr>
              <w:t>§10.37 INT-03 Implementation Contract; §19</w:t>
            </w:r>
          </w:p>
        </w:tc>
        <w:tc>
          <w:tcPr>
            <w:tcW w:type="dxa" w:w="1531"/>
            <w:tcMar>
              <w:top w:w="70" w:type="dxa"/>
              <w:left w:w="80" w:type="dxa"/>
              <w:bottom w:w="70" w:type="dxa"/>
              <w:right w:w="80" w:type="dxa"/>
            </w:tcMar>
          </w:tcPr>
          <w:p>
            <w:r>
              <w:rPr>
                <w:sz w:val="15"/>
              </w:rPr>
              <w:t>§27; INV-INT-03; API/event contract tests; requirement INT-03-R04</w:t>
            </w:r>
          </w:p>
        </w:tc>
        <w:tc>
          <w:tcPr>
            <w:tcW w:type="dxa" w:w="1531"/>
            <w:tcMar>
              <w:top w:w="70" w:type="dxa"/>
              <w:left w:w="80" w:type="dxa"/>
              <w:bottom w:w="70" w:type="dxa"/>
              <w:right w:w="80" w:type="dxa"/>
            </w:tcMar>
          </w:tcPr>
          <w:p>
            <w:r>
              <w:rPr>
                <w:sz w:val="15"/>
              </w:rPr>
              <w:t>§28; RB-INT-03</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INT-03-R05</w:t>
            </w:r>
          </w:p>
        </w:tc>
        <w:tc>
          <w:tcPr>
            <w:tcW w:type="dxa" w:w="1531"/>
            <w:tcMar>
              <w:top w:w="70" w:type="dxa"/>
              <w:left w:w="80" w:type="dxa"/>
              <w:bottom w:w="70" w:type="dxa"/>
              <w:right w:w="80" w:type="dxa"/>
            </w:tcMar>
          </w:tcPr>
          <w:p>
            <w:r>
              <w:rPr>
                <w:sz w:val="15"/>
              </w:rPr>
              <w:t>Global Search, Command Bar &amp; Knowledge Navigation</w:t>
            </w:r>
          </w:p>
        </w:tc>
        <w:tc>
          <w:tcPr>
            <w:tcW w:type="dxa" w:w="1531"/>
            <w:tcMar>
              <w:top w:w="70" w:type="dxa"/>
              <w:left w:w="80" w:type="dxa"/>
              <w:bottom w:w="70" w:type="dxa"/>
              <w:right w:w="80" w:type="dxa"/>
            </w:tcMar>
          </w:tcPr>
          <w:p>
            <w:r>
              <w:rPr>
                <w:sz w:val="15"/>
              </w:rPr>
              <w:t>Natural-language commands converted to previewable structured actions.</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INT-03</w:t>
            </w:r>
          </w:p>
        </w:tc>
        <w:tc>
          <w:tcPr>
            <w:tcW w:type="dxa" w:w="1531"/>
            <w:tcMar>
              <w:top w:w="70" w:type="dxa"/>
              <w:left w:w="80" w:type="dxa"/>
              <w:bottom w:w="70" w:type="dxa"/>
              <w:right w:w="80" w:type="dxa"/>
            </w:tcMar>
          </w:tcPr>
          <w:p>
            <w:r>
              <w:rPr>
                <w:sz w:val="15"/>
              </w:rPr>
              <w:t>§10.37 INT-03 Implementation Contract; §19</w:t>
            </w:r>
          </w:p>
        </w:tc>
        <w:tc>
          <w:tcPr>
            <w:tcW w:type="dxa" w:w="1531"/>
            <w:tcMar>
              <w:top w:w="70" w:type="dxa"/>
              <w:left w:w="80" w:type="dxa"/>
              <w:bottom w:w="70" w:type="dxa"/>
              <w:right w:w="80" w:type="dxa"/>
            </w:tcMar>
          </w:tcPr>
          <w:p>
            <w:r>
              <w:rPr>
                <w:sz w:val="15"/>
              </w:rPr>
              <w:t>§27; INV-INT-03; API/event contract tests; requirement INT-03-R05</w:t>
            </w:r>
          </w:p>
        </w:tc>
        <w:tc>
          <w:tcPr>
            <w:tcW w:type="dxa" w:w="1531"/>
            <w:tcMar>
              <w:top w:w="70" w:type="dxa"/>
              <w:left w:w="80" w:type="dxa"/>
              <w:bottom w:w="70" w:type="dxa"/>
              <w:right w:w="80" w:type="dxa"/>
            </w:tcMar>
          </w:tcPr>
          <w:p>
            <w:r>
              <w:rPr>
                <w:sz w:val="15"/>
              </w:rPr>
              <w:t>§28; RB-INT-03</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INT-03-R06</w:t>
            </w:r>
          </w:p>
        </w:tc>
        <w:tc>
          <w:tcPr>
            <w:tcW w:type="dxa" w:w="1531"/>
            <w:tcMar>
              <w:top w:w="70" w:type="dxa"/>
              <w:left w:w="80" w:type="dxa"/>
              <w:bottom w:w="70" w:type="dxa"/>
              <w:right w:w="80" w:type="dxa"/>
            </w:tcMar>
          </w:tcPr>
          <w:p>
            <w:r>
              <w:rPr>
                <w:sz w:val="15"/>
              </w:rPr>
              <w:t>Global Search, Command Bar &amp; Knowledge Navigation</w:t>
            </w:r>
          </w:p>
        </w:tc>
        <w:tc>
          <w:tcPr>
            <w:tcW w:type="dxa" w:w="1531"/>
            <w:tcMar>
              <w:top w:w="70" w:type="dxa"/>
              <w:left w:w="80" w:type="dxa"/>
              <w:bottom w:w="70" w:type="dxa"/>
              <w:right w:w="80" w:type="dxa"/>
            </w:tcMar>
          </w:tcPr>
          <w:p>
            <w:r>
              <w:rPr>
                <w:sz w:val="15"/>
              </w:rPr>
              <w:t>Help and knowledge results matched to page, role, tenant configuration and product version.</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INT-03</w:t>
            </w:r>
          </w:p>
        </w:tc>
        <w:tc>
          <w:tcPr>
            <w:tcW w:type="dxa" w:w="1531"/>
            <w:tcMar>
              <w:top w:w="70" w:type="dxa"/>
              <w:left w:w="80" w:type="dxa"/>
              <w:bottom w:w="70" w:type="dxa"/>
              <w:right w:w="80" w:type="dxa"/>
            </w:tcMar>
          </w:tcPr>
          <w:p>
            <w:r>
              <w:rPr>
                <w:sz w:val="15"/>
              </w:rPr>
              <w:t>§10.37 INT-03 Implementation Contract; §19</w:t>
            </w:r>
          </w:p>
        </w:tc>
        <w:tc>
          <w:tcPr>
            <w:tcW w:type="dxa" w:w="1531"/>
            <w:tcMar>
              <w:top w:w="70" w:type="dxa"/>
              <w:left w:w="80" w:type="dxa"/>
              <w:bottom w:w="70" w:type="dxa"/>
              <w:right w:w="80" w:type="dxa"/>
            </w:tcMar>
          </w:tcPr>
          <w:p>
            <w:r>
              <w:rPr>
                <w:sz w:val="15"/>
              </w:rPr>
              <w:t>§27; INV-INT-03; API/event contract tests; requirement INT-03-R06</w:t>
            </w:r>
          </w:p>
        </w:tc>
        <w:tc>
          <w:tcPr>
            <w:tcW w:type="dxa" w:w="1531"/>
            <w:tcMar>
              <w:top w:w="70" w:type="dxa"/>
              <w:left w:w="80" w:type="dxa"/>
              <w:bottom w:w="70" w:type="dxa"/>
              <w:right w:w="80" w:type="dxa"/>
            </w:tcMar>
          </w:tcPr>
          <w:p>
            <w:r>
              <w:rPr>
                <w:sz w:val="15"/>
              </w:rPr>
              <w:t>§28; RB-INT-03</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INT-03-R07</w:t>
            </w:r>
          </w:p>
        </w:tc>
        <w:tc>
          <w:tcPr>
            <w:tcW w:type="dxa" w:w="1531"/>
            <w:tcMar>
              <w:top w:w="70" w:type="dxa"/>
              <w:left w:w="80" w:type="dxa"/>
              <w:bottom w:w="70" w:type="dxa"/>
              <w:right w:w="80" w:type="dxa"/>
            </w:tcMar>
          </w:tcPr>
          <w:p>
            <w:r>
              <w:rPr>
                <w:sz w:val="15"/>
              </w:rPr>
              <w:t>Global Search, Command Bar &amp; Knowledge Navigation</w:t>
            </w:r>
          </w:p>
        </w:tc>
        <w:tc>
          <w:tcPr>
            <w:tcW w:type="dxa" w:w="1531"/>
            <w:tcMar>
              <w:top w:w="70" w:type="dxa"/>
              <w:left w:w="80" w:type="dxa"/>
              <w:bottom w:w="70" w:type="dxa"/>
              <w:right w:w="80" w:type="dxa"/>
            </w:tcMar>
          </w:tcPr>
          <w:p>
            <w:r>
              <w:rPr>
                <w:sz w:val="15"/>
              </w:rPr>
              <w:t>Search analytics for zero-result, latency, permission denial and task-completion improvement.</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INT-03</w:t>
            </w:r>
          </w:p>
        </w:tc>
        <w:tc>
          <w:tcPr>
            <w:tcW w:type="dxa" w:w="1531"/>
            <w:tcMar>
              <w:top w:w="70" w:type="dxa"/>
              <w:left w:w="80" w:type="dxa"/>
              <w:bottom w:w="70" w:type="dxa"/>
              <w:right w:w="80" w:type="dxa"/>
            </w:tcMar>
          </w:tcPr>
          <w:p>
            <w:r>
              <w:rPr>
                <w:sz w:val="15"/>
              </w:rPr>
              <w:t>§10.37 INT-03 Implementation Contract; §19</w:t>
            </w:r>
          </w:p>
        </w:tc>
        <w:tc>
          <w:tcPr>
            <w:tcW w:type="dxa" w:w="1531"/>
            <w:tcMar>
              <w:top w:w="70" w:type="dxa"/>
              <w:left w:w="80" w:type="dxa"/>
              <w:bottom w:w="70" w:type="dxa"/>
              <w:right w:w="80" w:type="dxa"/>
            </w:tcMar>
          </w:tcPr>
          <w:p>
            <w:r>
              <w:rPr>
                <w:sz w:val="15"/>
              </w:rPr>
              <w:t>§27; INV-INT-03; API/event contract tests; requirement INT-03-R07</w:t>
            </w:r>
          </w:p>
        </w:tc>
        <w:tc>
          <w:tcPr>
            <w:tcW w:type="dxa" w:w="1531"/>
            <w:tcMar>
              <w:top w:w="70" w:type="dxa"/>
              <w:left w:w="80" w:type="dxa"/>
              <w:bottom w:w="70" w:type="dxa"/>
              <w:right w:w="80" w:type="dxa"/>
            </w:tcMar>
          </w:tcPr>
          <w:p>
            <w:r>
              <w:rPr>
                <w:sz w:val="15"/>
              </w:rPr>
              <w:t>§28; RB-INT-03</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B2B-01-R01</w:t>
            </w:r>
          </w:p>
        </w:tc>
        <w:tc>
          <w:tcPr>
            <w:tcW w:type="dxa" w:w="1531"/>
            <w:tcMar>
              <w:top w:w="70" w:type="dxa"/>
              <w:left w:w="80" w:type="dxa"/>
              <w:bottom w:w="70" w:type="dxa"/>
              <w:right w:w="80" w:type="dxa"/>
            </w:tcMar>
          </w:tcPr>
          <w:p>
            <w:r>
              <w:rPr>
                <w:sz w:val="15"/>
              </w:rPr>
              <w:t>Corporate Memberships &amp; Employer Portal</w:t>
            </w:r>
          </w:p>
        </w:tc>
        <w:tc>
          <w:tcPr>
            <w:tcW w:type="dxa" w:w="1531"/>
            <w:tcMar>
              <w:top w:w="70" w:type="dxa"/>
              <w:left w:w="80" w:type="dxa"/>
              <w:bottom w:w="70" w:type="dxa"/>
              <w:right w:w="80" w:type="dxa"/>
            </w:tcMar>
          </w:tcPr>
          <w:p>
            <w:r>
              <w:rPr>
                <w:sz w:val="15"/>
              </w:rPr>
              <w:t>Corporate account, contract, eligible population, benefit package, subsidy and employee contribution.</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Enterprise</w:t>
            </w:r>
          </w:p>
        </w:tc>
        <w:tc>
          <w:tcPr>
            <w:tcW w:type="dxa" w:w="1531"/>
            <w:tcMar>
              <w:top w:w="70" w:type="dxa"/>
              <w:left w:w="80" w:type="dxa"/>
              <w:bottom w:w="70" w:type="dxa"/>
              <w:right w:w="80" w:type="dxa"/>
            </w:tcMar>
          </w:tcPr>
          <w:p>
            <w:r>
              <w:rPr>
                <w:sz w:val="15"/>
              </w:rPr>
              <w:t>B2B-01</w:t>
            </w:r>
          </w:p>
        </w:tc>
        <w:tc>
          <w:tcPr>
            <w:tcW w:type="dxa" w:w="1531"/>
            <w:tcMar>
              <w:top w:w="70" w:type="dxa"/>
              <w:left w:w="80" w:type="dxa"/>
              <w:bottom w:w="70" w:type="dxa"/>
              <w:right w:w="80" w:type="dxa"/>
            </w:tcMar>
          </w:tcPr>
          <w:p>
            <w:r>
              <w:rPr>
                <w:sz w:val="15"/>
              </w:rPr>
              <w:t>§10.38 B2B-01 Implementation Contract; §10/§14</w:t>
            </w:r>
          </w:p>
        </w:tc>
        <w:tc>
          <w:tcPr>
            <w:tcW w:type="dxa" w:w="1531"/>
            <w:tcMar>
              <w:top w:w="70" w:type="dxa"/>
              <w:left w:w="80" w:type="dxa"/>
              <w:bottom w:w="70" w:type="dxa"/>
              <w:right w:w="80" w:type="dxa"/>
            </w:tcMar>
          </w:tcPr>
          <w:p>
            <w:r>
              <w:rPr>
                <w:sz w:val="15"/>
              </w:rPr>
              <w:t>§27; INV-B2B-01; API/event contract tests; requirement B2B-01-R01</w:t>
            </w:r>
          </w:p>
        </w:tc>
        <w:tc>
          <w:tcPr>
            <w:tcW w:type="dxa" w:w="1531"/>
            <w:tcMar>
              <w:top w:w="70" w:type="dxa"/>
              <w:left w:w="80" w:type="dxa"/>
              <w:bottom w:w="70" w:type="dxa"/>
              <w:right w:w="80" w:type="dxa"/>
            </w:tcMar>
          </w:tcPr>
          <w:p>
            <w:r>
              <w:rPr>
                <w:sz w:val="15"/>
              </w:rPr>
              <w:t>§28; RB-B2B-01</w:t>
            </w:r>
          </w:p>
        </w:tc>
        <w:tc>
          <w:tcPr>
            <w:tcW w:type="dxa" w:w="1531"/>
            <w:tcMar>
              <w:top w:w="70" w:type="dxa"/>
              <w:left w:w="80" w:type="dxa"/>
              <w:bottom w:w="70" w:type="dxa"/>
              <w:right w:w="80" w:type="dxa"/>
            </w:tcMar>
          </w:tcPr>
          <w:p>
            <w:r>
              <w:rPr>
                <w:sz w:val="15"/>
              </w:rPr>
              <w:t>DEFERRED - Enterprise</w:t>
            </w:r>
          </w:p>
        </w:tc>
      </w:tr>
      <w:tr>
        <w:tc>
          <w:tcPr>
            <w:tcW w:type="dxa" w:w="1531"/>
            <w:tcMar>
              <w:top w:w="70" w:type="dxa"/>
              <w:left w:w="80" w:type="dxa"/>
              <w:bottom w:w="70" w:type="dxa"/>
              <w:right w:w="80" w:type="dxa"/>
            </w:tcMar>
          </w:tcPr>
          <w:p>
            <w:r>
              <w:rPr>
                <w:sz w:val="15"/>
              </w:rPr>
              <w:t>B2B-01-R02</w:t>
            </w:r>
          </w:p>
        </w:tc>
        <w:tc>
          <w:tcPr>
            <w:tcW w:type="dxa" w:w="1531"/>
            <w:tcMar>
              <w:top w:w="70" w:type="dxa"/>
              <w:left w:w="80" w:type="dxa"/>
              <w:bottom w:w="70" w:type="dxa"/>
              <w:right w:w="80" w:type="dxa"/>
            </w:tcMar>
          </w:tcPr>
          <w:p>
            <w:r>
              <w:rPr>
                <w:sz w:val="15"/>
              </w:rPr>
              <w:t>Corporate Memberships &amp; Employer Portal</w:t>
            </w:r>
          </w:p>
        </w:tc>
        <w:tc>
          <w:tcPr>
            <w:tcW w:type="dxa" w:w="1531"/>
            <w:tcMar>
              <w:top w:w="70" w:type="dxa"/>
              <w:left w:w="80" w:type="dxa"/>
              <w:bottom w:w="70" w:type="dxa"/>
              <w:right w:w="80" w:type="dxa"/>
            </w:tcMar>
          </w:tcPr>
          <w:p>
            <w:r>
              <w:rPr>
                <w:sz w:val="15"/>
              </w:rPr>
              <w:t>Eligibility via roster upload, HRIS/API, email domain, code or enterprise identity.</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Enterprise</w:t>
            </w:r>
          </w:p>
        </w:tc>
        <w:tc>
          <w:tcPr>
            <w:tcW w:type="dxa" w:w="1531"/>
            <w:tcMar>
              <w:top w:w="70" w:type="dxa"/>
              <w:left w:w="80" w:type="dxa"/>
              <w:bottom w:w="70" w:type="dxa"/>
              <w:right w:w="80" w:type="dxa"/>
            </w:tcMar>
          </w:tcPr>
          <w:p>
            <w:r>
              <w:rPr>
                <w:sz w:val="15"/>
              </w:rPr>
              <w:t>B2B-01</w:t>
            </w:r>
          </w:p>
        </w:tc>
        <w:tc>
          <w:tcPr>
            <w:tcW w:type="dxa" w:w="1531"/>
            <w:tcMar>
              <w:top w:w="70" w:type="dxa"/>
              <w:left w:w="80" w:type="dxa"/>
              <w:bottom w:w="70" w:type="dxa"/>
              <w:right w:w="80" w:type="dxa"/>
            </w:tcMar>
          </w:tcPr>
          <w:p>
            <w:r>
              <w:rPr>
                <w:sz w:val="15"/>
              </w:rPr>
              <w:t>§10.38 B2B-01 Implementation Contract; §10/§14</w:t>
            </w:r>
          </w:p>
        </w:tc>
        <w:tc>
          <w:tcPr>
            <w:tcW w:type="dxa" w:w="1531"/>
            <w:tcMar>
              <w:top w:w="70" w:type="dxa"/>
              <w:left w:w="80" w:type="dxa"/>
              <w:bottom w:w="70" w:type="dxa"/>
              <w:right w:w="80" w:type="dxa"/>
            </w:tcMar>
          </w:tcPr>
          <w:p>
            <w:r>
              <w:rPr>
                <w:sz w:val="15"/>
              </w:rPr>
              <w:t>§27; INV-B2B-01; API/event contract tests; requirement B2B-01-R02</w:t>
            </w:r>
          </w:p>
        </w:tc>
        <w:tc>
          <w:tcPr>
            <w:tcW w:type="dxa" w:w="1531"/>
            <w:tcMar>
              <w:top w:w="70" w:type="dxa"/>
              <w:left w:w="80" w:type="dxa"/>
              <w:bottom w:w="70" w:type="dxa"/>
              <w:right w:w="80" w:type="dxa"/>
            </w:tcMar>
          </w:tcPr>
          <w:p>
            <w:r>
              <w:rPr>
                <w:sz w:val="15"/>
              </w:rPr>
              <w:t>§28; RB-B2B-01</w:t>
            </w:r>
          </w:p>
        </w:tc>
        <w:tc>
          <w:tcPr>
            <w:tcW w:type="dxa" w:w="1531"/>
            <w:tcMar>
              <w:top w:w="70" w:type="dxa"/>
              <w:left w:w="80" w:type="dxa"/>
              <w:bottom w:w="70" w:type="dxa"/>
              <w:right w:w="80" w:type="dxa"/>
            </w:tcMar>
          </w:tcPr>
          <w:p>
            <w:r>
              <w:rPr>
                <w:sz w:val="15"/>
              </w:rPr>
              <w:t>DEFERRED - Enterprise</w:t>
            </w:r>
          </w:p>
        </w:tc>
      </w:tr>
      <w:tr>
        <w:tc>
          <w:tcPr>
            <w:tcW w:type="dxa" w:w="1531"/>
            <w:tcMar>
              <w:top w:w="70" w:type="dxa"/>
              <w:left w:w="80" w:type="dxa"/>
              <w:bottom w:w="70" w:type="dxa"/>
              <w:right w:w="80" w:type="dxa"/>
            </w:tcMar>
          </w:tcPr>
          <w:p>
            <w:r>
              <w:rPr>
                <w:sz w:val="15"/>
              </w:rPr>
              <w:t>B2B-01-R03</w:t>
            </w:r>
          </w:p>
        </w:tc>
        <w:tc>
          <w:tcPr>
            <w:tcW w:type="dxa" w:w="1531"/>
            <w:tcMar>
              <w:top w:w="70" w:type="dxa"/>
              <w:left w:w="80" w:type="dxa"/>
              <w:bottom w:w="70" w:type="dxa"/>
              <w:right w:w="80" w:type="dxa"/>
            </w:tcMar>
          </w:tcPr>
          <w:p>
            <w:r>
              <w:rPr>
                <w:sz w:val="15"/>
              </w:rPr>
              <w:t>Corporate Memberships &amp; Employer Portal</w:t>
            </w:r>
          </w:p>
        </w:tc>
        <w:tc>
          <w:tcPr>
            <w:tcW w:type="dxa" w:w="1531"/>
            <w:tcMar>
              <w:top w:w="70" w:type="dxa"/>
              <w:left w:w="80" w:type="dxa"/>
              <w:bottom w:w="70" w:type="dxa"/>
              <w:right w:w="80" w:type="dxa"/>
            </w:tcMar>
          </w:tcPr>
          <w:p>
            <w:r>
              <w:rPr>
                <w:sz w:val="15"/>
              </w:rPr>
              <w:t>Employee invitation, self-enrollment, dependent rules, location access and plan selection.</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Enterprise</w:t>
            </w:r>
          </w:p>
        </w:tc>
        <w:tc>
          <w:tcPr>
            <w:tcW w:type="dxa" w:w="1531"/>
            <w:tcMar>
              <w:top w:w="70" w:type="dxa"/>
              <w:left w:w="80" w:type="dxa"/>
              <w:bottom w:w="70" w:type="dxa"/>
              <w:right w:w="80" w:type="dxa"/>
            </w:tcMar>
          </w:tcPr>
          <w:p>
            <w:r>
              <w:rPr>
                <w:sz w:val="15"/>
              </w:rPr>
              <w:t>B2B-01</w:t>
            </w:r>
          </w:p>
        </w:tc>
        <w:tc>
          <w:tcPr>
            <w:tcW w:type="dxa" w:w="1531"/>
            <w:tcMar>
              <w:top w:w="70" w:type="dxa"/>
              <w:left w:w="80" w:type="dxa"/>
              <w:bottom w:w="70" w:type="dxa"/>
              <w:right w:w="80" w:type="dxa"/>
            </w:tcMar>
          </w:tcPr>
          <w:p>
            <w:r>
              <w:rPr>
                <w:sz w:val="15"/>
              </w:rPr>
              <w:t>§10.38 B2B-01 Implementation Contract; §10/§14</w:t>
            </w:r>
          </w:p>
        </w:tc>
        <w:tc>
          <w:tcPr>
            <w:tcW w:type="dxa" w:w="1531"/>
            <w:tcMar>
              <w:top w:w="70" w:type="dxa"/>
              <w:left w:w="80" w:type="dxa"/>
              <w:bottom w:w="70" w:type="dxa"/>
              <w:right w:w="80" w:type="dxa"/>
            </w:tcMar>
          </w:tcPr>
          <w:p>
            <w:r>
              <w:rPr>
                <w:sz w:val="15"/>
              </w:rPr>
              <w:t>§27; INV-B2B-01; API/event contract tests; requirement B2B-01-R03</w:t>
            </w:r>
          </w:p>
        </w:tc>
        <w:tc>
          <w:tcPr>
            <w:tcW w:type="dxa" w:w="1531"/>
            <w:tcMar>
              <w:top w:w="70" w:type="dxa"/>
              <w:left w:w="80" w:type="dxa"/>
              <w:bottom w:w="70" w:type="dxa"/>
              <w:right w:w="80" w:type="dxa"/>
            </w:tcMar>
          </w:tcPr>
          <w:p>
            <w:r>
              <w:rPr>
                <w:sz w:val="15"/>
              </w:rPr>
              <w:t>§28; RB-B2B-01</w:t>
            </w:r>
          </w:p>
        </w:tc>
        <w:tc>
          <w:tcPr>
            <w:tcW w:type="dxa" w:w="1531"/>
            <w:tcMar>
              <w:top w:w="70" w:type="dxa"/>
              <w:left w:w="80" w:type="dxa"/>
              <w:bottom w:w="70" w:type="dxa"/>
              <w:right w:w="80" w:type="dxa"/>
            </w:tcMar>
          </w:tcPr>
          <w:p>
            <w:r>
              <w:rPr>
                <w:sz w:val="15"/>
              </w:rPr>
              <w:t>DEFERRED - Enterprise</w:t>
            </w:r>
          </w:p>
        </w:tc>
      </w:tr>
      <w:tr>
        <w:tc>
          <w:tcPr>
            <w:tcW w:type="dxa" w:w="1531"/>
            <w:tcMar>
              <w:top w:w="70" w:type="dxa"/>
              <w:left w:w="80" w:type="dxa"/>
              <w:bottom w:w="70" w:type="dxa"/>
              <w:right w:w="80" w:type="dxa"/>
            </w:tcMar>
          </w:tcPr>
          <w:p>
            <w:r>
              <w:rPr>
                <w:sz w:val="15"/>
              </w:rPr>
              <w:t>B2B-01-R04</w:t>
            </w:r>
          </w:p>
        </w:tc>
        <w:tc>
          <w:tcPr>
            <w:tcW w:type="dxa" w:w="1531"/>
            <w:tcMar>
              <w:top w:w="70" w:type="dxa"/>
              <w:left w:w="80" w:type="dxa"/>
              <w:bottom w:w="70" w:type="dxa"/>
              <w:right w:w="80" w:type="dxa"/>
            </w:tcMar>
          </w:tcPr>
          <w:p>
            <w:r>
              <w:rPr>
                <w:sz w:val="15"/>
              </w:rPr>
              <w:t>Corporate Memberships &amp; Employer Portal</w:t>
            </w:r>
          </w:p>
        </w:tc>
        <w:tc>
          <w:tcPr>
            <w:tcW w:type="dxa" w:w="1531"/>
            <w:tcMar>
              <w:top w:w="70" w:type="dxa"/>
              <w:left w:w="80" w:type="dxa"/>
              <w:bottom w:w="70" w:type="dxa"/>
              <w:right w:w="80" w:type="dxa"/>
            </w:tcMar>
          </w:tcPr>
          <w:p>
            <w:r>
              <w:rPr>
                <w:sz w:val="15"/>
              </w:rPr>
              <w:t>Joiner, mover and leaver synchronization with grace and conversion to personal membership.</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Enterprise</w:t>
            </w:r>
          </w:p>
        </w:tc>
        <w:tc>
          <w:tcPr>
            <w:tcW w:type="dxa" w:w="1531"/>
            <w:tcMar>
              <w:top w:w="70" w:type="dxa"/>
              <w:left w:w="80" w:type="dxa"/>
              <w:bottom w:w="70" w:type="dxa"/>
              <w:right w:w="80" w:type="dxa"/>
            </w:tcMar>
          </w:tcPr>
          <w:p>
            <w:r>
              <w:rPr>
                <w:sz w:val="15"/>
              </w:rPr>
              <w:t>B2B-01</w:t>
            </w:r>
          </w:p>
        </w:tc>
        <w:tc>
          <w:tcPr>
            <w:tcW w:type="dxa" w:w="1531"/>
            <w:tcMar>
              <w:top w:w="70" w:type="dxa"/>
              <w:left w:w="80" w:type="dxa"/>
              <w:bottom w:w="70" w:type="dxa"/>
              <w:right w:w="80" w:type="dxa"/>
            </w:tcMar>
          </w:tcPr>
          <w:p>
            <w:r>
              <w:rPr>
                <w:sz w:val="15"/>
              </w:rPr>
              <w:t>§10.38 B2B-01 Implementation Contract; §10/§14</w:t>
            </w:r>
          </w:p>
        </w:tc>
        <w:tc>
          <w:tcPr>
            <w:tcW w:type="dxa" w:w="1531"/>
            <w:tcMar>
              <w:top w:w="70" w:type="dxa"/>
              <w:left w:w="80" w:type="dxa"/>
              <w:bottom w:w="70" w:type="dxa"/>
              <w:right w:w="80" w:type="dxa"/>
            </w:tcMar>
          </w:tcPr>
          <w:p>
            <w:r>
              <w:rPr>
                <w:sz w:val="15"/>
              </w:rPr>
              <w:t>§27; INV-B2B-01; API/event contract tests; requirement B2B-01-R04</w:t>
            </w:r>
          </w:p>
        </w:tc>
        <w:tc>
          <w:tcPr>
            <w:tcW w:type="dxa" w:w="1531"/>
            <w:tcMar>
              <w:top w:w="70" w:type="dxa"/>
              <w:left w:w="80" w:type="dxa"/>
              <w:bottom w:w="70" w:type="dxa"/>
              <w:right w:w="80" w:type="dxa"/>
            </w:tcMar>
          </w:tcPr>
          <w:p>
            <w:r>
              <w:rPr>
                <w:sz w:val="15"/>
              </w:rPr>
              <w:t>§28; RB-B2B-01</w:t>
            </w:r>
          </w:p>
        </w:tc>
        <w:tc>
          <w:tcPr>
            <w:tcW w:type="dxa" w:w="1531"/>
            <w:tcMar>
              <w:top w:w="70" w:type="dxa"/>
              <w:left w:w="80" w:type="dxa"/>
              <w:bottom w:w="70" w:type="dxa"/>
              <w:right w:w="80" w:type="dxa"/>
            </w:tcMar>
          </w:tcPr>
          <w:p>
            <w:r>
              <w:rPr>
                <w:sz w:val="15"/>
              </w:rPr>
              <w:t>DEFERRED - Enterprise</w:t>
            </w:r>
          </w:p>
        </w:tc>
      </w:tr>
      <w:tr>
        <w:tc>
          <w:tcPr>
            <w:tcW w:type="dxa" w:w="1531"/>
            <w:tcMar>
              <w:top w:w="70" w:type="dxa"/>
              <w:left w:w="80" w:type="dxa"/>
              <w:bottom w:w="70" w:type="dxa"/>
              <w:right w:w="80" w:type="dxa"/>
            </w:tcMar>
          </w:tcPr>
          <w:p>
            <w:r>
              <w:rPr>
                <w:sz w:val="15"/>
              </w:rPr>
              <w:t>B2B-01-R05</w:t>
            </w:r>
          </w:p>
        </w:tc>
        <w:tc>
          <w:tcPr>
            <w:tcW w:type="dxa" w:w="1531"/>
            <w:tcMar>
              <w:top w:w="70" w:type="dxa"/>
              <w:left w:w="80" w:type="dxa"/>
              <w:bottom w:w="70" w:type="dxa"/>
              <w:right w:w="80" w:type="dxa"/>
            </w:tcMar>
          </w:tcPr>
          <w:p>
            <w:r>
              <w:rPr>
                <w:sz w:val="15"/>
              </w:rPr>
              <w:t>Corporate Memberships &amp; Employer Portal</w:t>
            </w:r>
          </w:p>
        </w:tc>
        <w:tc>
          <w:tcPr>
            <w:tcW w:type="dxa" w:w="1531"/>
            <w:tcMar>
              <w:top w:w="70" w:type="dxa"/>
              <w:left w:w="80" w:type="dxa"/>
              <w:bottom w:w="70" w:type="dxa"/>
              <w:right w:w="80" w:type="dxa"/>
            </w:tcMar>
          </w:tcPr>
          <w:p>
            <w:r>
              <w:rPr>
                <w:sz w:val="15"/>
              </w:rPr>
              <w:t>Consolidated invoice, employee copay, adjustments, credits and reconciliation.</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Enterprise</w:t>
            </w:r>
          </w:p>
        </w:tc>
        <w:tc>
          <w:tcPr>
            <w:tcW w:type="dxa" w:w="1531"/>
            <w:tcMar>
              <w:top w:w="70" w:type="dxa"/>
              <w:left w:w="80" w:type="dxa"/>
              <w:bottom w:w="70" w:type="dxa"/>
              <w:right w:w="80" w:type="dxa"/>
            </w:tcMar>
          </w:tcPr>
          <w:p>
            <w:r>
              <w:rPr>
                <w:sz w:val="15"/>
              </w:rPr>
              <w:t>B2B-01</w:t>
            </w:r>
          </w:p>
        </w:tc>
        <w:tc>
          <w:tcPr>
            <w:tcW w:type="dxa" w:w="1531"/>
            <w:tcMar>
              <w:top w:w="70" w:type="dxa"/>
              <w:left w:w="80" w:type="dxa"/>
              <w:bottom w:w="70" w:type="dxa"/>
              <w:right w:w="80" w:type="dxa"/>
            </w:tcMar>
          </w:tcPr>
          <w:p>
            <w:r>
              <w:rPr>
                <w:sz w:val="15"/>
              </w:rPr>
              <w:t>§10.38 B2B-01 Implementation Contract; §10/§14</w:t>
            </w:r>
          </w:p>
        </w:tc>
        <w:tc>
          <w:tcPr>
            <w:tcW w:type="dxa" w:w="1531"/>
            <w:tcMar>
              <w:top w:w="70" w:type="dxa"/>
              <w:left w:w="80" w:type="dxa"/>
              <w:bottom w:w="70" w:type="dxa"/>
              <w:right w:w="80" w:type="dxa"/>
            </w:tcMar>
          </w:tcPr>
          <w:p>
            <w:r>
              <w:rPr>
                <w:sz w:val="15"/>
              </w:rPr>
              <w:t>§27; INV-B2B-01; API/event contract tests; requirement B2B-01-R05</w:t>
            </w:r>
          </w:p>
        </w:tc>
        <w:tc>
          <w:tcPr>
            <w:tcW w:type="dxa" w:w="1531"/>
            <w:tcMar>
              <w:top w:w="70" w:type="dxa"/>
              <w:left w:w="80" w:type="dxa"/>
              <w:bottom w:w="70" w:type="dxa"/>
              <w:right w:w="80" w:type="dxa"/>
            </w:tcMar>
          </w:tcPr>
          <w:p>
            <w:r>
              <w:rPr>
                <w:sz w:val="15"/>
              </w:rPr>
              <w:t>§28; RB-B2B-01</w:t>
            </w:r>
          </w:p>
        </w:tc>
        <w:tc>
          <w:tcPr>
            <w:tcW w:type="dxa" w:w="1531"/>
            <w:tcMar>
              <w:top w:w="70" w:type="dxa"/>
              <w:left w:w="80" w:type="dxa"/>
              <w:bottom w:w="70" w:type="dxa"/>
              <w:right w:w="80" w:type="dxa"/>
            </w:tcMar>
          </w:tcPr>
          <w:p>
            <w:r>
              <w:rPr>
                <w:sz w:val="15"/>
              </w:rPr>
              <w:t>DEFERRED - Enterprise</w:t>
            </w:r>
          </w:p>
        </w:tc>
      </w:tr>
      <w:tr>
        <w:tc>
          <w:tcPr>
            <w:tcW w:type="dxa" w:w="1531"/>
            <w:tcMar>
              <w:top w:w="70" w:type="dxa"/>
              <w:left w:w="80" w:type="dxa"/>
              <w:bottom w:w="70" w:type="dxa"/>
              <w:right w:w="80" w:type="dxa"/>
            </w:tcMar>
          </w:tcPr>
          <w:p>
            <w:r>
              <w:rPr>
                <w:sz w:val="15"/>
              </w:rPr>
              <w:t>B2B-01-R06</w:t>
            </w:r>
          </w:p>
        </w:tc>
        <w:tc>
          <w:tcPr>
            <w:tcW w:type="dxa" w:w="1531"/>
            <w:tcMar>
              <w:top w:w="70" w:type="dxa"/>
              <w:left w:w="80" w:type="dxa"/>
              <w:bottom w:w="70" w:type="dxa"/>
              <w:right w:w="80" w:type="dxa"/>
            </w:tcMar>
          </w:tcPr>
          <w:p>
            <w:r>
              <w:rPr>
                <w:sz w:val="15"/>
              </w:rPr>
              <w:t>Corporate Memberships &amp; Employer Portal</w:t>
            </w:r>
          </w:p>
        </w:tc>
        <w:tc>
          <w:tcPr>
            <w:tcW w:type="dxa" w:w="1531"/>
            <w:tcMar>
              <w:top w:w="70" w:type="dxa"/>
              <w:left w:w="80" w:type="dxa"/>
              <w:bottom w:w="70" w:type="dxa"/>
              <w:right w:w="80" w:type="dxa"/>
            </w:tcMar>
          </w:tcPr>
          <w:p>
            <w:r>
              <w:rPr>
                <w:sz w:val="15"/>
              </w:rPr>
              <w:t>Privacy-preserving aggregate utilization, engagement, attendance and program-outcome reporting.</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Enterprise</w:t>
            </w:r>
          </w:p>
        </w:tc>
        <w:tc>
          <w:tcPr>
            <w:tcW w:type="dxa" w:w="1531"/>
            <w:tcMar>
              <w:top w:w="70" w:type="dxa"/>
              <w:left w:w="80" w:type="dxa"/>
              <w:bottom w:w="70" w:type="dxa"/>
              <w:right w:w="80" w:type="dxa"/>
            </w:tcMar>
          </w:tcPr>
          <w:p>
            <w:r>
              <w:rPr>
                <w:sz w:val="15"/>
              </w:rPr>
              <w:t>B2B-01</w:t>
            </w:r>
          </w:p>
        </w:tc>
        <w:tc>
          <w:tcPr>
            <w:tcW w:type="dxa" w:w="1531"/>
            <w:tcMar>
              <w:top w:w="70" w:type="dxa"/>
              <w:left w:w="80" w:type="dxa"/>
              <w:bottom w:w="70" w:type="dxa"/>
              <w:right w:w="80" w:type="dxa"/>
            </w:tcMar>
          </w:tcPr>
          <w:p>
            <w:r>
              <w:rPr>
                <w:sz w:val="15"/>
              </w:rPr>
              <w:t>§10.38 B2B-01 Implementation Contract; §10/§14</w:t>
            </w:r>
          </w:p>
        </w:tc>
        <w:tc>
          <w:tcPr>
            <w:tcW w:type="dxa" w:w="1531"/>
            <w:tcMar>
              <w:top w:w="70" w:type="dxa"/>
              <w:left w:w="80" w:type="dxa"/>
              <w:bottom w:w="70" w:type="dxa"/>
              <w:right w:w="80" w:type="dxa"/>
            </w:tcMar>
          </w:tcPr>
          <w:p>
            <w:r>
              <w:rPr>
                <w:sz w:val="15"/>
              </w:rPr>
              <w:t>§27; INV-B2B-01; API/event contract tests; requirement B2B-01-R06</w:t>
            </w:r>
          </w:p>
        </w:tc>
        <w:tc>
          <w:tcPr>
            <w:tcW w:type="dxa" w:w="1531"/>
            <w:tcMar>
              <w:top w:w="70" w:type="dxa"/>
              <w:left w:w="80" w:type="dxa"/>
              <w:bottom w:w="70" w:type="dxa"/>
              <w:right w:w="80" w:type="dxa"/>
            </w:tcMar>
          </w:tcPr>
          <w:p>
            <w:r>
              <w:rPr>
                <w:sz w:val="15"/>
              </w:rPr>
              <w:t>§28; RB-B2B-01</w:t>
            </w:r>
          </w:p>
        </w:tc>
        <w:tc>
          <w:tcPr>
            <w:tcW w:type="dxa" w:w="1531"/>
            <w:tcMar>
              <w:top w:w="70" w:type="dxa"/>
              <w:left w:w="80" w:type="dxa"/>
              <w:bottom w:w="70" w:type="dxa"/>
              <w:right w:w="80" w:type="dxa"/>
            </w:tcMar>
          </w:tcPr>
          <w:p>
            <w:r>
              <w:rPr>
                <w:sz w:val="15"/>
              </w:rPr>
              <w:t>DEFERRED - Enterprise</w:t>
            </w:r>
          </w:p>
        </w:tc>
      </w:tr>
      <w:tr>
        <w:tc>
          <w:tcPr>
            <w:tcW w:type="dxa" w:w="1531"/>
            <w:tcMar>
              <w:top w:w="70" w:type="dxa"/>
              <w:left w:w="80" w:type="dxa"/>
              <w:bottom w:w="70" w:type="dxa"/>
              <w:right w:w="80" w:type="dxa"/>
            </w:tcMar>
          </w:tcPr>
          <w:p>
            <w:r>
              <w:rPr>
                <w:sz w:val="15"/>
              </w:rPr>
              <w:t>B2B-01-R07</w:t>
            </w:r>
          </w:p>
        </w:tc>
        <w:tc>
          <w:tcPr>
            <w:tcW w:type="dxa" w:w="1531"/>
            <w:tcMar>
              <w:top w:w="70" w:type="dxa"/>
              <w:left w:w="80" w:type="dxa"/>
              <w:bottom w:w="70" w:type="dxa"/>
              <w:right w:w="80" w:type="dxa"/>
            </w:tcMar>
          </w:tcPr>
          <w:p>
            <w:r>
              <w:rPr>
                <w:sz w:val="15"/>
              </w:rPr>
              <w:t>Corporate Memberships &amp; Employer Portal</w:t>
            </w:r>
          </w:p>
        </w:tc>
        <w:tc>
          <w:tcPr>
            <w:tcW w:type="dxa" w:w="1531"/>
            <w:tcMar>
              <w:top w:w="70" w:type="dxa"/>
              <w:left w:w="80" w:type="dxa"/>
              <w:bottom w:w="70" w:type="dxa"/>
              <w:right w:w="80" w:type="dxa"/>
            </w:tcMar>
          </w:tcPr>
          <w:p>
            <w:r>
              <w:rPr>
                <w:sz w:val="15"/>
              </w:rPr>
              <w:t>Corporate challenges, events, communications and support contacts.</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Enterprise</w:t>
            </w:r>
          </w:p>
        </w:tc>
        <w:tc>
          <w:tcPr>
            <w:tcW w:type="dxa" w:w="1531"/>
            <w:tcMar>
              <w:top w:w="70" w:type="dxa"/>
              <w:left w:w="80" w:type="dxa"/>
              <w:bottom w:w="70" w:type="dxa"/>
              <w:right w:w="80" w:type="dxa"/>
            </w:tcMar>
          </w:tcPr>
          <w:p>
            <w:r>
              <w:rPr>
                <w:sz w:val="15"/>
              </w:rPr>
              <w:t>B2B-01</w:t>
            </w:r>
          </w:p>
        </w:tc>
        <w:tc>
          <w:tcPr>
            <w:tcW w:type="dxa" w:w="1531"/>
            <w:tcMar>
              <w:top w:w="70" w:type="dxa"/>
              <w:left w:w="80" w:type="dxa"/>
              <w:bottom w:w="70" w:type="dxa"/>
              <w:right w:w="80" w:type="dxa"/>
            </w:tcMar>
          </w:tcPr>
          <w:p>
            <w:r>
              <w:rPr>
                <w:sz w:val="15"/>
              </w:rPr>
              <w:t>§10.38 B2B-01 Implementation Contract; §10/§14</w:t>
            </w:r>
          </w:p>
        </w:tc>
        <w:tc>
          <w:tcPr>
            <w:tcW w:type="dxa" w:w="1531"/>
            <w:tcMar>
              <w:top w:w="70" w:type="dxa"/>
              <w:left w:w="80" w:type="dxa"/>
              <w:bottom w:w="70" w:type="dxa"/>
              <w:right w:w="80" w:type="dxa"/>
            </w:tcMar>
          </w:tcPr>
          <w:p>
            <w:r>
              <w:rPr>
                <w:sz w:val="15"/>
              </w:rPr>
              <w:t>§27; INV-B2B-01; API/event contract tests; requirement B2B-01-R07</w:t>
            </w:r>
          </w:p>
        </w:tc>
        <w:tc>
          <w:tcPr>
            <w:tcW w:type="dxa" w:w="1531"/>
            <w:tcMar>
              <w:top w:w="70" w:type="dxa"/>
              <w:left w:w="80" w:type="dxa"/>
              <w:bottom w:w="70" w:type="dxa"/>
              <w:right w:w="80" w:type="dxa"/>
            </w:tcMar>
          </w:tcPr>
          <w:p>
            <w:r>
              <w:rPr>
                <w:sz w:val="15"/>
              </w:rPr>
              <w:t>§28; RB-B2B-01</w:t>
            </w:r>
          </w:p>
        </w:tc>
        <w:tc>
          <w:tcPr>
            <w:tcW w:type="dxa" w:w="1531"/>
            <w:tcMar>
              <w:top w:w="70" w:type="dxa"/>
              <w:left w:w="80" w:type="dxa"/>
              <w:bottom w:w="70" w:type="dxa"/>
              <w:right w:w="80" w:type="dxa"/>
            </w:tcMar>
          </w:tcPr>
          <w:p>
            <w:r>
              <w:rPr>
                <w:sz w:val="15"/>
              </w:rPr>
              <w:t>DEFERRED - Enterprise</w:t>
            </w:r>
          </w:p>
        </w:tc>
      </w:tr>
      <w:tr>
        <w:tc>
          <w:tcPr>
            <w:tcW w:type="dxa" w:w="1531"/>
            <w:tcMar>
              <w:top w:w="70" w:type="dxa"/>
              <w:left w:w="80" w:type="dxa"/>
              <w:bottom w:w="70" w:type="dxa"/>
              <w:right w:w="80" w:type="dxa"/>
            </w:tcMar>
          </w:tcPr>
          <w:p>
            <w:r>
              <w:rPr>
                <w:sz w:val="15"/>
              </w:rPr>
              <w:t>B2B-02-R01</w:t>
            </w:r>
          </w:p>
        </w:tc>
        <w:tc>
          <w:tcPr>
            <w:tcW w:type="dxa" w:w="1531"/>
            <w:tcMar>
              <w:top w:w="70" w:type="dxa"/>
              <w:left w:w="80" w:type="dxa"/>
              <w:bottom w:w="70" w:type="dxa"/>
              <w:right w:w="80" w:type="dxa"/>
            </w:tcMar>
          </w:tcPr>
          <w:p>
            <w:r>
              <w:rPr>
                <w:sz w:val="15"/>
              </w:rPr>
              <w:t>Franchise, Multi-brand &amp; Chain Command Center</w:t>
            </w:r>
          </w:p>
        </w:tc>
        <w:tc>
          <w:tcPr>
            <w:tcW w:type="dxa" w:w="1531"/>
            <w:tcMar>
              <w:top w:w="70" w:type="dxa"/>
              <w:left w:w="80" w:type="dxa"/>
              <w:bottom w:w="70" w:type="dxa"/>
              <w:right w:w="80" w:type="dxa"/>
            </w:tcMar>
          </w:tcPr>
          <w:p>
            <w:r>
              <w:rPr>
                <w:sz w:val="15"/>
              </w:rPr>
              <w:t>Hierarchy for holding company, brand, franchisee, region, location and department.</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Enterprise</w:t>
            </w:r>
          </w:p>
        </w:tc>
        <w:tc>
          <w:tcPr>
            <w:tcW w:type="dxa" w:w="1531"/>
            <w:tcMar>
              <w:top w:w="70" w:type="dxa"/>
              <w:left w:w="80" w:type="dxa"/>
              <w:bottom w:w="70" w:type="dxa"/>
              <w:right w:w="80" w:type="dxa"/>
            </w:tcMar>
          </w:tcPr>
          <w:p>
            <w:r>
              <w:rPr>
                <w:sz w:val="15"/>
              </w:rPr>
              <w:t>B2B-02</w:t>
            </w:r>
          </w:p>
        </w:tc>
        <w:tc>
          <w:tcPr>
            <w:tcW w:type="dxa" w:w="1531"/>
            <w:tcMar>
              <w:top w:w="70" w:type="dxa"/>
              <w:left w:w="80" w:type="dxa"/>
              <w:bottom w:w="70" w:type="dxa"/>
              <w:right w:w="80" w:type="dxa"/>
            </w:tcMar>
          </w:tcPr>
          <w:p>
            <w:r>
              <w:rPr>
                <w:sz w:val="15"/>
              </w:rPr>
              <w:t>§10.39 B2B-02 Implementation Contract; §10/§14</w:t>
            </w:r>
          </w:p>
        </w:tc>
        <w:tc>
          <w:tcPr>
            <w:tcW w:type="dxa" w:w="1531"/>
            <w:tcMar>
              <w:top w:w="70" w:type="dxa"/>
              <w:left w:w="80" w:type="dxa"/>
              <w:bottom w:w="70" w:type="dxa"/>
              <w:right w:w="80" w:type="dxa"/>
            </w:tcMar>
          </w:tcPr>
          <w:p>
            <w:r>
              <w:rPr>
                <w:sz w:val="15"/>
              </w:rPr>
              <w:t>§27; INV-B2B-02; API/event contract tests; requirement B2B-02-R01</w:t>
            </w:r>
          </w:p>
        </w:tc>
        <w:tc>
          <w:tcPr>
            <w:tcW w:type="dxa" w:w="1531"/>
            <w:tcMar>
              <w:top w:w="70" w:type="dxa"/>
              <w:left w:w="80" w:type="dxa"/>
              <w:bottom w:w="70" w:type="dxa"/>
              <w:right w:w="80" w:type="dxa"/>
            </w:tcMar>
          </w:tcPr>
          <w:p>
            <w:r>
              <w:rPr>
                <w:sz w:val="15"/>
              </w:rPr>
              <w:t>§28; RB-B2B-02</w:t>
            </w:r>
          </w:p>
        </w:tc>
        <w:tc>
          <w:tcPr>
            <w:tcW w:type="dxa" w:w="1531"/>
            <w:tcMar>
              <w:top w:w="70" w:type="dxa"/>
              <w:left w:w="80" w:type="dxa"/>
              <w:bottom w:w="70" w:type="dxa"/>
              <w:right w:w="80" w:type="dxa"/>
            </w:tcMar>
          </w:tcPr>
          <w:p>
            <w:r>
              <w:rPr>
                <w:sz w:val="15"/>
              </w:rPr>
              <w:t>DEFERRED - Enterprise</w:t>
            </w:r>
          </w:p>
        </w:tc>
      </w:tr>
      <w:tr>
        <w:tc>
          <w:tcPr>
            <w:tcW w:type="dxa" w:w="1531"/>
            <w:tcMar>
              <w:top w:w="70" w:type="dxa"/>
              <w:left w:w="80" w:type="dxa"/>
              <w:bottom w:w="70" w:type="dxa"/>
              <w:right w:w="80" w:type="dxa"/>
            </w:tcMar>
          </w:tcPr>
          <w:p>
            <w:r>
              <w:rPr>
                <w:sz w:val="15"/>
              </w:rPr>
              <w:t>B2B-02-R02</w:t>
            </w:r>
          </w:p>
        </w:tc>
        <w:tc>
          <w:tcPr>
            <w:tcW w:type="dxa" w:w="1531"/>
            <w:tcMar>
              <w:top w:w="70" w:type="dxa"/>
              <w:left w:w="80" w:type="dxa"/>
              <w:bottom w:w="70" w:type="dxa"/>
              <w:right w:w="80" w:type="dxa"/>
            </w:tcMar>
          </w:tcPr>
          <w:p>
            <w:r>
              <w:rPr>
                <w:sz w:val="15"/>
              </w:rPr>
              <w:t>Franchise, Multi-brand &amp; Chain Command Center</w:t>
            </w:r>
          </w:p>
        </w:tc>
        <w:tc>
          <w:tcPr>
            <w:tcW w:type="dxa" w:w="1531"/>
            <w:tcMar>
              <w:top w:w="70" w:type="dxa"/>
              <w:left w:w="80" w:type="dxa"/>
              <w:bottom w:w="70" w:type="dxa"/>
              <w:right w:w="80" w:type="dxa"/>
            </w:tcMar>
          </w:tcPr>
          <w:p>
            <w:r>
              <w:rPr>
                <w:sz w:val="15"/>
              </w:rPr>
              <w:t>Central standards with inherited/local overrides for catalog, pricing, membership, brand, access and operations.</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Enterprise</w:t>
            </w:r>
          </w:p>
        </w:tc>
        <w:tc>
          <w:tcPr>
            <w:tcW w:type="dxa" w:w="1531"/>
            <w:tcMar>
              <w:top w:w="70" w:type="dxa"/>
              <w:left w:w="80" w:type="dxa"/>
              <w:bottom w:w="70" w:type="dxa"/>
              <w:right w:w="80" w:type="dxa"/>
            </w:tcMar>
          </w:tcPr>
          <w:p>
            <w:r>
              <w:rPr>
                <w:sz w:val="15"/>
              </w:rPr>
              <w:t>B2B-02</w:t>
            </w:r>
          </w:p>
        </w:tc>
        <w:tc>
          <w:tcPr>
            <w:tcW w:type="dxa" w:w="1531"/>
            <w:tcMar>
              <w:top w:w="70" w:type="dxa"/>
              <w:left w:w="80" w:type="dxa"/>
              <w:bottom w:w="70" w:type="dxa"/>
              <w:right w:w="80" w:type="dxa"/>
            </w:tcMar>
          </w:tcPr>
          <w:p>
            <w:r>
              <w:rPr>
                <w:sz w:val="15"/>
              </w:rPr>
              <w:t>§10.39 B2B-02 Implementation Contract; §10/§14</w:t>
            </w:r>
          </w:p>
        </w:tc>
        <w:tc>
          <w:tcPr>
            <w:tcW w:type="dxa" w:w="1531"/>
            <w:tcMar>
              <w:top w:w="70" w:type="dxa"/>
              <w:left w:w="80" w:type="dxa"/>
              <w:bottom w:w="70" w:type="dxa"/>
              <w:right w:w="80" w:type="dxa"/>
            </w:tcMar>
          </w:tcPr>
          <w:p>
            <w:r>
              <w:rPr>
                <w:sz w:val="15"/>
              </w:rPr>
              <w:t>§27; INV-B2B-02; API/event contract tests; requirement B2B-02-R02</w:t>
            </w:r>
          </w:p>
        </w:tc>
        <w:tc>
          <w:tcPr>
            <w:tcW w:type="dxa" w:w="1531"/>
            <w:tcMar>
              <w:top w:w="70" w:type="dxa"/>
              <w:left w:w="80" w:type="dxa"/>
              <w:bottom w:w="70" w:type="dxa"/>
              <w:right w:w="80" w:type="dxa"/>
            </w:tcMar>
          </w:tcPr>
          <w:p>
            <w:r>
              <w:rPr>
                <w:sz w:val="15"/>
              </w:rPr>
              <w:t>§28; RB-B2B-02</w:t>
            </w:r>
          </w:p>
        </w:tc>
        <w:tc>
          <w:tcPr>
            <w:tcW w:type="dxa" w:w="1531"/>
            <w:tcMar>
              <w:top w:w="70" w:type="dxa"/>
              <w:left w:w="80" w:type="dxa"/>
              <w:bottom w:w="70" w:type="dxa"/>
              <w:right w:w="80" w:type="dxa"/>
            </w:tcMar>
          </w:tcPr>
          <w:p>
            <w:r>
              <w:rPr>
                <w:sz w:val="15"/>
              </w:rPr>
              <w:t>DEFERRED - Enterprise</w:t>
            </w:r>
          </w:p>
        </w:tc>
      </w:tr>
      <w:tr>
        <w:tc>
          <w:tcPr>
            <w:tcW w:type="dxa" w:w="1531"/>
            <w:tcMar>
              <w:top w:w="70" w:type="dxa"/>
              <w:left w:w="80" w:type="dxa"/>
              <w:bottom w:w="70" w:type="dxa"/>
              <w:right w:w="80" w:type="dxa"/>
            </w:tcMar>
          </w:tcPr>
          <w:p>
            <w:r>
              <w:rPr>
                <w:sz w:val="15"/>
              </w:rPr>
              <w:t>B2B-02-R03</w:t>
            </w:r>
          </w:p>
        </w:tc>
        <w:tc>
          <w:tcPr>
            <w:tcW w:type="dxa" w:w="1531"/>
            <w:tcMar>
              <w:top w:w="70" w:type="dxa"/>
              <w:left w:w="80" w:type="dxa"/>
              <w:bottom w:w="70" w:type="dxa"/>
              <w:right w:w="80" w:type="dxa"/>
            </w:tcMar>
          </w:tcPr>
          <w:p>
            <w:r>
              <w:rPr>
                <w:sz w:val="15"/>
              </w:rPr>
              <w:t>Franchise, Multi-brand &amp; Chain Command Center</w:t>
            </w:r>
          </w:p>
        </w:tc>
        <w:tc>
          <w:tcPr>
            <w:tcW w:type="dxa" w:w="1531"/>
            <w:tcMar>
              <w:top w:w="70" w:type="dxa"/>
              <w:left w:w="80" w:type="dxa"/>
              <w:bottom w:w="70" w:type="dxa"/>
              <w:right w:w="80" w:type="dxa"/>
            </w:tcMar>
          </w:tcPr>
          <w:p>
            <w:r>
              <w:rPr>
                <w:sz w:val="15"/>
              </w:rPr>
              <w:t>Cross-location member access, home club, revenue attribution, transfer and data ownership policy.</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Enterprise</w:t>
            </w:r>
          </w:p>
        </w:tc>
        <w:tc>
          <w:tcPr>
            <w:tcW w:type="dxa" w:w="1531"/>
            <w:tcMar>
              <w:top w:w="70" w:type="dxa"/>
              <w:left w:w="80" w:type="dxa"/>
              <w:bottom w:w="70" w:type="dxa"/>
              <w:right w:w="80" w:type="dxa"/>
            </w:tcMar>
          </w:tcPr>
          <w:p>
            <w:r>
              <w:rPr>
                <w:sz w:val="15"/>
              </w:rPr>
              <w:t>B2B-02</w:t>
            </w:r>
          </w:p>
        </w:tc>
        <w:tc>
          <w:tcPr>
            <w:tcW w:type="dxa" w:w="1531"/>
            <w:tcMar>
              <w:top w:w="70" w:type="dxa"/>
              <w:left w:w="80" w:type="dxa"/>
              <w:bottom w:w="70" w:type="dxa"/>
              <w:right w:w="80" w:type="dxa"/>
            </w:tcMar>
          </w:tcPr>
          <w:p>
            <w:r>
              <w:rPr>
                <w:sz w:val="15"/>
              </w:rPr>
              <w:t>§10.39 B2B-02 Implementation Contract; §10/§14</w:t>
            </w:r>
          </w:p>
        </w:tc>
        <w:tc>
          <w:tcPr>
            <w:tcW w:type="dxa" w:w="1531"/>
            <w:tcMar>
              <w:top w:w="70" w:type="dxa"/>
              <w:left w:w="80" w:type="dxa"/>
              <w:bottom w:w="70" w:type="dxa"/>
              <w:right w:w="80" w:type="dxa"/>
            </w:tcMar>
          </w:tcPr>
          <w:p>
            <w:r>
              <w:rPr>
                <w:sz w:val="15"/>
              </w:rPr>
              <w:t>§27; INV-B2B-02; API/event contract tests; requirement B2B-02-R03</w:t>
            </w:r>
          </w:p>
        </w:tc>
        <w:tc>
          <w:tcPr>
            <w:tcW w:type="dxa" w:w="1531"/>
            <w:tcMar>
              <w:top w:w="70" w:type="dxa"/>
              <w:left w:w="80" w:type="dxa"/>
              <w:bottom w:w="70" w:type="dxa"/>
              <w:right w:w="80" w:type="dxa"/>
            </w:tcMar>
          </w:tcPr>
          <w:p>
            <w:r>
              <w:rPr>
                <w:sz w:val="15"/>
              </w:rPr>
              <w:t>§28; RB-B2B-02</w:t>
            </w:r>
          </w:p>
        </w:tc>
        <w:tc>
          <w:tcPr>
            <w:tcW w:type="dxa" w:w="1531"/>
            <w:tcMar>
              <w:top w:w="70" w:type="dxa"/>
              <w:left w:w="80" w:type="dxa"/>
              <w:bottom w:w="70" w:type="dxa"/>
              <w:right w:w="80" w:type="dxa"/>
            </w:tcMar>
          </w:tcPr>
          <w:p>
            <w:r>
              <w:rPr>
                <w:sz w:val="15"/>
              </w:rPr>
              <w:t>DEFERRED - Enterprise</w:t>
            </w:r>
          </w:p>
        </w:tc>
      </w:tr>
      <w:tr>
        <w:tc>
          <w:tcPr>
            <w:tcW w:type="dxa" w:w="1531"/>
            <w:tcMar>
              <w:top w:w="70" w:type="dxa"/>
              <w:left w:w="80" w:type="dxa"/>
              <w:bottom w:w="70" w:type="dxa"/>
              <w:right w:w="80" w:type="dxa"/>
            </w:tcMar>
          </w:tcPr>
          <w:p>
            <w:r>
              <w:rPr>
                <w:sz w:val="15"/>
              </w:rPr>
              <w:t>B2B-02-R04</w:t>
            </w:r>
          </w:p>
        </w:tc>
        <w:tc>
          <w:tcPr>
            <w:tcW w:type="dxa" w:w="1531"/>
            <w:tcMar>
              <w:top w:w="70" w:type="dxa"/>
              <w:left w:w="80" w:type="dxa"/>
              <w:bottom w:w="70" w:type="dxa"/>
              <w:right w:w="80" w:type="dxa"/>
            </w:tcMar>
          </w:tcPr>
          <w:p>
            <w:r>
              <w:rPr>
                <w:sz w:val="15"/>
              </w:rPr>
              <w:t>Franchise, Multi-brand &amp; Chain Command Center</w:t>
            </w:r>
          </w:p>
        </w:tc>
        <w:tc>
          <w:tcPr>
            <w:tcW w:type="dxa" w:w="1531"/>
            <w:tcMar>
              <w:top w:w="70" w:type="dxa"/>
              <w:left w:w="80" w:type="dxa"/>
              <w:bottom w:w="70" w:type="dxa"/>
              <w:right w:w="80" w:type="dxa"/>
            </w:tcMar>
          </w:tcPr>
          <w:p>
            <w:r>
              <w:rPr>
                <w:sz w:val="15"/>
              </w:rPr>
              <w:t>Comparable scorecards and exception queues for revenue, churn, conversion, NPS, staffing, maintenance and compliance.</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Enterprise</w:t>
            </w:r>
          </w:p>
        </w:tc>
        <w:tc>
          <w:tcPr>
            <w:tcW w:type="dxa" w:w="1531"/>
            <w:tcMar>
              <w:top w:w="70" w:type="dxa"/>
              <w:left w:w="80" w:type="dxa"/>
              <w:bottom w:w="70" w:type="dxa"/>
              <w:right w:w="80" w:type="dxa"/>
            </w:tcMar>
          </w:tcPr>
          <w:p>
            <w:r>
              <w:rPr>
                <w:sz w:val="15"/>
              </w:rPr>
              <w:t>B2B-02</w:t>
            </w:r>
          </w:p>
        </w:tc>
        <w:tc>
          <w:tcPr>
            <w:tcW w:type="dxa" w:w="1531"/>
            <w:tcMar>
              <w:top w:w="70" w:type="dxa"/>
              <w:left w:w="80" w:type="dxa"/>
              <w:bottom w:w="70" w:type="dxa"/>
              <w:right w:w="80" w:type="dxa"/>
            </w:tcMar>
          </w:tcPr>
          <w:p>
            <w:r>
              <w:rPr>
                <w:sz w:val="15"/>
              </w:rPr>
              <w:t>§10.39 B2B-02 Implementation Contract; §10/§14</w:t>
            </w:r>
          </w:p>
        </w:tc>
        <w:tc>
          <w:tcPr>
            <w:tcW w:type="dxa" w:w="1531"/>
            <w:tcMar>
              <w:top w:w="70" w:type="dxa"/>
              <w:left w:w="80" w:type="dxa"/>
              <w:bottom w:w="70" w:type="dxa"/>
              <w:right w:w="80" w:type="dxa"/>
            </w:tcMar>
          </w:tcPr>
          <w:p>
            <w:r>
              <w:rPr>
                <w:sz w:val="15"/>
              </w:rPr>
              <w:t>§27; INV-B2B-02; API/event contract tests; requirement B2B-02-R04</w:t>
            </w:r>
          </w:p>
        </w:tc>
        <w:tc>
          <w:tcPr>
            <w:tcW w:type="dxa" w:w="1531"/>
            <w:tcMar>
              <w:top w:w="70" w:type="dxa"/>
              <w:left w:w="80" w:type="dxa"/>
              <w:bottom w:w="70" w:type="dxa"/>
              <w:right w:w="80" w:type="dxa"/>
            </w:tcMar>
          </w:tcPr>
          <w:p>
            <w:r>
              <w:rPr>
                <w:sz w:val="15"/>
              </w:rPr>
              <w:t>§28; RB-B2B-02</w:t>
            </w:r>
          </w:p>
        </w:tc>
        <w:tc>
          <w:tcPr>
            <w:tcW w:type="dxa" w:w="1531"/>
            <w:tcMar>
              <w:top w:w="70" w:type="dxa"/>
              <w:left w:w="80" w:type="dxa"/>
              <w:bottom w:w="70" w:type="dxa"/>
              <w:right w:w="80" w:type="dxa"/>
            </w:tcMar>
          </w:tcPr>
          <w:p>
            <w:r>
              <w:rPr>
                <w:sz w:val="15"/>
              </w:rPr>
              <w:t>DEFERRED - Enterprise</w:t>
            </w:r>
          </w:p>
        </w:tc>
      </w:tr>
      <w:tr>
        <w:tc>
          <w:tcPr>
            <w:tcW w:type="dxa" w:w="1531"/>
            <w:tcMar>
              <w:top w:w="70" w:type="dxa"/>
              <w:left w:w="80" w:type="dxa"/>
              <w:bottom w:w="70" w:type="dxa"/>
              <w:right w:w="80" w:type="dxa"/>
            </w:tcMar>
          </w:tcPr>
          <w:p>
            <w:r>
              <w:rPr>
                <w:sz w:val="15"/>
              </w:rPr>
              <w:t>B2B-02-R05</w:t>
            </w:r>
          </w:p>
        </w:tc>
        <w:tc>
          <w:tcPr>
            <w:tcW w:type="dxa" w:w="1531"/>
            <w:tcMar>
              <w:top w:w="70" w:type="dxa"/>
              <w:left w:w="80" w:type="dxa"/>
              <w:bottom w:w="70" w:type="dxa"/>
              <w:right w:w="80" w:type="dxa"/>
            </w:tcMar>
          </w:tcPr>
          <w:p>
            <w:r>
              <w:rPr>
                <w:sz w:val="15"/>
              </w:rPr>
              <w:t>Franchise, Multi-brand &amp; Chain Command Center</w:t>
            </w:r>
          </w:p>
        </w:tc>
        <w:tc>
          <w:tcPr>
            <w:tcW w:type="dxa" w:w="1531"/>
            <w:tcMar>
              <w:top w:w="70" w:type="dxa"/>
              <w:left w:w="80" w:type="dxa"/>
              <w:bottom w:w="70" w:type="dxa"/>
              <w:right w:w="80" w:type="dxa"/>
            </w:tcMar>
          </w:tcPr>
          <w:p>
            <w:r>
              <w:rPr>
                <w:sz w:val="15"/>
              </w:rPr>
              <w:t>Franchise royalty, marketing fund, shared services, intercompany allocation and settlement exports.</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Enterprise</w:t>
            </w:r>
          </w:p>
        </w:tc>
        <w:tc>
          <w:tcPr>
            <w:tcW w:type="dxa" w:w="1531"/>
            <w:tcMar>
              <w:top w:w="70" w:type="dxa"/>
              <w:left w:w="80" w:type="dxa"/>
              <w:bottom w:w="70" w:type="dxa"/>
              <w:right w:w="80" w:type="dxa"/>
            </w:tcMar>
          </w:tcPr>
          <w:p>
            <w:r>
              <w:rPr>
                <w:sz w:val="15"/>
              </w:rPr>
              <w:t>B2B-02</w:t>
            </w:r>
          </w:p>
        </w:tc>
        <w:tc>
          <w:tcPr>
            <w:tcW w:type="dxa" w:w="1531"/>
            <w:tcMar>
              <w:top w:w="70" w:type="dxa"/>
              <w:left w:w="80" w:type="dxa"/>
              <w:bottom w:w="70" w:type="dxa"/>
              <w:right w:w="80" w:type="dxa"/>
            </w:tcMar>
          </w:tcPr>
          <w:p>
            <w:r>
              <w:rPr>
                <w:sz w:val="15"/>
              </w:rPr>
              <w:t>§10.39 B2B-02 Implementation Contract; §10/§14</w:t>
            </w:r>
          </w:p>
        </w:tc>
        <w:tc>
          <w:tcPr>
            <w:tcW w:type="dxa" w:w="1531"/>
            <w:tcMar>
              <w:top w:w="70" w:type="dxa"/>
              <w:left w:w="80" w:type="dxa"/>
              <w:bottom w:w="70" w:type="dxa"/>
              <w:right w:w="80" w:type="dxa"/>
            </w:tcMar>
          </w:tcPr>
          <w:p>
            <w:r>
              <w:rPr>
                <w:sz w:val="15"/>
              </w:rPr>
              <w:t>§27; INV-B2B-02; API/event contract tests; requirement B2B-02-R05</w:t>
            </w:r>
          </w:p>
        </w:tc>
        <w:tc>
          <w:tcPr>
            <w:tcW w:type="dxa" w:w="1531"/>
            <w:tcMar>
              <w:top w:w="70" w:type="dxa"/>
              <w:left w:w="80" w:type="dxa"/>
              <w:bottom w:w="70" w:type="dxa"/>
              <w:right w:w="80" w:type="dxa"/>
            </w:tcMar>
          </w:tcPr>
          <w:p>
            <w:r>
              <w:rPr>
                <w:sz w:val="15"/>
              </w:rPr>
              <w:t>§28; RB-B2B-02</w:t>
            </w:r>
          </w:p>
        </w:tc>
        <w:tc>
          <w:tcPr>
            <w:tcW w:type="dxa" w:w="1531"/>
            <w:tcMar>
              <w:top w:w="70" w:type="dxa"/>
              <w:left w:w="80" w:type="dxa"/>
              <w:bottom w:w="70" w:type="dxa"/>
              <w:right w:w="80" w:type="dxa"/>
            </w:tcMar>
          </w:tcPr>
          <w:p>
            <w:r>
              <w:rPr>
                <w:sz w:val="15"/>
              </w:rPr>
              <w:t>DEFERRED - Enterprise</w:t>
            </w:r>
          </w:p>
        </w:tc>
      </w:tr>
      <w:tr>
        <w:tc>
          <w:tcPr>
            <w:tcW w:type="dxa" w:w="1531"/>
            <w:tcMar>
              <w:top w:w="70" w:type="dxa"/>
              <w:left w:w="80" w:type="dxa"/>
              <w:bottom w:w="70" w:type="dxa"/>
              <w:right w:w="80" w:type="dxa"/>
            </w:tcMar>
          </w:tcPr>
          <w:p>
            <w:r>
              <w:rPr>
                <w:sz w:val="15"/>
              </w:rPr>
              <w:t>B2B-02-R06</w:t>
            </w:r>
          </w:p>
        </w:tc>
        <w:tc>
          <w:tcPr>
            <w:tcW w:type="dxa" w:w="1531"/>
            <w:tcMar>
              <w:top w:w="70" w:type="dxa"/>
              <w:left w:w="80" w:type="dxa"/>
              <w:bottom w:w="70" w:type="dxa"/>
              <w:right w:w="80" w:type="dxa"/>
            </w:tcMar>
          </w:tcPr>
          <w:p>
            <w:r>
              <w:rPr>
                <w:sz w:val="15"/>
              </w:rPr>
              <w:t>Franchise, Multi-brand &amp; Chain Command Center</w:t>
            </w:r>
          </w:p>
        </w:tc>
        <w:tc>
          <w:tcPr>
            <w:tcW w:type="dxa" w:w="1531"/>
            <w:tcMar>
              <w:top w:w="70" w:type="dxa"/>
              <w:left w:w="80" w:type="dxa"/>
              <w:bottom w:w="70" w:type="dxa"/>
              <w:right w:w="80" w:type="dxa"/>
            </w:tcMar>
          </w:tcPr>
          <w:p>
            <w:r>
              <w:rPr>
                <w:sz w:val="15"/>
              </w:rPr>
              <w:t>Location opening/closing playbooks, readiness gates and configuration templates.</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Enterprise</w:t>
            </w:r>
          </w:p>
        </w:tc>
        <w:tc>
          <w:tcPr>
            <w:tcW w:type="dxa" w:w="1531"/>
            <w:tcMar>
              <w:top w:w="70" w:type="dxa"/>
              <w:left w:w="80" w:type="dxa"/>
              <w:bottom w:w="70" w:type="dxa"/>
              <w:right w:w="80" w:type="dxa"/>
            </w:tcMar>
          </w:tcPr>
          <w:p>
            <w:r>
              <w:rPr>
                <w:sz w:val="15"/>
              </w:rPr>
              <w:t>B2B-02</w:t>
            </w:r>
          </w:p>
        </w:tc>
        <w:tc>
          <w:tcPr>
            <w:tcW w:type="dxa" w:w="1531"/>
            <w:tcMar>
              <w:top w:w="70" w:type="dxa"/>
              <w:left w:w="80" w:type="dxa"/>
              <w:bottom w:w="70" w:type="dxa"/>
              <w:right w:w="80" w:type="dxa"/>
            </w:tcMar>
          </w:tcPr>
          <w:p>
            <w:r>
              <w:rPr>
                <w:sz w:val="15"/>
              </w:rPr>
              <w:t>§10.39 B2B-02 Implementation Contract; §10/§14</w:t>
            </w:r>
          </w:p>
        </w:tc>
        <w:tc>
          <w:tcPr>
            <w:tcW w:type="dxa" w:w="1531"/>
            <w:tcMar>
              <w:top w:w="70" w:type="dxa"/>
              <w:left w:w="80" w:type="dxa"/>
              <w:bottom w:w="70" w:type="dxa"/>
              <w:right w:w="80" w:type="dxa"/>
            </w:tcMar>
          </w:tcPr>
          <w:p>
            <w:r>
              <w:rPr>
                <w:sz w:val="15"/>
              </w:rPr>
              <w:t>§27; INV-B2B-02; API/event contract tests; requirement B2B-02-R06</w:t>
            </w:r>
          </w:p>
        </w:tc>
        <w:tc>
          <w:tcPr>
            <w:tcW w:type="dxa" w:w="1531"/>
            <w:tcMar>
              <w:top w:w="70" w:type="dxa"/>
              <w:left w:w="80" w:type="dxa"/>
              <w:bottom w:w="70" w:type="dxa"/>
              <w:right w:w="80" w:type="dxa"/>
            </w:tcMar>
          </w:tcPr>
          <w:p>
            <w:r>
              <w:rPr>
                <w:sz w:val="15"/>
              </w:rPr>
              <w:t>§28; RB-B2B-02</w:t>
            </w:r>
          </w:p>
        </w:tc>
        <w:tc>
          <w:tcPr>
            <w:tcW w:type="dxa" w:w="1531"/>
            <w:tcMar>
              <w:top w:w="70" w:type="dxa"/>
              <w:left w:w="80" w:type="dxa"/>
              <w:bottom w:w="70" w:type="dxa"/>
              <w:right w:w="80" w:type="dxa"/>
            </w:tcMar>
          </w:tcPr>
          <w:p>
            <w:r>
              <w:rPr>
                <w:sz w:val="15"/>
              </w:rPr>
              <w:t>DEFERRED - Enterprise</w:t>
            </w:r>
          </w:p>
        </w:tc>
      </w:tr>
      <w:tr>
        <w:tc>
          <w:tcPr>
            <w:tcW w:type="dxa" w:w="1531"/>
            <w:tcMar>
              <w:top w:w="70" w:type="dxa"/>
              <w:left w:w="80" w:type="dxa"/>
              <w:bottom w:w="70" w:type="dxa"/>
              <w:right w:w="80" w:type="dxa"/>
            </w:tcMar>
          </w:tcPr>
          <w:p>
            <w:r>
              <w:rPr>
                <w:sz w:val="15"/>
              </w:rPr>
              <w:t>B2B-02-R07</w:t>
            </w:r>
          </w:p>
        </w:tc>
        <w:tc>
          <w:tcPr>
            <w:tcW w:type="dxa" w:w="1531"/>
            <w:tcMar>
              <w:top w:w="70" w:type="dxa"/>
              <w:left w:w="80" w:type="dxa"/>
              <w:bottom w:w="70" w:type="dxa"/>
              <w:right w:w="80" w:type="dxa"/>
            </w:tcMar>
          </w:tcPr>
          <w:p>
            <w:r>
              <w:rPr>
                <w:sz w:val="15"/>
              </w:rPr>
              <w:t>Franchise, Multi-brand &amp; Chain Command Center</w:t>
            </w:r>
          </w:p>
        </w:tc>
        <w:tc>
          <w:tcPr>
            <w:tcW w:type="dxa" w:w="1531"/>
            <w:tcMar>
              <w:top w:w="70" w:type="dxa"/>
              <w:left w:w="80" w:type="dxa"/>
              <w:bottom w:w="70" w:type="dxa"/>
              <w:right w:w="80" w:type="dxa"/>
            </w:tcMar>
          </w:tcPr>
          <w:p>
            <w:r>
              <w:rPr>
                <w:sz w:val="15"/>
              </w:rPr>
              <w:t>Benchmarking with normalized metrics and permissions by hierarchy scope.</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Enterprise</w:t>
            </w:r>
          </w:p>
        </w:tc>
        <w:tc>
          <w:tcPr>
            <w:tcW w:type="dxa" w:w="1531"/>
            <w:tcMar>
              <w:top w:w="70" w:type="dxa"/>
              <w:left w:w="80" w:type="dxa"/>
              <w:bottom w:w="70" w:type="dxa"/>
              <w:right w:w="80" w:type="dxa"/>
            </w:tcMar>
          </w:tcPr>
          <w:p>
            <w:r>
              <w:rPr>
                <w:sz w:val="15"/>
              </w:rPr>
              <w:t>B2B-02</w:t>
            </w:r>
          </w:p>
        </w:tc>
        <w:tc>
          <w:tcPr>
            <w:tcW w:type="dxa" w:w="1531"/>
            <w:tcMar>
              <w:top w:w="70" w:type="dxa"/>
              <w:left w:w="80" w:type="dxa"/>
              <w:bottom w:w="70" w:type="dxa"/>
              <w:right w:w="80" w:type="dxa"/>
            </w:tcMar>
          </w:tcPr>
          <w:p>
            <w:r>
              <w:rPr>
                <w:sz w:val="15"/>
              </w:rPr>
              <w:t>§10.39 B2B-02 Implementation Contract; §10/§14</w:t>
            </w:r>
          </w:p>
        </w:tc>
        <w:tc>
          <w:tcPr>
            <w:tcW w:type="dxa" w:w="1531"/>
            <w:tcMar>
              <w:top w:w="70" w:type="dxa"/>
              <w:left w:w="80" w:type="dxa"/>
              <w:bottom w:w="70" w:type="dxa"/>
              <w:right w:w="80" w:type="dxa"/>
            </w:tcMar>
          </w:tcPr>
          <w:p>
            <w:r>
              <w:rPr>
                <w:sz w:val="15"/>
              </w:rPr>
              <w:t>§27; INV-B2B-02; API/event contract tests; requirement B2B-02-R07</w:t>
            </w:r>
          </w:p>
        </w:tc>
        <w:tc>
          <w:tcPr>
            <w:tcW w:type="dxa" w:w="1531"/>
            <w:tcMar>
              <w:top w:w="70" w:type="dxa"/>
              <w:left w:w="80" w:type="dxa"/>
              <w:bottom w:w="70" w:type="dxa"/>
              <w:right w:w="80" w:type="dxa"/>
            </w:tcMar>
          </w:tcPr>
          <w:p>
            <w:r>
              <w:rPr>
                <w:sz w:val="15"/>
              </w:rPr>
              <w:t>§28; RB-B2B-02</w:t>
            </w:r>
          </w:p>
        </w:tc>
        <w:tc>
          <w:tcPr>
            <w:tcW w:type="dxa" w:w="1531"/>
            <w:tcMar>
              <w:top w:w="70" w:type="dxa"/>
              <w:left w:w="80" w:type="dxa"/>
              <w:bottom w:w="70" w:type="dxa"/>
              <w:right w:w="80" w:type="dxa"/>
            </w:tcMar>
          </w:tcPr>
          <w:p>
            <w:r>
              <w:rPr>
                <w:sz w:val="15"/>
              </w:rPr>
              <w:t>DEFERRED - Enterprise</w:t>
            </w:r>
          </w:p>
        </w:tc>
      </w:tr>
      <w:tr>
        <w:tc>
          <w:tcPr>
            <w:tcW w:type="dxa" w:w="1531"/>
            <w:tcMar>
              <w:top w:w="70" w:type="dxa"/>
              <w:left w:w="80" w:type="dxa"/>
              <w:bottom w:w="70" w:type="dxa"/>
              <w:right w:w="80" w:type="dxa"/>
            </w:tcMar>
          </w:tcPr>
          <w:p>
            <w:r>
              <w:rPr>
                <w:sz w:val="15"/>
              </w:rPr>
              <w:t>ECO-01-R01</w:t>
            </w:r>
          </w:p>
        </w:tc>
        <w:tc>
          <w:tcPr>
            <w:tcW w:type="dxa" w:w="1531"/>
            <w:tcMar>
              <w:top w:w="70" w:type="dxa"/>
              <w:left w:w="80" w:type="dxa"/>
              <w:bottom w:w="70" w:type="dxa"/>
              <w:right w:w="80" w:type="dxa"/>
            </w:tcMar>
          </w:tcPr>
          <w:p>
            <w:r>
              <w:rPr>
                <w:sz w:val="15"/>
              </w:rPr>
              <w:t>Developer Platform, APIs, Webhooks &amp; Sandbox</w:t>
            </w:r>
          </w:p>
        </w:tc>
        <w:tc>
          <w:tcPr>
            <w:tcW w:type="dxa" w:w="1531"/>
            <w:tcMar>
              <w:top w:w="70" w:type="dxa"/>
              <w:left w:w="80" w:type="dxa"/>
              <w:bottom w:w="70" w:type="dxa"/>
              <w:right w:w="80" w:type="dxa"/>
            </w:tcMar>
          </w:tcPr>
          <w:p>
            <w:r>
              <w:rPr>
                <w:sz w:val="15"/>
              </w:rPr>
              <w:t>Versioned public APIs with consistent resources, pagination, filtering, errors and idempotency.</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V2 Platform</w:t>
            </w:r>
          </w:p>
        </w:tc>
        <w:tc>
          <w:tcPr>
            <w:tcW w:type="dxa" w:w="1531"/>
            <w:tcMar>
              <w:top w:w="70" w:type="dxa"/>
              <w:left w:w="80" w:type="dxa"/>
              <w:bottom w:w="70" w:type="dxa"/>
              <w:right w:w="80" w:type="dxa"/>
            </w:tcMar>
          </w:tcPr>
          <w:p>
            <w:r>
              <w:rPr>
                <w:sz w:val="15"/>
              </w:rPr>
              <w:t>ECO-01</w:t>
            </w:r>
          </w:p>
        </w:tc>
        <w:tc>
          <w:tcPr>
            <w:tcW w:type="dxa" w:w="1531"/>
            <w:tcMar>
              <w:top w:w="70" w:type="dxa"/>
              <w:left w:w="80" w:type="dxa"/>
              <w:bottom w:w="70" w:type="dxa"/>
              <w:right w:w="80" w:type="dxa"/>
            </w:tcMar>
          </w:tcPr>
          <w:p>
            <w:r>
              <w:rPr>
                <w:sz w:val="15"/>
              </w:rPr>
              <w:t>§10.40 ECO-01 Implementation Contract; §20</w:t>
            </w:r>
          </w:p>
        </w:tc>
        <w:tc>
          <w:tcPr>
            <w:tcW w:type="dxa" w:w="1531"/>
            <w:tcMar>
              <w:top w:w="70" w:type="dxa"/>
              <w:left w:w="80" w:type="dxa"/>
              <w:bottom w:w="70" w:type="dxa"/>
              <w:right w:w="80" w:type="dxa"/>
            </w:tcMar>
          </w:tcPr>
          <w:p>
            <w:r>
              <w:rPr>
                <w:sz w:val="15"/>
              </w:rPr>
              <w:t>§27; INV-ECO-01; API/event contract tests; requirement ECO-01-R01</w:t>
            </w:r>
          </w:p>
        </w:tc>
        <w:tc>
          <w:tcPr>
            <w:tcW w:type="dxa" w:w="1531"/>
            <w:tcMar>
              <w:top w:w="70" w:type="dxa"/>
              <w:left w:w="80" w:type="dxa"/>
              <w:bottom w:w="70" w:type="dxa"/>
              <w:right w:w="80" w:type="dxa"/>
            </w:tcMar>
          </w:tcPr>
          <w:p>
            <w:r>
              <w:rPr>
                <w:sz w:val="15"/>
              </w:rPr>
              <w:t>§28; RB-ECO-01</w:t>
            </w:r>
          </w:p>
        </w:tc>
        <w:tc>
          <w:tcPr>
            <w:tcW w:type="dxa" w:w="1531"/>
            <w:tcMar>
              <w:top w:w="70" w:type="dxa"/>
              <w:left w:w="80" w:type="dxa"/>
              <w:bottom w:w="70" w:type="dxa"/>
              <w:right w:w="80" w:type="dxa"/>
            </w:tcMar>
          </w:tcPr>
          <w:p>
            <w:r>
              <w:rPr>
                <w:sz w:val="15"/>
              </w:rPr>
              <w:t>DEFERRED - V2 Platform</w:t>
            </w:r>
          </w:p>
        </w:tc>
      </w:tr>
      <w:tr>
        <w:tc>
          <w:tcPr>
            <w:tcW w:type="dxa" w:w="1531"/>
            <w:tcMar>
              <w:top w:w="70" w:type="dxa"/>
              <w:left w:w="80" w:type="dxa"/>
              <w:bottom w:w="70" w:type="dxa"/>
              <w:right w:w="80" w:type="dxa"/>
            </w:tcMar>
          </w:tcPr>
          <w:p>
            <w:r>
              <w:rPr>
                <w:sz w:val="15"/>
              </w:rPr>
              <w:t>ECO-01-R02</w:t>
            </w:r>
          </w:p>
        </w:tc>
        <w:tc>
          <w:tcPr>
            <w:tcW w:type="dxa" w:w="1531"/>
            <w:tcMar>
              <w:top w:w="70" w:type="dxa"/>
              <w:left w:w="80" w:type="dxa"/>
              <w:bottom w:w="70" w:type="dxa"/>
              <w:right w:w="80" w:type="dxa"/>
            </w:tcMar>
          </w:tcPr>
          <w:p>
            <w:r>
              <w:rPr>
                <w:sz w:val="15"/>
              </w:rPr>
              <w:t>Developer Platform, APIs, Webhooks &amp; Sandbox</w:t>
            </w:r>
          </w:p>
        </w:tc>
        <w:tc>
          <w:tcPr>
            <w:tcW w:type="dxa" w:w="1531"/>
            <w:tcMar>
              <w:top w:w="70" w:type="dxa"/>
              <w:left w:w="80" w:type="dxa"/>
              <w:bottom w:w="70" w:type="dxa"/>
              <w:right w:w="80" w:type="dxa"/>
            </w:tcMar>
          </w:tcPr>
          <w:p>
            <w:r>
              <w:rPr>
                <w:sz w:val="15"/>
              </w:rPr>
              <w:t>OAuth 2/OIDC applications, tenant authorization, granular scopes, API keys and service accounts.</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V2 Platform</w:t>
            </w:r>
          </w:p>
        </w:tc>
        <w:tc>
          <w:tcPr>
            <w:tcW w:type="dxa" w:w="1531"/>
            <w:tcMar>
              <w:top w:w="70" w:type="dxa"/>
              <w:left w:w="80" w:type="dxa"/>
              <w:bottom w:w="70" w:type="dxa"/>
              <w:right w:w="80" w:type="dxa"/>
            </w:tcMar>
          </w:tcPr>
          <w:p>
            <w:r>
              <w:rPr>
                <w:sz w:val="15"/>
              </w:rPr>
              <w:t>ECO-01</w:t>
            </w:r>
          </w:p>
        </w:tc>
        <w:tc>
          <w:tcPr>
            <w:tcW w:type="dxa" w:w="1531"/>
            <w:tcMar>
              <w:top w:w="70" w:type="dxa"/>
              <w:left w:w="80" w:type="dxa"/>
              <w:bottom w:w="70" w:type="dxa"/>
              <w:right w:w="80" w:type="dxa"/>
            </w:tcMar>
          </w:tcPr>
          <w:p>
            <w:r>
              <w:rPr>
                <w:sz w:val="15"/>
              </w:rPr>
              <w:t>§10.40 ECO-01 Implementation Contract; §20</w:t>
            </w:r>
          </w:p>
        </w:tc>
        <w:tc>
          <w:tcPr>
            <w:tcW w:type="dxa" w:w="1531"/>
            <w:tcMar>
              <w:top w:w="70" w:type="dxa"/>
              <w:left w:w="80" w:type="dxa"/>
              <w:bottom w:w="70" w:type="dxa"/>
              <w:right w:w="80" w:type="dxa"/>
            </w:tcMar>
          </w:tcPr>
          <w:p>
            <w:r>
              <w:rPr>
                <w:sz w:val="15"/>
              </w:rPr>
              <w:t>§27; INV-ECO-01; API/event contract tests; requirement ECO-01-R02</w:t>
            </w:r>
          </w:p>
        </w:tc>
        <w:tc>
          <w:tcPr>
            <w:tcW w:type="dxa" w:w="1531"/>
            <w:tcMar>
              <w:top w:w="70" w:type="dxa"/>
              <w:left w:w="80" w:type="dxa"/>
              <w:bottom w:w="70" w:type="dxa"/>
              <w:right w:w="80" w:type="dxa"/>
            </w:tcMar>
          </w:tcPr>
          <w:p>
            <w:r>
              <w:rPr>
                <w:sz w:val="15"/>
              </w:rPr>
              <w:t>§28; RB-ECO-01</w:t>
            </w:r>
          </w:p>
        </w:tc>
        <w:tc>
          <w:tcPr>
            <w:tcW w:type="dxa" w:w="1531"/>
            <w:tcMar>
              <w:top w:w="70" w:type="dxa"/>
              <w:left w:w="80" w:type="dxa"/>
              <w:bottom w:w="70" w:type="dxa"/>
              <w:right w:w="80" w:type="dxa"/>
            </w:tcMar>
          </w:tcPr>
          <w:p>
            <w:r>
              <w:rPr>
                <w:sz w:val="15"/>
              </w:rPr>
              <w:t>DEFERRED - V2 Platform</w:t>
            </w:r>
          </w:p>
        </w:tc>
      </w:tr>
      <w:tr>
        <w:tc>
          <w:tcPr>
            <w:tcW w:type="dxa" w:w="1531"/>
            <w:tcMar>
              <w:top w:w="70" w:type="dxa"/>
              <w:left w:w="80" w:type="dxa"/>
              <w:bottom w:w="70" w:type="dxa"/>
              <w:right w:w="80" w:type="dxa"/>
            </w:tcMar>
          </w:tcPr>
          <w:p>
            <w:r>
              <w:rPr>
                <w:sz w:val="15"/>
              </w:rPr>
              <w:t>ECO-01-R03</w:t>
            </w:r>
          </w:p>
        </w:tc>
        <w:tc>
          <w:tcPr>
            <w:tcW w:type="dxa" w:w="1531"/>
            <w:tcMar>
              <w:top w:w="70" w:type="dxa"/>
              <w:left w:w="80" w:type="dxa"/>
              <w:bottom w:w="70" w:type="dxa"/>
              <w:right w:w="80" w:type="dxa"/>
            </w:tcMar>
          </w:tcPr>
          <w:p>
            <w:r>
              <w:rPr>
                <w:sz w:val="15"/>
              </w:rPr>
              <w:t>Developer Platform, APIs, Webhooks &amp; Sandbox</w:t>
            </w:r>
          </w:p>
        </w:tc>
        <w:tc>
          <w:tcPr>
            <w:tcW w:type="dxa" w:w="1531"/>
            <w:tcMar>
              <w:top w:w="70" w:type="dxa"/>
              <w:left w:w="80" w:type="dxa"/>
              <w:bottom w:w="70" w:type="dxa"/>
              <w:right w:w="80" w:type="dxa"/>
            </w:tcMar>
          </w:tcPr>
          <w:p>
            <w:r>
              <w:rPr>
                <w:sz w:val="15"/>
              </w:rPr>
              <w:t>Webhook subscriptions, event filtering, signing, retries, ordering guidance, replay and delivery logs.</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V2 Platform</w:t>
            </w:r>
          </w:p>
        </w:tc>
        <w:tc>
          <w:tcPr>
            <w:tcW w:type="dxa" w:w="1531"/>
            <w:tcMar>
              <w:top w:w="70" w:type="dxa"/>
              <w:left w:w="80" w:type="dxa"/>
              <w:bottom w:w="70" w:type="dxa"/>
              <w:right w:w="80" w:type="dxa"/>
            </w:tcMar>
          </w:tcPr>
          <w:p>
            <w:r>
              <w:rPr>
                <w:sz w:val="15"/>
              </w:rPr>
              <w:t>ECO-01</w:t>
            </w:r>
          </w:p>
        </w:tc>
        <w:tc>
          <w:tcPr>
            <w:tcW w:type="dxa" w:w="1531"/>
            <w:tcMar>
              <w:top w:w="70" w:type="dxa"/>
              <w:left w:w="80" w:type="dxa"/>
              <w:bottom w:w="70" w:type="dxa"/>
              <w:right w:w="80" w:type="dxa"/>
            </w:tcMar>
          </w:tcPr>
          <w:p>
            <w:r>
              <w:rPr>
                <w:sz w:val="15"/>
              </w:rPr>
              <w:t>§10.40 ECO-01 Implementation Contract; §20</w:t>
            </w:r>
          </w:p>
        </w:tc>
        <w:tc>
          <w:tcPr>
            <w:tcW w:type="dxa" w:w="1531"/>
            <w:tcMar>
              <w:top w:w="70" w:type="dxa"/>
              <w:left w:w="80" w:type="dxa"/>
              <w:bottom w:w="70" w:type="dxa"/>
              <w:right w:w="80" w:type="dxa"/>
            </w:tcMar>
          </w:tcPr>
          <w:p>
            <w:r>
              <w:rPr>
                <w:sz w:val="15"/>
              </w:rPr>
              <w:t>§27; INV-ECO-01; API/event contract tests; requirement ECO-01-R03</w:t>
            </w:r>
          </w:p>
        </w:tc>
        <w:tc>
          <w:tcPr>
            <w:tcW w:type="dxa" w:w="1531"/>
            <w:tcMar>
              <w:top w:w="70" w:type="dxa"/>
              <w:left w:w="80" w:type="dxa"/>
              <w:bottom w:w="70" w:type="dxa"/>
              <w:right w:w="80" w:type="dxa"/>
            </w:tcMar>
          </w:tcPr>
          <w:p>
            <w:r>
              <w:rPr>
                <w:sz w:val="15"/>
              </w:rPr>
              <w:t>§28; RB-ECO-01</w:t>
            </w:r>
          </w:p>
        </w:tc>
        <w:tc>
          <w:tcPr>
            <w:tcW w:type="dxa" w:w="1531"/>
            <w:tcMar>
              <w:top w:w="70" w:type="dxa"/>
              <w:left w:w="80" w:type="dxa"/>
              <w:bottom w:w="70" w:type="dxa"/>
              <w:right w:w="80" w:type="dxa"/>
            </w:tcMar>
          </w:tcPr>
          <w:p>
            <w:r>
              <w:rPr>
                <w:sz w:val="15"/>
              </w:rPr>
              <w:t>DEFERRED - V2 Platform</w:t>
            </w:r>
          </w:p>
        </w:tc>
      </w:tr>
      <w:tr>
        <w:tc>
          <w:tcPr>
            <w:tcW w:type="dxa" w:w="1531"/>
            <w:tcMar>
              <w:top w:w="70" w:type="dxa"/>
              <w:left w:w="80" w:type="dxa"/>
              <w:bottom w:w="70" w:type="dxa"/>
              <w:right w:w="80" w:type="dxa"/>
            </w:tcMar>
          </w:tcPr>
          <w:p>
            <w:r>
              <w:rPr>
                <w:sz w:val="15"/>
              </w:rPr>
              <w:t>ECO-01-R04</w:t>
            </w:r>
          </w:p>
        </w:tc>
        <w:tc>
          <w:tcPr>
            <w:tcW w:type="dxa" w:w="1531"/>
            <w:tcMar>
              <w:top w:w="70" w:type="dxa"/>
              <w:left w:w="80" w:type="dxa"/>
              <w:bottom w:w="70" w:type="dxa"/>
              <w:right w:w="80" w:type="dxa"/>
            </w:tcMar>
          </w:tcPr>
          <w:p>
            <w:r>
              <w:rPr>
                <w:sz w:val="15"/>
              </w:rPr>
              <w:t>Developer Platform, APIs, Webhooks &amp; Sandbox</w:t>
            </w:r>
          </w:p>
        </w:tc>
        <w:tc>
          <w:tcPr>
            <w:tcW w:type="dxa" w:w="1531"/>
            <w:tcMar>
              <w:top w:w="70" w:type="dxa"/>
              <w:left w:w="80" w:type="dxa"/>
              <w:bottom w:w="70" w:type="dxa"/>
              <w:right w:w="80" w:type="dxa"/>
            </w:tcMar>
          </w:tcPr>
          <w:p>
            <w:r>
              <w:rPr>
                <w:sz w:val="15"/>
              </w:rPr>
              <w:t>Sandbox tenant, test data, simulated providers and safe webhook endpoint testing.</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V2 Platform</w:t>
            </w:r>
          </w:p>
        </w:tc>
        <w:tc>
          <w:tcPr>
            <w:tcW w:type="dxa" w:w="1531"/>
            <w:tcMar>
              <w:top w:w="70" w:type="dxa"/>
              <w:left w:w="80" w:type="dxa"/>
              <w:bottom w:w="70" w:type="dxa"/>
              <w:right w:w="80" w:type="dxa"/>
            </w:tcMar>
          </w:tcPr>
          <w:p>
            <w:r>
              <w:rPr>
                <w:sz w:val="15"/>
              </w:rPr>
              <w:t>ECO-01</w:t>
            </w:r>
          </w:p>
        </w:tc>
        <w:tc>
          <w:tcPr>
            <w:tcW w:type="dxa" w:w="1531"/>
            <w:tcMar>
              <w:top w:w="70" w:type="dxa"/>
              <w:left w:w="80" w:type="dxa"/>
              <w:bottom w:w="70" w:type="dxa"/>
              <w:right w:w="80" w:type="dxa"/>
            </w:tcMar>
          </w:tcPr>
          <w:p>
            <w:r>
              <w:rPr>
                <w:sz w:val="15"/>
              </w:rPr>
              <w:t>§10.40 ECO-01 Implementation Contract; §20</w:t>
            </w:r>
          </w:p>
        </w:tc>
        <w:tc>
          <w:tcPr>
            <w:tcW w:type="dxa" w:w="1531"/>
            <w:tcMar>
              <w:top w:w="70" w:type="dxa"/>
              <w:left w:w="80" w:type="dxa"/>
              <w:bottom w:w="70" w:type="dxa"/>
              <w:right w:w="80" w:type="dxa"/>
            </w:tcMar>
          </w:tcPr>
          <w:p>
            <w:r>
              <w:rPr>
                <w:sz w:val="15"/>
              </w:rPr>
              <w:t>§27; INV-ECO-01; API/event contract tests; requirement ECO-01-R04</w:t>
            </w:r>
          </w:p>
        </w:tc>
        <w:tc>
          <w:tcPr>
            <w:tcW w:type="dxa" w:w="1531"/>
            <w:tcMar>
              <w:top w:w="70" w:type="dxa"/>
              <w:left w:w="80" w:type="dxa"/>
              <w:bottom w:w="70" w:type="dxa"/>
              <w:right w:w="80" w:type="dxa"/>
            </w:tcMar>
          </w:tcPr>
          <w:p>
            <w:r>
              <w:rPr>
                <w:sz w:val="15"/>
              </w:rPr>
              <w:t>§28; RB-ECO-01</w:t>
            </w:r>
          </w:p>
        </w:tc>
        <w:tc>
          <w:tcPr>
            <w:tcW w:type="dxa" w:w="1531"/>
            <w:tcMar>
              <w:top w:w="70" w:type="dxa"/>
              <w:left w:w="80" w:type="dxa"/>
              <w:bottom w:w="70" w:type="dxa"/>
              <w:right w:w="80" w:type="dxa"/>
            </w:tcMar>
          </w:tcPr>
          <w:p>
            <w:r>
              <w:rPr>
                <w:sz w:val="15"/>
              </w:rPr>
              <w:t>DEFERRED - V2 Platform</w:t>
            </w:r>
          </w:p>
        </w:tc>
      </w:tr>
      <w:tr>
        <w:tc>
          <w:tcPr>
            <w:tcW w:type="dxa" w:w="1531"/>
            <w:tcMar>
              <w:top w:w="70" w:type="dxa"/>
              <w:left w:w="80" w:type="dxa"/>
              <w:bottom w:w="70" w:type="dxa"/>
              <w:right w:w="80" w:type="dxa"/>
            </w:tcMar>
          </w:tcPr>
          <w:p>
            <w:r>
              <w:rPr>
                <w:sz w:val="15"/>
              </w:rPr>
              <w:t>ECO-01-R05</w:t>
            </w:r>
          </w:p>
        </w:tc>
        <w:tc>
          <w:tcPr>
            <w:tcW w:type="dxa" w:w="1531"/>
            <w:tcMar>
              <w:top w:w="70" w:type="dxa"/>
              <w:left w:w="80" w:type="dxa"/>
              <w:bottom w:w="70" w:type="dxa"/>
              <w:right w:w="80" w:type="dxa"/>
            </w:tcMar>
          </w:tcPr>
          <w:p>
            <w:r>
              <w:rPr>
                <w:sz w:val="15"/>
              </w:rPr>
              <w:t>Developer Platform, APIs, Webhooks &amp; Sandbox</w:t>
            </w:r>
          </w:p>
        </w:tc>
        <w:tc>
          <w:tcPr>
            <w:tcW w:type="dxa" w:w="1531"/>
            <w:tcMar>
              <w:top w:w="70" w:type="dxa"/>
              <w:left w:w="80" w:type="dxa"/>
              <w:bottom w:w="70" w:type="dxa"/>
              <w:right w:w="80" w:type="dxa"/>
            </w:tcMar>
          </w:tcPr>
          <w:p>
            <w:r>
              <w:rPr>
                <w:sz w:val="15"/>
              </w:rPr>
              <w:t>Developer portal with documentation, examples, SDKs, changelog, status and support.</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V2 Platform</w:t>
            </w:r>
          </w:p>
        </w:tc>
        <w:tc>
          <w:tcPr>
            <w:tcW w:type="dxa" w:w="1531"/>
            <w:tcMar>
              <w:top w:w="70" w:type="dxa"/>
              <w:left w:w="80" w:type="dxa"/>
              <w:bottom w:w="70" w:type="dxa"/>
              <w:right w:w="80" w:type="dxa"/>
            </w:tcMar>
          </w:tcPr>
          <w:p>
            <w:r>
              <w:rPr>
                <w:sz w:val="15"/>
              </w:rPr>
              <w:t>ECO-01</w:t>
            </w:r>
          </w:p>
        </w:tc>
        <w:tc>
          <w:tcPr>
            <w:tcW w:type="dxa" w:w="1531"/>
            <w:tcMar>
              <w:top w:w="70" w:type="dxa"/>
              <w:left w:w="80" w:type="dxa"/>
              <w:bottom w:w="70" w:type="dxa"/>
              <w:right w:w="80" w:type="dxa"/>
            </w:tcMar>
          </w:tcPr>
          <w:p>
            <w:r>
              <w:rPr>
                <w:sz w:val="15"/>
              </w:rPr>
              <w:t>§10.40 ECO-01 Implementation Contract; §20</w:t>
            </w:r>
          </w:p>
        </w:tc>
        <w:tc>
          <w:tcPr>
            <w:tcW w:type="dxa" w:w="1531"/>
            <w:tcMar>
              <w:top w:w="70" w:type="dxa"/>
              <w:left w:w="80" w:type="dxa"/>
              <w:bottom w:w="70" w:type="dxa"/>
              <w:right w:w="80" w:type="dxa"/>
            </w:tcMar>
          </w:tcPr>
          <w:p>
            <w:r>
              <w:rPr>
                <w:sz w:val="15"/>
              </w:rPr>
              <w:t>§27; INV-ECO-01; API/event contract tests; requirement ECO-01-R05</w:t>
            </w:r>
          </w:p>
        </w:tc>
        <w:tc>
          <w:tcPr>
            <w:tcW w:type="dxa" w:w="1531"/>
            <w:tcMar>
              <w:top w:w="70" w:type="dxa"/>
              <w:left w:w="80" w:type="dxa"/>
              <w:bottom w:w="70" w:type="dxa"/>
              <w:right w:w="80" w:type="dxa"/>
            </w:tcMar>
          </w:tcPr>
          <w:p>
            <w:r>
              <w:rPr>
                <w:sz w:val="15"/>
              </w:rPr>
              <w:t>§28; RB-ECO-01</w:t>
            </w:r>
          </w:p>
        </w:tc>
        <w:tc>
          <w:tcPr>
            <w:tcW w:type="dxa" w:w="1531"/>
            <w:tcMar>
              <w:top w:w="70" w:type="dxa"/>
              <w:left w:w="80" w:type="dxa"/>
              <w:bottom w:w="70" w:type="dxa"/>
              <w:right w:w="80" w:type="dxa"/>
            </w:tcMar>
          </w:tcPr>
          <w:p>
            <w:r>
              <w:rPr>
                <w:sz w:val="15"/>
              </w:rPr>
              <w:t>DEFERRED - V2 Platform</w:t>
            </w:r>
          </w:p>
        </w:tc>
      </w:tr>
      <w:tr>
        <w:tc>
          <w:tcPr>
            <w:tcW w:type="dxa" w:w="1531"/>
            <w:tcMar>
              <w:top w:w="70" w:type="dxa"/>
              <w:left w:w="80" w:type="dxa"/>
              <w:bottom w:w="70" w:type="dxa"/>
              <w:right w:w="80" w:type="dxa"/>
            </w:tcMar>
          </w:tcPr>
          <w:p>
            <w:r>
              <w:rPr>
                <w:sz w:val="15"/>
              </w:rPr>
              <w:t>ECO-01-R06</w:t>
            </w:r>
          </w:p>
        </w:tc>
        <w:tc>
          <w:tcPr>
            <w:tcW w:type="dxa" w:w="1531"/>
            <w:tcMar>
              <w:top w:w="70" w:type="dxa"/>
              <w:left w:w="80" w:type="dxa"/>
              <w:bottom w:w="70" w:type="dxa"/>
              <w:right w:w="80" w:type="dxa"/>
            </w:tcMar>
          </w:tcPr>
          <w:p>
            <w:r>
              <w:rPr>
                <w:sz w:val="15"/>
              </w:rPr>
              <w:t>Developer Platform, APIs, Webhooks &amp; Sandbox</w:t>
            </w:r>
          </w:p>
        </w:tc>
        <w:tc>
          <w:tcPr>
            <w:tcW w:type="dxa" w:w="1531"/>
            <w:tcMar>
              <w:top w:w="70" w:type="dxa"/>
              <w:left w:w="80" w:type="dxa"/>
              <w:bottom w:w="70" w:type="dxa"/>
              <w:right w:w="80" w:type="dxa"/>
            </w:tcMar>
          </w:tcPr>
          <w:p>
            <w:r>
              <w:rPr>
                <w:sz w:val="15"/>
              </w:rPr>
              <w:t>Rate limits, quotas, usage analytics, error diagnostics and credential rotation.</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V2 Platform</w:t>
            </w:r>
          </w:p>
        </w:tc>
        <w:tc>
          <w:tcPr>
            <w:tcW w:type="dxa" w:w="1531"/>
            <w:tcMar>
              <w:top w:w="70" w:type="dxa"/>
              <w:left w:w="80" w:type="dxa"/>
              <w:bottom w:w="70" w:type="dxa"/>
              <w:right w:w="80" w:type="dxa"/>
            </w:tcMar>
          </w:tcPr>
          <w:p>
            <w:r>
              <w:rPr>
                <w:sz w:val="15"/>
              </w:rPr>
              <w:t>ECO-01</w:t>
            </w:r>
          </w:p>
        </w:tc>
        <w:tc>
          <w:tcPr>
            <w:tcW w:type="dxa" w:w="1531"/>
            <w:tcMar>
              <w:top w:w="70" w:type="dxa"/>
              <w:left w:w="80" w:type="dxa"/>
              <w:bottom w:w="70" w:type="dxa"/>
              <w:right w:w="80" w:type="dxa"/>
            </w:tcMar>
          </w:tcPr>
          <w:p>
            <w:r>
              <w:rPr>
                <w:sz w:val="15"/>
              </w:rPr>
              <w:t>§10.40 ECO-01 Implementation Contract; §20</w:t>
            </w:r>
          </w:p>
        </w:tc>
        <w:tc>
          <w:tcPr>
            <w:tcW w:type="dxa" w:w="1531"/>
            <w:tcMar>
              <w:top w:w="70" w:type="dxa"/>
              <w:left w:w="80" w:type="dxa"/>
              <w:bottom w:w="70" w:type="dxa"/>
              <w:right w:w="80" w:type="dxa"/>
            </w:tcMar>
          </w:tcPr>
          <w:p>
            <w:r>
              <w:rPr>
                <w:sz w:val="15"/>
              </w:rPr>
              <w:t>§27; INV-ECO-01; API/event contract tests; requirement ECO-01-R06</w:t>
            </w:r>
          </w:p>
        </w:tc>
        <w:tc>
          <w:tcPr>
            <w:tcW w:type="dxa" w:w="1531"/>
            <w:tcMar>
              <w:top w:w="70" w:type="dxa"/>
              <w:left w:w="80" w:type="dxa"/>
              <w:bottom w:w="70" w:type="dxa"/>
              <w:right w:w="80" w:type="dxa"/>
            </w:tcMar>
          </w:tcPr>
          <w:p>
            <w:r>
              <w:rPr>
                <w:sz w:val="15"/>
              </w:rPr>
              <w:t>§28; RB-ECO-01</w:t>
            </w:r>
          </w:p>
        </w:tc>
        <w:tc>
          <w:tcPr>
            <w:tcW w:type="dxa" w:w="1531"/>
            <w:tcMar>
              <w:top w:w="70" w:type="dxa"/>
              <w:left w:w="80" w:type="dxa"/>
              <w:bottom w:w="70" w:type="dxa"/>
              <w:right w:w="80" w:type="dxa"/>
            </w:tcMar>
          </w:tcPr>
          <w:p>
            <w:r>
              <w:rPr>
                <w:sz w:val="15"/>
              </w:rPr>
              <w:t>DEFERRED - V2 Platform</w:t>
            </w:r>
          </w:p>
        </w:tc>
      </w:tr>
      <w:tr>
        <w:tc>
          <w:tcPr>
            <w:tcW w:type="dxa" w:w="1531"/>
            <w:tcMar>
              <w:top w:w="70" w:type="dxa"/>
              <w:left w:w="80" w:type="dxa"/>
              <w:bottom w:w="70" w:type="dxa"/>
              <w:right w:w="80" w:type="dxa"/>
            </w:tcMar>
          </w:tcPr>
          <w:p>
            <w:r>
              <w:rPr>
                <w:sz w:val="15"/>
              </w:rPr>
              <w:t>ECO-01-R07</w:t>
            </w:r>
          </w:p>
        </w:tc>
        <w:tc>
          <w:tcPr>
            <w:tcW w:type="dxa" w:w="1531"/>
            <w:tcMar>
              <w:top w:w="70" w:type="dxa"/>
              <w:left w:w="80" w:type="dxa"/>
              <w:bottom w:w="70" w:type="dxa"/>
              <w:right w:w="80" w:type="dxa"/>
            </w:tcMar>
          </w:tcPr>
          <w:p>
            <w:r>
              <w:rPr>
                <w:sz w:val="15"/>
              </w:rPr>
              <w:t>Developer Platform, APIs, Webhooks &amp; Sandbox</w:t>
            </w:r>
          </w:p>
        </w:tc>
        <w:tc>
          <w:tcPr>
            <w:tcW w:type="dxa" w:w="1531"/>
            <w:tcMar>
              <w:top w:w="70" w:type="dxa"/>
              <w:left w:w="80" w:type="dxa"/>
              <w:bottom w:w="70" w:type="dxa"/>
              <w:right w:w="80" w:type="dxa"/>
            </w:tcMar>
          </w:tcPr>
          <w:p>
            <w:r>
              <w:rPr>
                <w:sz w:val="15"/>
              </w:rPr>
              <w:t>API versioning, compatibility, deprecation, migration guides and contract tests.</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V2 Platform</w:t>
            </w:r>
          </w:p>
        </w:tc>
        <w:tc>
          <w:tcPr>
            <w:tcW w:type="dxa" w:w="1531"/>
            <w:tcMar>
              <w:top w:w="70" w:type="dxa"/>
              <w:left w:w="80" w:type="dxa"/>
              <w:bottom w:w="70" w:type="dxa"/>
              <w:right w:w="80" w:type="dxa"/>
            </w:tcMar>
          </w:tcPr>
          <w:p>
            <w:r>
              <w:rPr>
                <w:sz w:val="15"/>
              </w:rPr>
              <w:t>ECO-01</w:t>
            </w:r>
          </w:p>
        </w:tc>
        <w:tc>
          <w:tcPr>
            <w:tcW w:type="dxa" w:w="1531"/>
            <w:tcMar>
              <w:top w:w="70" w:type="dxa"/>
              <w:left w:w="80" w:type="dxa"/>
              <w:bottom w:w="70" w:type="dxa"/>
              <w:right w:w="80" w:type="dxa"/>
            </w:tcMar>
          </w:tcPr>
          <w:p>
            <w:r>
              <w:rPr>
                <w:sz w:val="15"/>
              </w:rPr>
              <w:t>§10.40 ECO-01 Implementation Contract; §20</w:t>
            </w:r>
          </w:p>
        </w:tc>
        <w:tc>
          <w:tcPr>
            <w:tcW w:type="dxa" w:w="1531"/>
            <w:tcMar>
              <w:top w:w="70" w:type="dxa"/>
              <w:left w:w="80" w:type="dxa"/>
              <w:bottom w:w="70" w:type="dxa"/>
              <w:right w:w="80" w:type="dxa"/>
            </w:tcMar>
          </w:tcPr>
          <w:p>
            <w:r>
              <w:rPr>
                <w:sz w:val="15"/>
              </w:rPr>
              <w:t>§27; INV-ECO-01; API/event contract tests; requirement ECO-01-R07</w:t>
            </w:r>
          </w:p>
        </w:tc>
        <w:tc>
          <w:tcPr>
            <w:tcW w:type="dxa" w:w="1531"/>
            <w:tcMar>
              <w:top w:w="70" w:type="dxa"/>
              <w:left w:w="80" w:type="dxa"/>
              <w:bottom w:w="70" w:type="dxa"/>
              <w:right w:w="80" w:type="dxa"/>
            </w:tcMar>
          </w:tcPr>
          <w:p>
            <w:r>
              <w:rPr>
                <w:sz w:val="15"/>
              </w:rPr>
              <w:t>§28; RB-ECO-01</w:t>
            </w:r>
          </w:p>
        </w:tc>
        <w:tc>
          <w:tcPr>
            <w:tcW w:type="dxa" w:w="1531"/>
            <w:tcMar>
              <w:top w:w="70" w:type="dxa"/>
              <w:left w:w="80" w:type="dxa"/>
              <w:bottom w:w="70" w:type="dxa"/>
              <w:right w:w="80" w:type="dxa"/>
            </w:tcMar>
          </w:tcPr>
          <w:p>
            <w:r>
              <w:rPr>
                <w:sz w:val="15"/>
              </w:rPr>
              <w:t>DEFERRED - V2 Platform</w:t>
            </w:r>
          </w:p>
        </w:tc>
      </w:tr>
      <w:tr>
        <w:tc>
          <w:tcPr>
            <w:tcW w:type="dxa" w:w="1531"/>
            <w:tcMar>
              <w:top w:w="70" w:type="dxa"/>
              <w:left w:w="80" w:type="dxa"/>
              <w:bottom w:w="70" w:type="dxa"/>
              <w:right w:w="80" w:type="dxa"/>
            </w:tcMar>
          </w:tcPr>
          <w:p>
            <w:r>
              <w:rPr>
                <w:sz w:val="15"/>
              </w:rPr>
              <w:t>ECO-01-R08</w:t>
            </w:r>
          </w:p>
        </w:tc>
        <w:tc>
          <w:tcPr>
            <w:tcW w:type="dxa" w:w="1531"/>
            <w:tcMar>
              <w:top w:w="70" w:type="dxa"/>
              <w:left w:w="80" w:type="dxa"/>
              <w:bottom w:w="70" w:type="dxa"/>
              <w:right w:w="80" w:type="dxa"/>
            </w:tcMar>
          </w:tcPr>
          <w:p>
            <w:r>
              <w:rPr>
                <w:sz w:val="15"/>
              </w:rPr>
              <w:t>Developer Platform, APIs, Webhooks &amp; Sandbox</w:t>
            </w:r>
          </w:p>
        </w:tc>
        <w:tc>
          <w:tcPr>
            <w:tcW w:type="dxa" w:w="1531"/>
            <w:tcMar>
              <w:top w:w="70" w:type="dxa"/>
              <w:left w:w="80" w:type="dxa"/>
              <w:bottom w:w="70" w:type="dxa"/>
              <w:right w:w="80" w:type="dxa"/>
            </w:tcMar>
          </w:tcPr>
          <w:p>
            <w:r>
              <w:rPr>
                <w:sz w:val="15"/>
              </w:rPr>
              <w:t>Partner certification and security review for sensitive scopes.</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V2 Platform</w:t>
            </w:r>
          </w:p>
        </w:tc>
        <w:tc>
          <w:tcPr>
            <w:tcW w:type="dxa" w:w="1531"/>
            <w:tcMar>
              <w:top w:w="70" w:type="dxa"/>
              <w:left w:w="80" w:type="dxa"/>
              <w:bottom w:w="70" w:type="dxa"/>
              <w:right w:w="80" w:type="dxa"/>
            </w:tcMar>
          </w:tcPr>
          <w:p>
            <w:r>
              <w:rPr>
                <w:sz w:val="15"/>
              </w:rPr>
              <w:t>ECO-01</w:t>
            </w:r>
          </w:p>
        </w:tc>
        <w:tc>
          <w:tcPr>
            <w:tcW w:type="dxa" w:w="1531"/>
            <w:tcMar>
              <w:top w:w="70" w:type="dxa"/>
              <w:left w:w="80" w:type="dxa"/>
              <w:bottom w:w="70" w:type="dxa"/>
              <w:right w:w="80" w:type="dxa"/>
            </w:tcMar>
          </w:tcPr>
          <w:p>
            <w:r>
              <w:rPr>
                <w:sz w:val="15"/>
              </w:rPr>
              <w:t>§10.40 ECO-01 Implementation Contract; §20</w:t>
            </w:r>
          </w:p>
        </w:tc>
        <w:tc>
          <w:tcPr>
            <w:tcW w:type="dxa" w:w="1531"/>
            <w:tcMar>
              <w:top w:w="70" w:type="dxa"/>
              <w:left w:w="80" w:type="dxa"/>
              <w:bottom w:w="70" w:type="dxa"/>
              <w:right w:w="80" w:type="dxa"/>
            </w:tcMar>
          </w:tcPr>
          <w:p>
            <w:r>
              <w:rPr>
                <w:sz w:val="15"/>
              </w:rPr>
              <w:t>§27; INV-ECO-01; API/event contract tests; requirement ECO-01-R08</w:t>
            </w:r>
          </w:p>
        </w:tc>
        <w:tc>
          <w:tcPr>
            <w:tcW w:type="dxa" w:w="1531"/>
            <w:tcMar>
              <w:top w:w="70" w:type="dxa"/>
              <w:left w:w="80" w:type="dxa"/>
              <w:bottom w:w="70" w:type="dxa"/>
              <w:right w:w="80" w:type="dxa"/>
            </w:tcMar>
          </w:tcPr>
          <w:p>
            <w:r>
              <w:rPr>
                <w:sz w:val="15"/>
              </w:rPr>
              <w:t>§28; RB-ECO-01</w:t>
            </w:r>
          </w:p>
        </w:tc>
        <w:tc>
          <w:tcPr>
            <w:tcW w:type="dxa" w:w="1531"/>
            <w:tcMar>
              <w:top w:w="70" w:type="dxa"/>
              <w:left w:w="80" w:type="dxa"/>
              <w:bottom w:w="70" w:type="dxa"/>
              <w:right w:w="80" w:type="dxa"/>
            </w:tcMar>
          </w:tcPr>
          <w:p>
            <w:r>
              <w:rPr>
                <w:sz w:val="15"/>
              </w:rPr>
              <w:t>DEFERRED - V2 Platform</w:t>
            </w:r>
          </w:p>
        </w:tc>
      </w:tr>
      <w:tr>
        <w:tc>
          <w:tcPr>
            <w:tcW w:type="dxa" w:w="1531"/>
            <w:tcMar>
              <w:top w:w="70" w:type="dxa"/>
              <w:left w:w="80" w:type="dxa"/>
              <w:bottom w:w="70" w:type="dxa"/>
              <w:right w:w="80" w:type="dxa"/>
            </w:tcMar>
          </w:tcPr>
          <w:p>
            <w:r>
              <w:rPr>
                <w:sz w:val="15"/>
              </w:rPr>
              <w:t>ECO-02-R01</w:t>
            </w:r>
          </w:p>
        </w:tc>
        <w:tc>
          <w:tcPr>
            <w:tcW w:type="dxa" w:w="1531"/>
            <w:tcMar>
              <w:top w:w="70" w:type="dxa"/>
              <w:left w:w="80" w:type="dxa"/>
              <w:bottom w:w="70" w:type="dxa"/>
              <w:right w:w="80" w:type="dxa"/>
            </w:tcMar>
          </w:tcPr>
          <w:p>
            <w:r>
              <w:rPr>
                <w:sz w:val="15"/>
              </w:rPr>
              <w:t>Integration Framework, Marketplace &amp; Partner Ecosystem</w:t>
            </w:r>
          </w:p>
        </w:tc>
        <w:tc>
          <w:tcPr>
            <w:tcW w:type="dxa" w:w="1531"/>
            <w:tcMar>
              <w:top w:w="70" w:type="dxa"/>
              <w:left w:w="80" w:type="dxa"/>
              <w:bottom w:w="70" w:type="dxa"/>
              <w:right w:w="80" w:type="dxa"/>
            </w:tcMar>
          </w:tcPr>
          <w:p>
            <w:r>
              <w:rPr>
                <w:sz w:val="15"/>
              </w:rPr>
              <w:t>Integration catalog with capabilities, regions, prerequisites, permissions, pricing and support owner.</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V2 Platform</w:t>
            </w:r>
          </w:p>
        </w:tc>
        <w:tc>
          <w:tcPr>
            <w:tcW w:type="dxa" w:w="1531"/>
            <w:tcMar>
              <w:top w:w="70" w:type="dxa"/>
              <w:left w:w="80" w:type="dxa"/>
              <w:bottom w:w="70" w:type="dxa"/>
              <w:right w:w="80" w:type="dxa"/>
            </w:tcMar>
          </w:tcPr>
          <w:p>
            <w:r>
              <w:rPr>
                <w:sz w:val="15"/>
              </w:rPr>
              <w:t>ECO-02</w:t>
            </w:r>
          </w:p>
        </w:tc>
        <w:tc>
          <w:tcPr>
            <w:tcW w:type="dxa" w:w="1531"/>
            <w:tcMar>
              <w:top w:w="70" w:type="dxa"/>
              <w:left w:w="80" w:type="dxa"/>
              <w:bottom w:w="70" w:type="dxa"/>
              <w:right w:w="80" w:type="dxa"/>
            </w:tcMar>
          </w:tcPr>
          <w:p>
            <w:r>
              <w:rPr>
                <w:sz w:val="15"/>
              </w:rPr>
              <w:t>§10.41 ECO-02 Implementation Contract; §20</w:t>
            </w:r>
          </w:p>
        </w:tc>
        <w:tc>
          <w:tcPr>
            <w:tcW w:type="dxa" w:w="1531"/>
            <w:tcMar>
              <w:top w:w="70" w:type="dxa"/>
              <w:left w:w="80" w:type="dxa"/>
              <w:bottom w:w="70" w:type="dxa"/>
              <w:right w:w="80" w:type="dxa"/>
            </w:tcMar>
          </w:tcPr>
          <w:p>
            <w:r>
              <w:rPr>
                <w:sz w:val="15"/>
              </w:rPr>
              <w:t>§27; INV-ECO-02; API/event contract tests; requirement ECO-02-R01</w:t>
            </w:r>
          </w:p>
        </w:tc>
        <w:tc>
          <w:tcPr>
            <w:tcW w:type="dxa" w:w="1531"/>
            <w:tcMar>
              <w:top w:w="70" w:type="dxa"/>
              <w:left w:w="80" w:type="dxa"/>
              <w:bottom w:w="70" w:type="dxa"/>
              <w:right w:w="80" w:type="dxa"/>
            </w:tcMar>
          </w:tcPr>
          <w:p>
            <w:r>
              <w:rPr>
                <w:sz w:val="15"/>
              </w:rPr>
              <w:t>§28; RB-ECO-02</w:t>
            </w:r>
          </w:p>
        </w:tc>
        <w:tc>
          <w:tcPr>
            <w:tcW w:type="dxa" w:w="1531"/>
            <w:tcMar>
              <w:top w:w="70" w:type="dxa"/>
              <w:left w:w="80" w:type="dxa"/>
              <w:bottom w:w="70" w:type="dxa"/>
              <w:right w:w="80" w:type="dxa"/>
            </w:tcMar>
          </w:tcPr>
          <w:p>
            <w:r>
              <w:rPr>
                <w:sz w:val="15"/>
              </w:rPr>
              <w:t>DEFERRED - V2 Platform</w:t>
            </w:r>
          </w:p>
        </w:tc>
      </w:tr>
      <w:tr>
        <w:tc>
          <w:tcPr>
            <w:tcW w:type="dxa" w:w="1531"/>
            <w:tcMar>
              <w:top w:w="70" w:type="dxa"/>
              <w:left w:w="80" w:type="dxa"/>
              <w:bottom w:w="70" w:type="dxa"/>
              <w:right w:w="80" w:type="dxa"/>
            </w:tcMar>
          </w:tcPr>
          <w:p>
            <w:r>
              <w:rPr>
                <w:sz w:val="15"/>
              </w:rPr>
              <w:t>ECO-02-R02</w:t>
            </w:r>
          </w:p>
        </w:tc>
        <w:tc>
          <w:tcPr>
            <w:tcW w:type="dxa" w:w="1531"/>
            <w:tcMar>
              <w:top w:w="70" w:type="dxa"/>
              <w:left w:w="80" w:type="dxa"/>
              <w:bottom w:w="70" w:type="dxa"/>
              <w:right w:w="80" w:type="dxa"/>
            </w:tcMar>
          </w:tcPr>
          <w:p>
            <w:r>
              <w:rPr>
                <w:sz w:val="15"/>
              </w:rPr>
              <w:t>Integration Framework, Marketplace &amp; Partner Ecosystem</w:t>
            </w:r>
          </w:p>
        </w:tc>
        <w:tc>
          <w:tcPr>
            <w:tcW w:type="dxa" w:w="1531"/>
            <w:tcMar>
              <w:top w:w="70" w:type="dxa"/>
              <w:left w:w="80" w:type="dxa"/>
              <w:bottom w:w="70" w:type="dxa"/>
              <w:right w:w="80" w:type="dxa"/>
            </w:tcMar>
          </w:tcPr>
          <w:p>
            <w:r>
              <w:rPr>
                <w:sz w:val="15"/>
              </w:rPr>
              <w:t>Standard connector lifecycle: install, authorize, configure, validate, activate, monitor, rotate and uninstall.</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V2 Platform</w:t>
            </w:r>
          </w:p>
        </w:tc>
        <w:tc>
          <w:tcPr>
            <w:tcW w:type="dxa" w:w="1531"/>
            <w:tcMar>
              <w:top w:w="70" w:type="dxa"/>
              <w:left w:w="80" w:type="dxa"/>
              <w:bottom w:w="70" w:type="dxa"/>
              <w:right w:w="80" w:type="dxa"/>
            </w:tcMar>
          </w:tcPr>
          <w:p>
            <w:r>
              <w:rPr>
                <w:sz w:val="15"/>
              </w:rPr>
              <w:t>ECO-02</w:t>
            </w:r>
          </w:p>
        </w:tc>
        <w:tc>
          <w:tcPr>
            <w:tcW w:type="dxa" w:w="1531"/>
            <w:tcMar>
              <w:top w:w="70" w:type="dxa"/>
              <w:left w:w="80" w:type="dxa"/>
              <w:bottom w:w="70" w:type="dxa"/>
              <w:right w:w="80" w:type="dxa"/>
            </w:tcMar>
          </w:tcPr>
          <w:p>
            <w:r>
              <w:rPr>
                <w:sz w:val="15"/>
              </w:rPr>
              <w:t>§10.41 ECO-02 Implementation Contract; §20</w:t>
            </w:r>
          </w:p>
        </w:tc>
        <w:tc>
          <w:tcPr>
            <w:tcW w:type="dxa" w:w="1531"/>
            <w:tcMar>
              <w:top w:w="70" w:type="dxa"/>
              <w:left w:w="80" w:type="dxa"/>
              <w:bottom w:w="70" w:type="dxa"/>
              <w:right w:w="80" w:type="dxa"/>
            </w:tcMar>
          </w:tcPr>
          <w:p>
            <w:r>
              <w:rPr>
                <w:sz w:val="15"/>
              </w:rPr>
              <w:t>§27; INV-ECO-02; API/event contract tests; requirement ECO-02-R02</w:t>
            </w:r>
          </w:p>
        </w:tc>
        <w:tc>
          <w:tcPr>
            <w:tcW w:type="dxa" w:w="1531"/>
            <w:tcMar>
              <w:top w:w="70" w:type="dxa"/>
              <w:left w:w="80" w:type="dxa"/>
              <w:bottom w:w="70" w:type="dxa"/>
              <w:right w:w="80" w:type="dxa"/>
            </w:tcMar>
          </w:tcPr>
          <w:p>
            <w:r>
              <w:rPr>
                <w:sz w:val="15"/>
              </w:rPr>
              <w:t>§28; RB-ECO-02</w:t>
            </w:r>
          </w:p>
        </w:tc>
        <w:tc>
          <w:tcPr>
            <w:tcW w:type="dxa" w:w="1531"/>
            <w:tcMar>
              <w:top w:w="70" w:type="dxa"/>
              <w:left w:w="80" w:type="dxa"/>
              <w:bottom w:w="70" w:type="dxa"/>
              <w:right w:w="80" w:type="dxa"/>
            </w:tcMar>
          </w:tcPr>
          <w:p>
            <w:r>
              <w:rPr>
                <w:sz w:val="15"/>
              </w:rPr>
              <w:t>DEFERRED - V2 Platform</w:t>
            </w:r>
          </w:p>
        </w:tc>
      </w:tr>
      <w:tr>
        <w:tc>
          <w:tcPr>
            <w:tcW w:type="dxa" w:w="1531"/>
            <w:tcMar>
              <w:top w:w="70" w:type="dxa"/>
              <w:left w:w="80" w:type="dxa"/>
              <w:bottom w:w="70" w:type="dxa"/>
              <w:right w:w="80" w:type="dxa"/>
            </w:tcMar>
          </w:tcPr>
          <w:p>
            <w:r>
              <w:rPr>
                <w:sz w:val="15"/>
              </w:rPr>
              <w:t>ECO-02-R03</w:t>
            </w:r>
          </w:p>
        </w:tc>
        <w:tc>
          <w:tcPr>
            <w:tcW w:type="dxa" w:w="1531"/>
            <w:tcMar>
              <w:top w:w="70" w:type="dxa"/>
              <w:left w:w="80" w:type="dxa"/>
              <w:bottom w:w="70" w:type="dxa"/>
              <w:right w:w="80" w:type="dxa"/>
            </w:tcMar>
          </w:tcPr>
          <w:p>
            <w:r>
              <w:rPr>
                <w:sz w:val="15"/>
              </w:rPr>
              <w:t>Integration Framework, Marketplace &amp; Partner Ecosystem</w:t>
            </w:r>
          </w:p>
        </w:tc>
        <w:tc>
          <w:tcPr>
            <w:tcW w:type="dxa" w:w="1531"/>
            <w:tcMar>
              <w:top w:w="70" w:type="dxa"/>
              <w:left w:w="80" w:type="dxa"/>
              <w:bottom w:w="70" w:type="dxa"/>
              <w:right w:w="80" w:type="dxa"/>
            </w:tcMar>
          </w:tcPr>
          <w:p>
            <w:r>
              <w:rPr>
                <w:sz w:val="15"/>
              </w:rPr>
              <w:t>Provider abstraction for payments, WhatsApp/SMS/email, accounting, access hardware, identity and storage.</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V2 Platform</w:t>
            </w:r>
          </w:p>
        </w:tc>
        <w:tc>
          <w:tcPr>
            <w:tcW w:type="dxa" w:w="1531"/>
            <w:tcMar>
              <w:top w:w="70" w:type="dxa"/>
              <w:left w:w="80" w:type="dxa"/>
              <w:bottom w:w="70" w:type="dxa"/>
              <w:right w:w="80" w:type="dxa"/>
            </w:tcMar>
          </w:tcPr>
          <w:p>
            <w:r>
              <w:rPr>
                <w:sz w:val="15"/>
              </w:rPr>
              <w:t>ECO-02</w:t>
            </w:r>
          </w:p>
        </w:tc>
        <w:tc>
          <w:tcPr>
            <w:tcW w:type="dxa" w:w="1531"/>
            <w:tcMar>
              <w:top w:w="70" w:type="dxa"/>
              <w:left w:w="80" w:type="dxa"/>
              <w:bottom w:w="70" w:type="dxa"/>
              <w:right w:w="80" w:type="dxa"/>
            </w:tcMar>
          </w:tcPr>
          <w:p>
            <w:r>
              <w:rPr>
                <w:sz w:val="15"/>
              </w:rPr>
              <w:t>§10.41 ECO-02 Implementation Contract; §20</w:t>
            </w:r>
          </w:p>
        </w:tc>
        <w:tc>
          <w:tcPr>
            <w:tcW w:type="dxa" w:w="1531"/>
            <w:tcMar>
              <w:top w:w="70" w:type="dxa"/>
              <w:left w:w="80" w:type="dxa"/>
              <w:bottom w:w="70" w:type="dxa"/>
              <w:right w:w="80" w:type="dxa"/>
            </w:tcMar>
          </w:tcPr>
          <w:p>
            <w:r>
              <w:rPr>
                <w:sz w:val="15"/>
              </w:rPr>
              <w:t>§27; INV-ECO-02; API/event contract tests; requirement ECO-02-R03</w:t>
            </w:r>
          </w:p>
        </w:tc>
        <w:tc>
          <w:tcPr>
            <w:tcW w:type="dxa" w:w="1531"/>
            <w:tcMar>
              <w:top w:w="70" w:type="dxa"/>
              <w:left w:w="80" w:type="dxa"/>
              <w:bottom w:w="70" w:type="dxa"/>
              <w:right w:w="80" w:type="dxa"/>
            </w:tcMar>
          </w:tcPr>
          <w:p>
            <w:r>
              <w:rPr>
                <w:sz w:val="15"/>
              </w:rPr>
              <w:t>§28; RB-ECO-02</w:t>
            </w:r>
          </w:p>
        </w:tc>
        <w:tc>
          <w:tcPr>
            <w:tcW w:type="dxa" w:w="1531"/>
            <w:tcMar>
              <w:top w:w="70" w:type="dxa"/>
              <w:left w:w="80" w:type="dxa"/>
              <w:bottom w:w="70" w:type="dxa"/>
              <w:right w:w="80" w:type="dxa"/>
            </w:tcMar>
          </w:tcPr>
          <w:p>
            <w:r>
              <w:rPr>
                <w:sz w:val="15"/>
              </w:rPr>
              <w:t>DEFERRED - V2 Platform</w:t>
            </w:r>
          </w:p>
        </w:tc>
      </w:tr>
      <w:tr>
        <w:tc>
          <w:tcPr>
            <w:tcW w:type="dxa" w:w="1531"/>
            <w:tcMar>
              <w:top w:w="70" w:type="dxa"/>
              <w:left w:w="80" w:type="dxa"/>
              <w:bottom w:w="70" w:type="dxa"/>
              <w:right w:w="80" w:type="dxa"/>
            </w:tcMar>
          </w:tcPr>
          <w:p>
            <w:r>
              <w:rPr>
                <w:sz w:val="15"/>
              </w:rPr>
              <w:t>ECO-02-R04</w:t>
            </w:r>
          </w:p>
        </w:tc>
        <w:tc>
          <w:tcPr>
            <w:tcW w:type="dxa" w:w="1531"/>
            <w:tcMar>
              <w:top w:w="70" w:type="dxa"/>
              <w:left w:w="80" w:type="dxa"/>
              <w:bottom w:w="70" w:type="dxa"/>
              <w:right w:w="80" w:type="dxa"/>
            </w:tcMar>
          </w:tcPr>
          <w:p>
            <w:r>
              <w:rPr>
                <w:sz w:val="15"/>
              </w:rPr>
              <w:t>Integration Framework, Marketplace &amp; Partner Ecosystem</w:t>
            </w:r>
          </w:p>
        </w:tc>
        <w:tc>
          <w:tcPr>
            <w:tcW w:type="dxa" w:w="1531"/>
            <w:tcMar>
              <w:top w:w="70" w:type="dxa"/>
              <w:left w:w="80" w:type="dxa"/>
              <w:bottom w:w="70" w:type="dxa"/>
              <w:right w:w="80" w:type="dxa"/>
            </w:tcMar>
          </w:tcPr>
          <w:p>
            <w:r>
              <w:rPr>
                <w:sz w:val="15"/>
              </w:rPr>
              <w:t>Credential vault, tenant-specific secrets, least scopes and automated rotation reminders.</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V2 Platform</w:t>
            </w:r>
          </w:p>
        </w:tc>
        <w:tc>
          <w:tcPr>
            <w:tcW w:type="dxa" w:w="1531"/>
            <w:tcMar>
              <w:top w:w="70" w:type="dxa"/>
              <w:left w:w="80" w:type="dxa"/>
              <w:bottom w:w="70" w:type="dxa"/>
              <w:right w:w="80" w:type="dxa"/>
            </w:tcMar>
          </w:tcPr>
          <w:p>
            <w:r>
              <w:rPr>
                <w:sz w:val="15"/>
              </w:rPr>
              <w:t>ECO-02</w:t>
            </w:r>
          </w:p>
        </w:tc>
        <w:tc>
          <w:tcPr>
            <w:tcW w:type="dxa" w:w="1531"/>
            <w:tcMar>
              <w:top w:w="70" w:type="dxa"/>
              <w:left w:w="80" w:type="dxa"/>
              <w:bottom w:w="70" w:type="dxa"/>
              <w:right w:w="80" w:type="dxa"/>
            </w:tcMar>
          </w:tcPr>
          <w:p>
            <w:r>
              <w:rPr>
                <w:sz w:val="15"/>
              </w:rPr>
              <w:t>§10.41 ECO-02 Implementation Contract; §20</w:t>
            </w:r>
          </w:p>
        </w:tc>
        <w:tc>
          <w:tcPr>
            <w:tcW w:type="dxa" w:w="1531"/>
            <w:tcMar>
              <w:top w:w="70" w:type="dxa"/>
              <w:left w:w="80" w:type="dxa"/>
              <w:bottom w:w="70" w:type="dxa"/>
              <w:right w:w="80" w:type="dxa"/>
            </w:tcMar>
          </w:tcPr>
          <w:p>
            <w:r>
              <w:rPr>
                <w:sz w:val="15"/>
              </w:rPr>
              <w:t>§27; INV-ECO-02; API/event contract tests; requirement ECO-02-R04</w:t>
            </w:r>
          </w:p>
        </w:tc>
        <w:tc>
          <w:tcPr>
            <w:tcW w:type="dxa" w:w="1531"/>
            <w:tcMar>
              <w:top w:w="70" w:type="dxa"/>
              <w:left w:w="80" w:type="dxa"/>
              <w:bottom w:w="70" w:type="dxa"/>
              <w:right w:w="80" w:type="dxa"/>
            </w:tcMar>
          </w:tcPr>
          <w:p>
            <w:r>
              <w:rPr>
                <w:sz w:val="15"/>
              </w:rPr>
              <w:t>§28; RB-ECO-02</w:t>
            </w:r>
          </w:p>
        </w:tc>
        <w:tc>
          <w:tcPr>
            <w:tcW w:type="dxa" w:w="1531"/>
            <w:tcMar>
              <w:top w:w="70" w:type="dxa"/>
              <w:left w:w="80" w:type="dxa"/>
              <w:bottom w:w="70" w:type="dxa"/>
              <w:right w:w="80" w:type="dxa"/>
            </w:tcMar>
          </w:tcPr>
          <w:p>
            <w:r>
              <w:rPr>
                <w:sz w:val="15"/>
              </w:rPr>
              <w:t>DEFERRED - V2 Platform</w:t>
            </w:r>
          </w:p>
        </w:tc>
      </w:tr>
      <w:tr>
        <w:tc>
          <w:tcPr>
            <w:tcW w:type="dxa" w:w="1531"/>
            <w:tcMar>
              <w:top w:w="70" w:type="dxa"/>
              <w:left w:w="80" w:type="dxa"/>
              <w:bottom w:w="70" w:type="dxa"/>
              <w:right w:w="80" w:type="dxa"/>
            </w:tcMar>
          </w:tcPr>
          <w:p>
            <w:r>
              <w:rPr>
                <w:sz w:val="15"/>
              </w:rPr>
              <w:t>ECO-02-R05</w:t>
            </w:r>
          </w:p>
        </w:tc>
        <w:tc>
          <w:tcPr>
            <w:tcW w:type="dxa" w:w="1531"/>
            <w:tcMar>
              <w:top w:w="70" w:type="dxa"/>
              <w:left w:w="80" w:type="dxa"/>
              <w:bottom w:w="70" w:type="dxa"/>
              <w:right w:w="80" w:type="dxa"/>
            </w:tcMar>
          </w:tcPr>
          <w:p>
            <w:r>
              <w:rPr>
                <w:sz w:val="15"/>
              </w:rPr>
              <w:t>Integration Framework, Marketplace &amp; Partner Ecosystem</w:t>
            </w:r>
          </w:p>
        </w:tc>
        <w:tc>
          <w:tcPr>
            <w:tcW w:type="dxa" w:w="1531"/>
            <w:tcMar>
              <w:top w:w="70" w:type="dxa"/>
              <w:left w:w="80" w:type="dxa"/>
              <w:bottom w:w="70" w:type="dxa"/>
              <w:right w:w="80" w:type="dxa"/>
            </w:tcMar>
          </w:tcPr>
          <w:p>
            <w:r>
              <w:rPr>
                <w:sz w:val="15"/>
              </w:rPr>
              <w:t>Sync state, cursor, retries, conflict policy, dead-letter, reconciliation and diagnostics.</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V2 Platform</w:t>
            </w:r>
          </w:p>
        </w:tc>
        <w:tc>
          <w:tcPr>
            <w:tcW w:type="dxa" w:w="1531"/>
            <w:tcMar>
              <w:top w:w="70" w:type="dxa"/>
              <w:left w:w="80" w:type="dxa"/>
              <w:bottom w:w="70" w:type="dxa"/>
              <w:right w:w="80" w:type="dxa"/>
            </w:tcMar>
          </w:tcPr>
          <w:p>
            <w:r>
              <w:rPr>
                <w:sz w:val="15"/>
              </w:rPr>
              <w:t>ECO-02</w:t>
            </w:r>
          </w:p>
        </w:tc>
        <w:tc>
          <w:tcPr>
            <w:tcW w:type="dxa" w:w="1531"/>
            <w:tcMar>
              <w:top w:w="70" w:type="dxa"/>
              <w:left w:w="80" w:type="dxa"/>
              <w:bottom w:w="70" w:type="dxa"/>
              <w:right w:w="80" w:type="dxa"/>
            </w:tcMar>
          </w:tcPr>
          <w:p>
            <w:r>
              <w:rPr>
                <w:sz w:val="15"/>
              </w:rPr>
              <w:t>§10.41 ECO-02 Implementation Contract; §20</w:t>
            </w:r>
          </w:p>
        </w:tc>
        <w:tc>
          <w:tcPr>
            <w:tcW w:type="dxa" w:w="1531"/>
            <w:tcMar>
              <w:top w:w="70" w:type="dxa"/>
              <w:left w:w="80" w:type="dxa"/>
              <w:bottom w:w="70" w:type="dxa"/>
              <w:right w:w="80" w:type="dxa"/>
            </w:tcMar>
          </w:tcPr>
          <w:p>
            <w:r>
              <w:rPr>
                <w:sz w:val="15"/>
              </w:rPr>
              <w:t>§27; INV-ECO-02; API/event contract tests; requirement ECO-02-R05</w:t>
            </w:r>
          </w:p>
        </w:tc>
        <w:tc>
          <w:tcPr>
            <w:tcW w:type="dxa" w:w="1531"/>
            <w:tcMar>
              <w:top w:w="70" w:type="dxa"/>
              <w:left w:w="80" w:type="dxa"/>
              <w:bottom w:w="70" w:type="dxa"/>
              <w:right w:w="80" w:type="dxa"/>
            </w:tcMar>
          </w:tcPr>
          <w:p>
            <w:r>
              <w:rPr>
                <w:sz w:val="15"/>
              </w:rPr>
              <w:t>§28; RB-ECO-02</w:t>
            </w:r>
          </w:p>
        </w:tc>
        <w:tc>
          <w:tcPr>
            <w:tcW w:type="dxa" w:w="1531"/>
            <w:tcMar>
              <w:top w:w="70" w:type="dxa"/>
              <w:left w:w="80" w:type="dxa"/>
              <w:bottom w:w="70" w:type="dxa"/>
              <w:right w:w="80" w:type="dxa"/>
            </w:tcMar>
          </w:tcPr>
          <w:p>
            <w:r>
              <w:rPr>
                <w:sz w:val="15"/>
              </w:rPr>
              <w:t>DEFERRED - V2 Platform</w:t>
            </w:r>
          </w:p>
        </w:tc>
      </w:tr>
      <w:tr>
        <w:tc>
          <w:tcPr>
            <w:tcW w:type="dxa" w:w="1531"/>
            <w:tcMar>
              <w:top w:w="70" w:type="dxa"/>
              <w:left w:w="80" w:type="dxa"/>
              <w:bottom w:w="70" w:type="dxa"/>
              <w:right w:w="80" w:type="dxa"/>
            </w:tcMar>
          </w:tcPr>
          <w:p>
            <w:r>
              <w:rPr>
                <w:sz w:val="15"/>
              </w:rPr>
              <w:t>ECO-02-R06</w:t>
            </w:r>
          </w:p>
        </w:tc>
        <w:tc>
          <w:tcPr>
            <w:tcW w:type="dxa" w:w="1531"/>
            <w:tcMar>
              <w:top w:w="70" w:type="dxa"/>
              <w:left w:w="80" w:type="dxa"/>
              <w:bottom w:w="70" w:type="dxa"/>
              <w:right w:w="80" w:type="dxa"/>
            </w:tcMar>
          </w:tcPr>
          <w:p>
            <w:r>
              <w:rPr>
                <w:sz w:val="15"/>
              </w:rPr>
              <w:t>Integration Framework, Marketplace &amp; Partner Ecosystem</w:t>
            </w:r>
          </w:p>
        </w:tc>
        <w:tc>
          <w:tcPr>
            <w:tcW w:type="dxa" w:w="1531"/>
            <w:tcMar>
              <w:top w:w="70" w:type="dxa"/>
              <w:left w:w="80" w:type="dxa"/>
              <w:bottom w:w="70" w:type="dxa"/>
              <w:right w:w="80" w:type="dxa"/>
            </w:tcMar>
          </w:tcPr>
          <w:p>
            <w:r>
              <w:rPr>
                <w:sz w:val="15"/>
              </w:rPr>
              <w:t>Marketplace listing, review, certification, trial, billing, revenue share, ratings and support route.</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V2 Platform</w:t>
            </w:r>
          </w:p>
        </w:tc>
        <w:tc>
          <w:tcPr>
            <w:tcW w:type="dxa" w:w="1531"/>
            <w:tcMar>
              <w:top w:w="70" w:type="dxa"/>
              <w:left w:w="80" w:type="dxa"/>
              <w:bottom w:w="70" w:type="dxa"/>
              <w:right w:w="80" w:type="dxa"/>
            </w:tcMar>
          </w:tcPr>
          <w:p>
            <w:r>
              <w:rPr>
                <w:sz w:val="15"/>
              </w:rPr>
              <w:t>ECO-02</w:t>
            </w:r>
          </w:p>
        </w:tc>
        <w:tc>
          <w:tcPr>
            <w:tcW w:type="dxa" w:w="1531"/>
            <w:tcMar>
              <w:top w:w="70" w:type="dxa"/>
              <w:left w:w="80" w:type="dxa"/>
              <w:bottom w:w="70" w:type="dxa"/>
              <w:right w:w="80" w:type="dxa"/>
            </w:tcMar>
          </w:tcPr>
          <w:p>
            <w:r>
              <w:rPr>
                <w:sz w:val="15"/>
              </w:rPr>
              <w:t>§10.41 ECO-02 Implementation Contract; §20</w:t>
            </w:r>
          </w:p>
        </w:tc>
        <w:tc>
          <w:tcPr>
            <w:tcW w:type="dxa" w:w="1531"/>
            <w:tcMar>
              <w:top w:w="70" w:type="dxa"/>
              <w:left w:w="80" w:type="dxa"/>
              <w:bottom w:w="70" w:type="dxa"/>
              <w:right w:w="80" w:type="dxa"/>
            </w:tcMar>
          </w:tcPr>
          <w:p>
            <w:r>
              <w:rPr>
                <w:sz w:val="15"/>
              </w:rPr>
              <w:t>§27; INV-ECO-02; API/event contract tests; requirement ECO-02-R06</w:t>
            </w:r>
          </w:p>
        </w:tc>
        <w:tc>
          <w:tcPr>
            <w:tcW w:type="dxa" w:w="1531"/>
            <w:tcMar>
              <w:top w:w="70" w:type="dxa"/>
              <w:left w:w="80" w:type="dxa"/>
              <w:bottom w:w="70" w:type="dxa"/>
              <w:right w:w="80" w:type="dxa"/>
            </w:tcMar>
          </w:tcPr>
          <w:p>
            <w:r>
              <w:rPr>
                <w:sz w:val="15"/>
              </w:rPr>
              <w:t>§28; RB-ECO-02</w:t>
            </w:r>
          </w:p>
        </w:tc>
        <w:tc>
          <w:tcPr>
            <w:tcW w:type="dxa" w:w="1531"/>
            <w:tcMar>
              <w:top w:w="70" w:type="dxa"/>
              <w:left w:w="80" w:type="dxa"/>
              <w:bottom w:w="70" w:type="dxa"/>
              <w:right w:w="80" w:type="dxa"/>
            </w:tcMar>
          </w:tcPr>
          <w:p>
            <w:r>
              <w:rPr>
                <w:sz w:val="15"/>
              </w:rPr>
              <w:t>DEFERRED - V2 Platform</w:t>
            </w:r>
          </w:p>
        </w:tc>
      </w:tr>
      <w:tr>
        <w:tc>
          <w:tcPr>
            <w:tcW w:type="dxa" w:w="1531"/>
            <w:tcMar>
              <w:top w:w="70" w:type="dxa"/>
              <w:left w:w="80" w:type="dxa"/>
              <w:bottom w:w="70" w:type="dxa"/>
              <w:right w:w="80" w:type="dxa"/>
            </w:tcMar>
          </w:tcPr>
          <w:p>
            <w:r>
              <w:rPr>
                <w:sz w:val="15"/>
              </w:rPr>
              <w:t>ECO-02-R07</w:t>
            </w:r>
          </w:p>
        </w:tc>
        <w:tc>
          <w:tcPr>
            <w:tcW w:type="dxa" w:w="1531"/>
            <w:tcMar>
              <w:top w:w="70" w:type="dxa"/>
              <w:left w:w="80" w:type="dxa"/>
              <w:bottom w:w="70" w:type="dxa"/>
              <w:right w:w="80" w:type="dxa"/>
            </w:tcMar>
          </w:tcPr>
          <w:p>
            <w:r>
              <w:rPr>
                <w:sz w:val="15"/>
              </w:rPr>
              <w:t>Integration Framework, Marketplace &amp; Partner Ecosystem</w:t>
            </w:r>
          </w:p>
        </w:tc>
        <w:tc>
          <w:tcPr>
            <w:tcW w:type="dxa" w:w="1531"/>
            <w:tcMar>
              <w:top w:w="70" w:type="dxa"/>
              <w:left w:w="80" w:type="dxa"/>
              <w:bottom w:w="70" w:type="dxa"/>
              <w:right w:w="80" w:type="dxa"/>
            </w:tcMar>
          </w:tcPr>
          <w:p>
            <w:r>
              <w:rPr>
                <w:sz w:val="15"/>
              </w:rPr>
              <w:t>Vendor dependency register with SLA, outage fallback, cost and exit plan.</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V2 Platform</w:t>
            </w:r>
          </w:p>
        </w:tc>
        <w:tc>
          <w:tcPr>
            <w:tcW w:type="dxa" w:w="1531"/>
            <w:tcMar>
              <w:top w:w="70" w:type="dxa"/>
              <w:left w:w="80" w:type="dxa"/>
              <w:bottom w:w="70" w:type="dxa"/>
              <w:right w:w="80" w:type="dxa"/>
            </w:tcMar>
          </w:tcPr>
          <w:p>
            <w:r>
              <w:rPr>
                <w:sz w:val="15"/>
              </w:rPr>
              <w:t>ECO-02</w:t>
            </w:r>
          </w:p>
        </w:tc>
        <w:tc>
          <w:tcPr>
            <w:tcW w:type="dxa" w:w="1531"/>
            <w:tcMar>
              <w:top w:w="70" w:type="dxa"/>
              <w:left w:w="80" w:type="dxa"/>
              <w:bottom w:w="70" w:type="dxa"/>
              <w:right w:w="80" w:type="dxa"/>
            </w:tcMar>
          </w:tcPr>
          <w:p>
            <w:r>
              <w:rPr>
                <w:sz w:val="15"/>
              </w:rPr>
              <w:t>§10.41 ECO-02 Implementation Contract; §20</w:t>
            </w:r>
          </w:p>
        </w:tc>
        <w:tc>
          <w:tcPr>
            <w:tcW w:type="dxa" w:w="1531"/>
            <w:tcMar>
              <w:top w:w="70" w:type="dxa"/>
              <w:left w:w="80" w:type="dxa"/>
              <w:bottom w:w="70" w:type="dxa"/>
              <w:right w:w="80" w:type="dxa"/>
            </w:tcMar>
          </w:tcPr>
          <w:p>
            <w:r>
              <w:rPr>
                <w:sz w:val="15"/>
              </w:rPr>
              <w:t>§27; INV-ECO-02; API/event contract tests; requirement ECO-02-R07</w:t>
            </w:r>
          </w:p>
        </w:tc>
        <w:tc>
          <w:tcPr>
            <w:tcW w:type="dxa" w:w="1531"/>
            <w:tcMar>
              <w:top w:w="70" w:type="dxa"/>
              <w:left w:w="80" w:type="dxa"/>
              <w:bottom w:w="70" w:type="dxa"/>
              <w:right w:w="80" w:type="dxa"/>
            </w:tcMar>
          </w:tcPr>
          <w:p>
            <w:r>
              <w:rPr>
                <w:sz w:val="15"/>
              </w:rPr>
              <w:t>§28; RB-ECO-02</w:t>
            </w:r>
          </w:p>
        </w:tc>
        <w:tc>
          <w:tcPr>
            <w:tcW w:type="dxa" w:w="1531"/>
            <w:tcMar>
              <w:top w:w="70" w:type="dxa"/>
              <w:left w:w="80" w:type="dxa"/>
              <w:bottom w:w="70" w:type="dxa"/>
              <w:right w:w="80" w:type="dxa"/>
            </w:tcMar>
          </w:tcPr>
          <w:p>
            <w:r>
              <w:rPr>
                <w:sz w:val="15"/>
              </w:rPr>
              <w:t>DEFERRED - V2 Platform</w:t>
            </w:r>
          </w:p>
        </w:tc>
      </w:tr>
      <w:tr>
        <w:tc>
          <w:tcPr>
            <w:tcW w:type="dxa" w:w="1531"/>
            <w:tcMar>
              <w:top w:w="70" w:type="dxa"/>
              <w:left w:w="80" w:type="dxa"/>
              <w:bottom w:w="70" w:type="dxa"/>
              <w:right w:w="80" w:type="dxa"/>
            </w:tcMar>
          </w:tcPr>
          <w:p>
            <w:r>
              <w:rPr>
                <w:sz w:val="15"/>
              </w:rPr>
              <w:t>ECO-03-R01</w:t>
            </w:r>
          </w:p>
        </w:tc>
        <w:tc>
          <w:tcPr>
            <w:tcW w:type="dxa" w:w="1531"/>
            <w:tcMar>
              <w:top w:w="70" w:type="dxa"/>
              <w:left w:w="80" w:type="dxa"/>
              <w:bottom w:w="70" w:type="dxa"/>
              <w:right w:w="80" w:type="dxa"/>
            </w:tcMar>
          </w:tcPr>
          <w:p>
            <w:r>
              <w:rPr>
                <w:sz w:val="15"/>
              </w:rPr>
              <w:t>Hardware Abstraction, Edge Runtime &amp; Device Fleet</w:t>
            </w:r>
          </w:p>
        </w:tc>
        <w:tc>
          <w:tcPr>
            <w:tcW w:type="dxa" w:w="1531"/>
            <w:tcMar>
              <w:top w:w="70" w:type="dxa"/>
              <w:left w:w="80" w:type="dxa"/>
              <w:bottom w:w="70" w:type="dxa"/>
              <w:right w:w="80" w:type="dxa"/>
            </w:tcMar>
          </w:tcPr>
          <w:p>
            <w:r>
              <w:rPr>
                <w:sz w:val="15"/>
              </w:rPr>
              <w:t>Canonical device capabilities for credential read, access actuation, biometric match, scan, print, payment and telemetry.</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V2 Platform</w:t>
            </w:r>
          </w:p>
        </w:tc>
        <w:tc>
          <w:tcPr>
            <w:tcW w:type="dxa" w:w="1531"/>
            <w:tcMar>
              <w:top w:w="70" w:type="dxa"/>
              <w:left w:w="80" w:type="dxa"/>
              <w:bottom w:w="70" w:type="dxa"/>
              <w:right w:w="80" w:type="dxa"/>
            </w:tcMar>
          </w:tcPr>
          <w:p>
            <w:r>
              <w:rPr>
                <w:sz w:val="15"/>
              </w:rPr>
              <w:t>ECO-03</w:t>
            </w:r>
          </w:p>
        </w:tc>
        <w:tc>
          <w:tcPr>
            <w:tcW w:type="dxa" w:w="1531"/>
            <w:tcMar>
              <w:top w:w="70" w:type="dxa"/>
              <w:left w:w="80" w:type="dxa"/>
              <w:bottom w:w="70" w:type="dxa"/>
              <w:right w:w="80" w:type="dxa"/>
            </w:tcMar>
          </w:tcPr>
          <w:p>
            <w:r>
              <w:rPr>
                <w:sz w:val="15"/>
              </w:rPr>
              <w:t>§10.42 ECO-03 Implementation Contract; §20</w:t>
            </w:r>
          </w:p>
        </w:tc>
        <w:tc>
          <w:tcPr>
            <w:tcW w:type="dxa" w:w="1531"/>
            <w:tcMar>
              <w:top w:w="70" w:type="dxa"/>
              <w:left w:w="80" w:type="dxa"/>
              <w:bottom w:w="70" w:type="dxa"/>
              <w:right w:w="80" w:type="dxa"/>
            </w:tcMar>
          </w:tcPr>
          <w:p>
            <w:r>
              <w:rPr>
                <w:sz w:val="15"/>
              </w:rPr>
              <w:t>§27; INV-ECO-03; API/event contract tests; requirement ECO-03-R01</w:t>
            </w:r>
          </w:p>
        </w:tc>
        <w:tc>
          <w:tcPr>
            <w:tcW w:type="dxa" w:w="1531"/>
            <w:tcMar>
              <w:top w:w="70" w:type="dxa"/>
              <w:left w:w="80" w:type="dxa"/>
              <w:bottom w:w="70" w:type="dxa"/>
              <w:right w:w="80" w:type="dxa"/>
            </w:tcMar>
          </w:tcPr>
          <w:p>
            <w:r>
              <w:rPr>
                <w:sz w:val="15"/>
              </w:rPr>
              <w:t>§28; RB-ECO-03</w:t>
            </w:r>
          </w:p>
        </w:tc>
        <w:tc>
          <w:tcPr>
            <w:tcW w:type="dxa" w:w="1531"/>
            <w:tcMar>
              <w:top w:w="70" w:type="dxa"/>
              <w:left w:w="80" w:type="dxa"/>
              <w:bottom w:w="70" w:type="dxa"/>
              <w:right w:w="80" w:type="dxa"/>
            </w:tcMar>
          </w:tcPr>
          <w:p>
            <w:r>
              <w:rPr>
                <w:sz w:val="15"/>
              </w:rPr>
              <w:t>DEFERRED - V2 Platform</w:t>
            </w:r>
          </w:p>
        </w:tc>
      </w:tr>
      <w:tr>
        <w:tc>
          <w:tcPr>
            <w:tcW w:type="dxa" w:w="1531"/>
            <w:tcMar>
              <w:top w:w="70" w:type="dxa"/>
              <w:left w:w="80" w:type="dxa"/>
              <w:bottom w:w="70" w:type="dxa"/>
              <w:right w:w="80" w:type="dxa"/>
            </w:tcMar>
          </w:tcPr>
          <w:p>
            <w:r>
              <w:rPr>
                <w:sz w:val="15"/>
              </w:rPr>
              <w:t>ECO-03-R02</w:t>
            </w:r>
          </w:p>
        </w:tc>
        <w:tc>
          <w:tcPr>
            <w:tcW w:type="dxa" w:w="1531"/>
            <w:tcMar>
              <w:top w:w="70" w:type="dxa"/>
              <w:left w:w="80" w:type="dxa"/>
              <w:bottom w:w="70" w:type="dxa"/>
              <w:right w:w="80" w:type="dxa"/>
            </w:tcMar>
          </w:tcPr>
          <w:p>
            <w:r>
              <w:rPr>
                <w:sz w:val="15"/>
              </w:rPr>
              <w:t>Hardware Abstraction, Edge Runtime &amp; Device Fleet</w:t>
            </w:r>
          </w:p>
        </w:tc>
        <w:tc>
          <w:tcPr>
            <w:tcW w:type="dxa" w:w="1531"/>
            <w:tcMar>
              <w:top w:w="70" w:type="dxa"/>
              <w:left w:w="80" w:type="dxa"/>
              <w:bottom w:w="70" w:type="dxa"/>
              <w:right w:w="80" w:type="dxa"/>
            </w:tcMar>
          </w:tcPr>
          <w:p>
            <w:r>
              <w:rPr>
                <w:sz w:val="15"/>
              </w:rPr>
              <w:t>Vendor adapters behind stable commands, events, health and configuration contracts.</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V2 Platform</w:t>
            </w:r>
          </w:p>
        </w:tc>
        <w:tc>
          <w:tcPr>
            <w:tcW w:type="dxa" w:w="1531"/>
            <w:tcMar>
              <w:top w:w="70" w:type="dxa"/>
              <w:left w:w="80" w:type="dxa"/>
              <w:bottom w:w="70" w:type="dxa"/>
              <w:right w:w="80" w:type="dxa"/>
            </w:tcMar>
          </w:tcPr>
          <w:p>
            <w:r>
              <w:rPr>
                <w:sz w:val="15"/>
              </w:rPr>
              <w:t>ECO-03</w:t>
            </w:r>
          </w:p>
        </w:tc>
        <w:tc>
          <w:tcPr>
            <w:tcW w:type="dxa" w:w="1531"/>
            <w:tcMar>
              <w:top w:w="70" w:type="dxa"/>
              <w:left w:w="80" w:type="dxa"/>
              <w:bottom w:w="70" w:type="dxa"/>
              <w:right w:w="80" w:type="dxa"/>
            </w:tcMar>
          </w:tcPr>
          <w:p>
            <w:r>
              <w:rPr>
                <w:sz w:val="15"/>
              </w:rPr>
              <w:t>§10.42 ECO-03 Implementation Contract; §20</w:t>
            </w:r>
          </w:p>
        </w:tc>
        <w:tc>
          <w:tcPr>
            <w:tcW w:type="dxa" w:w="1531"/>
            <w:tcMar>
              <w:top w:w="70" w:type="dxa"/>
              <w:left w:w="80" w:type="dxa"/>
              <w:bottom w:w="70" w:type="dxa"/>
              <w:right w:w="80" w:type="dxa"/>
            </w:tcMar>
          </w:tcPr>
          <w:p>
            <w:r>
              <w:rPr>
                <w:sz w:val="15"/>
              </w:rPr>
              <w:t>§27; INV-ECO-03; API/event contract tests; requirement ECO-03-R02</w:t>
            </w:r>
          </w:p>
        </w:tc>
        <w:tc>
          <w:tcPr>
            <w:tcW w:type="dxa" w:w="1531"/>
            <w:tcMar>
              <w:top w:w="70" w:type="dxa"/>
              <w:left w:w="80" w:type="dxa"/>
              <w:bottom w:w="70" w:type="dxa"/>
              <w:right w:w="80" w:type="dxa"/>
            </w:tcMar>
          </w:tcPr>
          <w:p>
            <w:r>
              <w:rPr>
                <w:sz w:val="15"/>
              </w:rPr>
              <w:t>§28; RB-ECO-03</w:t>
            </w:r>
          </w:p>
        </w:tc>
        <w:tc>
          <w:tcPr>
            <w:tcW w:type="dxa" w:w="1531"/>
            <w:tcMar>
              <w:top w:w="70" w:type="dxa"/>
              <w:left w:w="80" w:type="dxa"/>
              <w:bottom w:w="70" w:type="dxa"/>
              <w:right w:w="80" w:type="dxa"/>
            </w:tcMar>
          </w:tcPr>
          <w:p>
            <w:r>
              <w:rPr>
                <w:sz w:val="15"/>
              </w:rPr>
              <w:t>DEFERRED - V2 Platform</w:t>
            </w:r>
          </w:p>
        </w:tc>
      </w:tr>
      <w:tr>
        <w:tc>
          <w:tcPr>
            <w:tcW w:type="dxa" w:w="1531"/>
            <w:tcMar>
              <w:top w:w="70" w:type="dxa"/>
              <w:left w:w="80" w:type="dxa"/>
              <w:bottom w:w="70" w:type="dxa"/>
              <w:right w:w="80" w:type="dxa"/>
            </w:tcMar>
          </w:tcPr>
          <w:p>
            <w:r>
              <w:rPr>
                <w:sz w:val="15"/>
              </w:rPr>
              <w:t>ECO-03-R03</w:t>
            </w:r>
          </w:p>
        </w:tc>
        <w:tc>
          <w:tcPr>
            <w:tcW w:type="dxa" w:w="1531"/>
            <w:tcMar>
              <w:top w:w="70" w:type="dxa"/>
              <w:left w:w="80" w:type="dxa"/>
              <w:bottom w:w="70" w:type="dxa"/>
              <w:right w:w="80" w:type="dxa"/>
            </w:tcMar>
          </w:tcPr>
          <w:p>
            <w:r>
              <w:rPr>
                <w:sz w:val="15"/>
              </w:rPr>
              <w:t>Hardware Abstraction, Edge Runtime &amp; Device Fleet</w:t>
            </w:r>
          </w:p>
        </w:tc>
        <w:tc>
          <w:tcPr>
            <w:tcW w:type="dxa" w:w="1531"/>
            <w:tcMar>
              <w:top w:w="70" w:type="dxa"/>
              <w:left w:w="80" w:type="dxa"/>
              <w:bottom w:w="70" w:type="dxa"/>
              <w:right w:w="80" w:type="dxa"/>
            </w:tcMar>
          </w:tcPr>
          <w:p>
            <w:r>
              <w:rPr>
                <w:sz w:val="15"/>
              </w:rPr>
              <w:t>Device enrollment, tenant/location assignment, certificate, firmware, configuration and remote revoke.</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V2 Platform</w:t>
            </w:r>
          </w:p>
        </w:tc>
        <w:tc>
          <w:tcPr>
            <w:tcW w:type="dxa" w:w="1531"/>
            <w:tcMar>
              <w:top w:w="70" w:type="dxa"/>
              <w:left w:w="80" w:type="dxa"/>
              <w:bottom w:w="70" w:type="dxa"/>
              <w:right w:w="80" w:type="dxa"/>
            </w:tcMar>
          </w:tcPr>
          <w:p>
            <w:r>
              <w:rPr>
                <w:sz w:val="15"/>
              </w:rPr>
              <w:t>ECO-03</w:t>
            </w:r>
          </w:p>
        </w:tc>
        <w:tc>
          <w:tcPr>
            <w:tcW w:type="dxa" w:w="1531"/>
            <w:tcMar>
              <w:top w:w="70" w:type="dxa"/>
              <w:left w:w="80" w:type="dxa"/>
              <w:bottom w:w="70" w:type="dxa"/>
              <w:right w:w="80" w:type="dxa"/>
            </w:tcMar>
          </w:tcPr>
          <w:p>
            <w:r>
              <w:rPr>
                <w:sz w:val="15"/>
              </w:rPr>
              <w:t>§10.42 ECO-03 Implementation Contract; §20</w:t>
            </w:r>
          </w:p>
        </w:tc>
        <w:tc>
          <w:tcPr>
            <w:tcW w:type="dxa" w:w="1531"/>
            <w:tcMar>
              <w:top w:w="70" w:type="dxa"/>
              <w:left w:w="80" w:type="dxa"/>
              <w:bottom w:w="70" w:type="dxa"/>
              <w:right w:w="80" w:type="dxa"/>
            </w:tcMar>
          </w:tcPr>
          <w:p>
            <w:r>
              <w:rPr>
                <w:sz w:val="15"/>
              </w:rPr>
              <w:t>§27; INV-ECO-03; API/event contract tests; requirement ECO-03-R03</w:t>
            </w:r>
          </w:p>
        </w:tc>
        <w:tc>
          <w:tcPr>
            <w:tcW w:type="dxa" w:w="1531"/>
            <w:tcMar>
              <w:top w:w="70" w:type="dxa"/>
              <w:left w:w="80" w:type="dxa"/>
              <w:bottom w:w="70" w:type="dxa"/>
              <w:right w:w="80" w:type="dxa"/>
            </w:tcMar>
          </w:tcPr>
          <w:p>
            <w:r>
              <w:rPr>
                <w:sz w:val="15"/>
              </w:rPr>
              <w:t>§28; RB-ECO-03</w:t>
            </w:r>
          </w:p>
        </w:tc>
        <w:tc>
          <w:tcPr>
            <w:tcW w:type="dxa" w:w="1531"/>
            <w:tcMar>
              <w:top w:w="70" w:type="dxa"/>
              <w:left w:w="80" w:type="dxa"/>
              <w:bottom w:w="70" w:type="dxa"/>
              <w:right w:w="80" w:type="dxa"/>
            </w:tcMar>
          </w:tcPr>
          <w:p>
            <w:r>
              <w:rPr>
                <w:sz w:val="15"/>
              </w:rPr>
              <w:t>DEFERRED - V2 Platform</w:t>
            </w:r>
          </w:p>
        </w:tc>
      </w:tr>
      <w:tr>
        <w:tc>
          <w:tcPr>
            <w:tcW w:type="dxa" w:w="1531"/>
            <w:tcMar>
              <w:top w:w="70" w:type="dxa"/>
              <w:left w:w="80" w:type="dxa"/>
              <w:bottom w:w="70" w:type="dxa"/>
              <w:right w:w="80" w:type="dxa"/>
            </w:tcMar>
          </w:tcPr>
          <w:p>
            <w:r>
              <w:rPr>
                <w:sz w:val="15"/>
              </w:rPr>
              <w:t>ECO-03-R04</w:t>
            </w:r>
          </w:p>
        </w:tc>
        <w:tc>
          <w:tcPr>
            <w:tcW w:type="dxa" w:w="1531"/>
            <w:tcMar>
              <w:top w:w="70" w:type="dxa"/>
              <w:left w:w="80" w:type="dxa"/>
              <w:bottom w:w="70" w:type="dxa"/>
              <w:right w:w="80" w:type="dxa"/>
            </w:tcMar>
          </w:tcPr>
          <w:p>
            <w:r>
              <w:rPr>
                <w:sz w:val="15"/>
              </w:rPr>
              <w:t>Hardware Abstraction, Edge Runtime &amp; Device Fleet</w:t>
            </w:r>
          </w:p>
        </w:tc>
        <w:tc>
          <w:tcPr>
            <w:tcW w:type="dxa" w:w="1531"/>
            <w:tcMar>
              <w:top w:w="70" w:type="dxa"/>
              <w:left w:w="80" w:type="dxa"/>
              <w:bottom w:w="70" w:type="dxa"/>
              <w:right w:w="80" w:type="dxa"/>
            </w:tcMar>
          </w:tcPr>
          <w:p>
            <w:r>
              <w:rPr>
                <w:sz w:val="15"/>
              </w:rPr>
              <w:t>Edge runtime with signed policy/data cache, local queue, secure time, retry and conflict handling.</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V2 Platform</w:t>
            </w:r>
          </w:p>
        </w:tc>
        <w:tc>
          <w:tcPr>
            <w:tcW w:type="dxa" w:w="1531"/>
            <w:tcMar>
              <w:top w:w="70" w:type="dxa"/>
              <w:left w:w="80" w:type="dxa"/>
              <w:bottom w:w="70" w:type="dxa"/>
              <w:right w:w="80" w:type="dxa"/>
            </w:tcMar>
          </w:tcPr>
          <w:p>
            <w:r>
              <w:rPr>
                <w:sz w:val="15"/>
              </w:rPr>
              <w:t>ECO-03</w:t>
            </w:r>
          </w:p>
        </w:tc>
        <w:tc>
          <w:tcPr>
            <w:tcW w:type="dxa" w:w="1531"/>
            <w:tcMar>
              <w:top w:w="70" w:type="dxa"/>
              <w:left w:w="80" w:type="dxa"/>
              <w:bottom w:w="70" w:type="dxa"/>
              <w:right w:w="80" w:type="dxa"/>
            </w:tcMar>
          </w:tcPr>
          <w:p>
            <w:r>
              <w:rPr>
                <w:sz w:val="15"/>
              </w:rPr>
              <w:t>§10.42 ECO-03 Implementation Contract; §20</w:t>
            </w:r>
          </w:p>
        </w:tc>
        <w:tc>
          <w:tcPr>
            <w:tcW w:type="dxa" w:w="1531"/>
            <w:tcMar>
              <w:top w:w="70" w:type="dxa"/>
              <w:left w:w="80" w:type="dxa"/>
              <w:bottom w:w="70" w:type="dxa"/>
              <w:right w:w="80" w:type="dxa"/>
            </w:tcMar>
          </w:tcPr>
          <w:p>
            <w:r>
              <w:rPr>
                <w:sz w:val="15"/>
              </w:rPr>
              <w:t>§27; INV-ECO-03; API/event contract tests; requirement ECO-03-R04</w:t>
            </w:r>
          </w:p>
        </w:tc>
        <w:tc>
          <w:tcPr>
            <w:tcW w:type="dxa" w:w="1531"/>
            <w:tcMar>
              <w:top w:w="70" w:type="dxa"/>
              <w:left w:w="80" w:type="dxa"/>
              <w:bottom w:w="70" w:type="dxa"/>
              <w:right w:w="80" w:type="dxa"/>
            </w:tcMar>
          </w:tcPr>
          <w:p>
            <w:r>
              <w:rPr>
                <w:sz w:val="15"/>
              </w:rPr>
              <w:t>§28; RB-ECO-03</w:t>
            </w:r>
          </w:p>
        </w:tc>
        <w:tc>
          <w:tcPr>
            <w:tcW w:type="dxa" w:w="1531"/>
            <w:tcMar>
              <w:top w:w="70" w:type="dxa"/>
              <w:left w:w="80" w:type="dxa"/>
              <w:bottom w:w="70" w:type="dxa"/>
              <w:right w:w="80" w:type="dxa"/>
            </w:tcMar>
          </w:tcPr>
          <w:p>
            <w:r>
              <w:rPr>
                <w:sz w:val="15"/>
              </w:rPr>
              <w:t>DEFERRED - V2 Platform</w:t>
            </w:r>
          </w:p>
        </w:tc>
      </w:tr>
      <w:tr>
        <w:tc>
          <w:tcPr>
            <w:tcW w:type="dxa" w:w="1531"/>
            <w:tcMar>
              <w:top w:w="70" w:type="dxa"/>
              <w:left w:w="80" w:type="dxa"/>
              <w:bottom w:w="70" w:type="dxa"/>
              <w:right w:w="80" w:type="dxa"/>
            </w:tcMar>
          </w:tcPr>
          <w:p>
            <w:r>
              <w:rPr>
                <w:sz w:val="15"/>
              </w:rPr>
              <w:t>ECO-03-R05</w:t>
            </w:r>
          </w:p>
        </w:tc>
        <w:tc>
          <w:tcPr>
            <w:tcW w:type="dxa" w:w="1531"/>
            <w:tcMar>
              <w:top w:w="70" w:type="dxa"/>
              <w:left w:w="80" w:type="dxa"/>
              <w:bottom w:w="70" w:type="dxa"/>
              <w:right w:w="80" w:type="dxa"/>
            </w:tcMar>
          </w:tcPr>
          <w:p>
            <w:r>
              <w:rPr>
                <w:sz w:val="15"/>
              </w:rPr>
              <w:t>Hardware Abstraction, Edge Runtime &amp; Device Fleet</w:t>
            </w:r>
          </w:p>
        </w:tc>
        <w:tc>
          <w:tcPr>
            <w:tcW w:type="dxa" w:w="1531"/>
            <w:tcMar>
              <w:top w:w="70" w:type="dxa"/>
              <w:left w:w="80" w:type="dxa"/>
              <w:bottom w:w="70" w:type="dxa"/>
              <w:right w:w="80" w:type="dxa"/>
            </w:tcMar>
          </w:tcPr>
          <w:p>
            <w:r>
              <w:rPr>
                <w:sz w:val="15"/>
              </w:rPr>
              <w:t>Fleet dashboard for online status, latency, errors, storage, version, peripherals and last sync.</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V2 Platform</w:t>
            </w:r>
          </w:p>
        </w:tc>
        <w:tc>
          <w:tcPr>
            <w:tcW w:type="dxa" w:w="1531"/>
            <w:tcMar>
              <w:top w:w="70" w:type="dxa"/>
              <w:left w:w="80" w:type="dxa"/>
              <w:bottom w:w="70" w:type="dxa"/>
              <w:right w:w="80" w:type="dxa"/>
            </w:tcMar>
          </w:tcPr>
          <w:p>
            <w:r>
              <w:rPr>
                <w:sz w:val="15"/>
              </w:rPr>
              <w:t>ECO-03</w:t>
            </w:r>
          </w:p>
        </w:tc>
        <w:tc>
          <w:tcPr>
            <w:tcW w:type="dxa" w:w="1531"/>
            <w:tcMar>
              <w:top w:w="70" w:type="dxa"/>
              <w:left w:w="80" w:type="dxa"/>
              <w:bottom w:w="70" w:type="dxa"/>
              <w:right w:w="80" w:type="dxa"/>
            </w:tcMar>
          </w:tcPr>
          <w:p>
            <w:r>
              <w:rPr>
                <w:sz w:val="15"/>
              </w:rPr>
              <w:t>§10.42 ECO-03 Implementation Contract; §20</w:t>
            </w:r>
          </w:p>
        </w:tc>
        <w:tc>
          <w:tcPr>
            <w:tcW w:type="dxa" w:w="1531"/>
            <w:tcMar>
              <w:top w:w="70" w:type="dxa"/>
              <w:left w:w="80" w:type="dxa"/>
              <w:bottom w:w="70" w:type="dxa"/>
              <w:right w:w="80" w:type="dxa"/>
            </w:tcMar>
          </w:tcPr>
          <w:p>
            <w:r>
              <w:rPr>
                <w:sz w:val="15"/>
              </w:rPr>
              <w:t>§27; INV-ECO-03; API/event contract tests; requirement ECO-03-R05</w:t>
            </w:r>
          </w:p>
        </w:tc>
        <w:tc>
          <w:tcPr>
            <w:tcW w:type="dxa" w:w="1531"/>
            <w:tcMar>
              <w:top w:w="70" w:type="dxa"/>
              <w:left w:w="80" w:type="dxa"/>
              <w:bottom w:w="70" w:type="dxa"/>
              <w:right w:w="80" w:type="dxa"/>
            </w:tcMar>
          </w:tcPr>
          <w:p>
            <w:r>
              <w:rPr>
                <w:sz w:val="15"/>
              </w:rPr>
              <w:t>§28; RB-ECO-03</w:t>
            </w:r>
          </w:p>
        </w:tc>
        <w:tc>
          <w:tcPr>
            <w:tcW w:type="dxa" w:w="1531"/>
            <w:tcMar>
              <w:top w:w="70" w:type="dxa"/>
              <w:left w:w="80" w:type="dxa"/>
              <w:bottom w:w="70" w:type="dxa"/>
              <w:right w:w="80" w:type="dxa"/>
            </w:tcMar>
          </w:tcPr>
          <w:p>
            <w:r>
              <w:rPr>
                <w:sz w:val="15"/>
              </w:rPr>
              <w:t>DEFERRED - V2 Platform</w:t>
            </w:r>
          </w:p>
        </w:tc>
      </w:tr>
      <w:tr>
        <w:tc>
          <w:tcPr>
            <w:tcW w:type="dxa" w:w="1531"/>
            <w:tcMar>
              <w:top w:w="70" w:type="dxa"/>
              <w:left w:w="80" w:type="dxa"/>
              <w:bottom w:w="70" w:type="dxa"/>
              <w:right w:w="80" w:type="dxa"/>
            </w:tcMar>
          </w:tcPr>
          <w:p>
            <w:r>
              <w:rPr>
                <w:sz w:val="15"/>
              </w:rPr>
              <w:t>ECO-03-R06</w:t>
            </w:r>
          </w:p>
        </w:tc>
        <w:tc>
          <w:tcPr>
            <w:tcW w:type="dxa" w:w="1531"/>
            <w:tcMar>
              <w:top w:w="70" w:type="dxa"/>
              <w:left w:w="80" w:type="dxa"/>
              <w:bottom w:w="70" w:type="dxa"/>
              <w:right w:w="80" w:type="dxa"/>
            </w:tcMar>
          </w:tcPr>
          <w:p>
            <w:r>
              <w:rPr>
                <w:sz w:val="15"/>
              </w:rPr>
              <w:t>Hardware Abstraction, Edge Runtime &amp; Device Fleet</w:t>
            </w:r>
          </w:p>
        </w:tc>
        <w:tc>
          <w:tcPr>
            <w:tcW w:type="dxa" w:w="1531"/>
            <w:tcMar>
              <w:top w:w="70" w:type="dxa"/>
              <w:left w:w="80" w:type="dxa"/>
              <w:bottom w:w="70" w:type="dxa"/>
              <w:right w:w="80" w:type="dxa"/>
            </w:tcMar>
          </w:tcPr>
          <w:p>
            <w:r>
              <w:rPr>
                <w:sz w:val="15"/>
              </w:rPr>
              <w:t>Remote commands, staged rollout, maintenance mode, diagnostics bundle and replacement workflow.</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V2 Platform</w:t>
            </w:r>
          </w:p>
        </w:tc>
        <w:tc>
          <w:tcPr>
            <w:tcW w:type="dxa" w:w="1531"/>
            <w:tcMar>
              <w:top w:w="70" w:type="dxa"/>
              <w:left w:w="80" w:type="dxa"/>
              <w:bottom w:w="70" w:type="dxa"/>
              <w:right w:w="80" w:type="dxa"/>
            </w:tcMar>
          </w:tcPr>
          <w:p>
            <w:r>
              <w:rPr>
                <w:sz w:val="15"/>
              </w:rPr>
              <w:t>ECO-03</w:t>
            </w:r>
          </w:p>
        </w:tc>
        <w:tc>
          <w:tcPr>
            <w:tcW w:type="dxa" w:w="1531"/>
            <w:tcMar>
              <w:top w:w="70" w:type="dxa"/>
              <w:left w:w="80" w:type="dxa"/>
              <w:bottom w:w="70" w:type="dxa"/>
              <w:right w:w="80" w:type="dxa"/>
            </w:tcMar>
          </w:tcPr>
          <w:p>
            <w:r>
              <w:rPr>
                <w:sz w:val="15"/>
              </w:rPr>
              <w:t>§10.42 ECO-03 Implementation Contract; §20</w:t>
            </w:r>
          </w:p>
        </w:tc>
        <w:tc>
          <w:tcPr>
            <w:tcW w:type="dxa" w:w="1531"/>
            <w:tcMar>
              <w:top w:w="70" w:type="dxa"/>
              <w:left w:w="80" w:type="dxa"/>
              <w:bottom w:w="70" w:type="dxa"/>
              <w:right w:w="80" w:type="dxa"/>
            </w:tcMar>
          </w:tcPr>
          <w:p>
            <w:r>
              <w:rPr>
                <w:sz w:val="15"/>
              </w:rPr>
              <w:t>§27; INV-ECO-03; API/event contract tests; requirement ECO-03-R06</w:t>
            </w:r>
          </w:p>
        </w:tc>
        <w:tc>
          <w:tcPr>
            <w:tcW w:type="dxa" w:w="1531"/>
            <w:tcMar>
              <w:top w:w="70" w:type="dxa"/>
              <w:left w:w="80" w:type="dxa"/>
              <w:bottom w:w="70" w:type="dxa"/>
              <w:right w:w="80" w:type="dxa"/>
            </w:tcMar>
          </w:tcPr>
          <w:p>
            <w:r>
              <w:rPr>
                <w:sz w:val="15"/>
              </w:rPr>
              <w:t>§28; RB-ECO-03</w:t>
            </w:r>
          </w:p>
        </w:tc>
        <w:tc>
          <w:tcPr>
            <w:tcW w:type="dxa" w:w="1531"/>
            <w:tcMar>
              <w:top w:w="70" w:type="dxa"/>
              <w:left w:w="80" w:type="dxa"/>
              <w:bottom w:w="70" w:type="dxa"/>
              <w:right w:w="80" w:type="dxa"/>
            </w:tcMar>
          </w:tcPr>
          <w:p>
            <w:r>
              <w:rPr>
                <w:sz w:val="15"/>
              </w:rPr>
              <w:t>DEFERRED - V2 Platform</w:t>
            </w:r>
          </w:p>
        </w:tc>
      </w:tr>
      <w:tr>
        <w:tc>
          <w:tcPr>
            <w:tcW w:type="dxa" w:w="1531"/>
            <w:tcMar>
              <w:top w:w="70" w:type="dxa"/>
              <w:left w:w="80" w:type="dxa"/>
              <w:bottom w:w="70" w:type="dxa"/>
              <w:right w:w="80" w:type="dxa"/>
            </w:tcMar>
          </w:tcPr>
          <w:p>
            <w:r>
              <w:rPr>
                <w:sz w:val="15"/>
              </w:rPr>
              <w:t>ECO-03-R07</w:t>
            </w:r>
          </w:p>
        </w:tc>
        <w:tc>
          <w:tcPr>
            <w:tcW w:type="dxa" w:w="1531"/>
            <w:tcMar>
              <w:top w:w="70" w:type="dxa"/>
              <w:left w:w="80" w:type="dxa"/>
              <w:bottom w:w="70" w:type="dxa"/>
              <w:right w:w="80" w:type="dxa"/>
            </w:tcMar>
          </w:tcPr>
          <w:p>
            <w:r>
              <w:rPr>
                <w:sz w:val="15"/>
              </w:rPr>
              <w:t>Hardware Abstraction, Edge Runtime &amp; Device Fleet</w:t>
            </w:r>
          </w:p>
        </w:tc>
        <w:tc>
          <w:tcPr>
            <w:tcW w:type="dxa" w:w="1531"/>
            <w:tcMar>
              <w:top w:w="70" w:type="dxa"/>
              <w:left w:w="80" w:type="dxa"/>
              <w:bottom w:w="70" w:type="dxa"/>
              <w:right w:w="80" w:type="dxa"/>
            </w:tcMar>
          </w:tcPr>
          <w:p>
            <w:r>
              <w:rPr>
                <w:sz w:val="15"/>
              </w:rPr>
              <w:t>Mobile device management integration for dedicated tablets and kiosks.</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V2 Platform</w:t>
            </w:r>
          </w:p>
        </w:tc>
        <w:tc>
          <w:tcPr>
            <w:tcW w:type="dxa" w:w="1531"/>
            <w:tcMar>
              <w:top w:w="70" w:type="dxa"/>
              <w:left w:w="80" w:type="dxa"/>
              <w:bottom w:w="70" w:type="dxa"/>
              <w:right w:w="80" w:type="dxa"/>
            </w:tcMar>
          </w:tcPr>
          <w:p>
            <w:r>
              <w:rPr>
                <w:sz w:val="15"/>
              </w:rPr>
              <w:t>ECO-03</w:t>
            </w:r>
          </w:p>
        </w:tc>
        <w:tc>
          <w:tcPr>
            <w:tcW w:type="dxa" w:w="1531"/>
            <w:tcMar>
              <w:top w:w="70" w:type="dxa"/>
              <w:left w:w="80" w:type="dxa"/>
              <w:bottom w:w="70" w:type="dxa"/>
              <w:right w:w="80" w:type="dxa"/>
            </w:tcMar>
          </w:tcPr>
          <w:p>
            <w:r>
              <w:rPr>
                <w:sz w:val="15"/>
              </w:rPr>
              <w:t>§10.42 ECO-03 Implementation Contract; §20</w:t>
            </w:r>
          </w:p>
        </w:tc>
        <w:tc>
          <w:tcPr>
            <w:tcW w:type="dxa" w:w="1531"/>
            <w:tcMar>
              <w:top w:w="70" w:type="dxa"/>
              <w:left w:w="80" w:type="dxa"/>
              <w:bottom w:w="70" w:type="dxa"/>
              <w:right w:w="80" w:type="dxa"/>
            </w:tcMar>
          </w:tcPr>
          <w:p>
            <w:r>
              <w:rPr>
                <w:sz w:val="15"/>
              </w:rPr>
              <w:t>§27; INV-ECO-03; API/event contract tests; requirement ECO-03-R07</w:t>
            </w:r>
          </w:p>
        </w:tc>
        <w:tc>
          <w:tcPr>
            <w:tcW w:type="dxa" w:w="1531"/>
            <w:tcMar>
              <w:top w:w="70" w:type="dxa"/>
              <w:left w:w="80" w:type="dxa"/>
              <w:bottom w:w="70" w:type="dxa"/>
              <w:right w:w="80" w:type="dxa"/>
            </w:tcMar>
          </w:tcPr>
          <w:p>
            <w:r>
              <w:rPr>
                <w:sz w:val="15"/>
              </w:rPr>
              <w:t>§28; RB-ECO-03</w:t>
            </w:r>
          </w:p>
        </w:tc>
        <w:tc>
          <w:tcPr>
            <w:tcW w:type="dxa" w:w="1531"/>
            <w:tcMar>
              <w:top w:w="70" w:type="dxa"/>
              <w:left w:w="80" w:type="dxa"/>
              <w:bottom w:w="70" w:type="dxa"/>
              <w:right w:w="80" w:type="dxa"/>
            </w:tcMar>
          </w:tcPr>
          <w:p>
            <w:r>
              <w:rPr>
                <w:sz w:val="15"/>
              </w:rPr>
              <w:t>DEFERRED - V2 Platform</w:t>
            </w:r>
          </w:p>
        </w:tc>
      </w:tr>
      <w:tr>
        <w:tc>
          <w:tcPr>
            <w:tcW w:type="dxa" w:w="1531"/>
            <w:tcMar>
              <w:top w:w="70" w:type="dxa"/>
              <w:left w:w="80" w:type="dxa"/>
              <w:bottom w:w="70" w:type="dxa"/>
              <w:right w:w="80" w:type="dxa"/>
            </w:tcMar>
          </w:tcPr>
          <w:p>
            <w:r>
              <w:rPr>
                <w:sz w:val="15"/>
              </w:rPr>
              <w:t>WHT-01-R01</w:t>
            </w:r>
          </w:p>
        </w:tc>
        <w:tc>
          <w:tcPr>
            <w:tcW w:type="dxa" w:w="1531"/>
            <w:tcMar>
              <w:top w:w="70" w:type="dxa"/>
              <w:left w:w="80" w:type="dxa"/>
              <w:bottom w:w="70" w:type="dxa"/>
              <w:right w:w="80" w:type="dxa"/>
            </w:tcMar>
          </w:tcPr>
          <w:p>
            <w:r>
              <w:rPr>
                <w:sz w:val="15"/>
              </w:rPr>
              <w:t>White-label, App Builder, CMS &amp; Mobile Release Operations</w:t>
            </w:r>
          </w:p>
        </w:tc>
        <w:tc>
          <w:tcPr>
            <w:tcW w:type="dxa" w:w="1531"/>
            <w:tcMar>
              <w:top w:w="70" w:type="dxa"/>
              <w:left w:w="80" w:type="dxa"/>
              <w:bottom w:w="70" w:type="dxa"/>
              <w:right w:w="80" w:type="dxa"/>
            </w:tcMar>
          </w:tcPr>
          <w:p>
            <w:r>
              <w:rPr>
                <w:sz w:val="15"/>
              </w:rPr>
              <w:t>Brand tokens for logo, icon, color, typography, imagery, tone, domains, sender identities and legal links.</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V2 Platform</w:t>
            </w:r>
          </w:p>
        </w:tc>
        <w:tc>
          <w:tcPr>
            <w:tcW w:type="dxa" w:w="1531"/>
            <w:tcMar>
              <w:top w:w="70" w:type="dxa"/>
              <w:left w:w="80" w:type="dxa"/>
              <w:bottom w:w="70" w:type="dxa"/>
              <w:right w:w="80" w:type="dxa"/>
            </w:tcMar>
          </w:tcPr>
          <w:p>
            <w:r>
              <w:rPr>
                <w:sz w:val="15"/>
              </w:rPr>
              <w:t>WHT-01</w:t>
            </w:r>
          </w:p>
        </w:tc>
        <w:tc>
          <w:tcPr>
            <w:tcW w:type="dxa" w:w="1531"/>
            <w:tcMar>
              <w:top w:w="70" w:type="dxa"/>
              <w:left w:w="80" w:type="dxa"/>
              <w:bottom w:w="70" w:type="dxa"/>
              <w:right w:w="80" w:type="dxa"/>
            </w:tcMar>
          </w:tcPr>
          <w:p>
            <w:r>
              <w:rPr>
                <w:sz w:val="15"/>
              </w:rPr>
              <w:t>§10.43 WHT-01 Implementation Contract; §20/§26</w:t>
            </w:r>
          </w:p>
        </w:tc>
        <w:tc>
          <w:tcPr>
            <w:tcW w:type="dxa" w:w="1531"/>
            <w:tcMar>
              <w:top w:w="70" w:type="dxa"/>
              <w:left w:w="80" w:type="dxa"/>
              <w:bottom w:w="70" w:type="dxa"/>
              <w:right w:w="80" w:type="dxa"/>
            </w:tcMar>
          </w:tcPr>
          <w:p>
            <w:r>
              <w:rPr>
                <w:sz w:val="15"/>
              </w:rPr>
              <w:t>§27; INV-WHT-01; API/event contract tests; requirement WHT-01-R01</w:t>
            </w:r>
          </w:p>
        </w:tc>
        <w:tc>
          <w:tcPr>
            <w:tcW w:type="dxa" w:w="1531"/>
            <w:tcMar>
              <w:top w:w="70" w:type="dxa"/>
              <w:left w:w="80" w:type="dxa"/>
              <w:bottom w:w="70" w:type="dxa"/>
              <w:right w:w="80" w:type="dxa"/>
            </w:tcMar>
          </w:tcPr>
          <w:p>
            <w:r>
              <w:rPr>
                <w:sz w:val="15"/>
              </w:rPr>
              <w:t>§28; RB-WHT-01</w:t>
            </w:r>
          </w:p>
        </w:tc>
        <w:tc>
          <w:tcPr>
            <w:tcW w:type="dxa" w:w="1531"/>
            <w:tcMar>
              <w:top w:w="70" w:type="dxa"/>
              <w:left w:w="80" w:type="dxa"/>
              <w:bottom w:w="70" w:type="dxa"/>
              <w:right w:w="80" w:type="dxa"/>
            </w:tcMar>
          </w:tcPr>
          <w:p>
            <w:r>
              <w:rPr>
                <w:sz w:val="15"/>
              </w:rPr>
              <w:t>DEFERRED - V2 Platform</w:t>
            </w:r>
          </w:p>
        </w:tc>
      </w:tr>
      <w:tr>
        <w:tc>
          <w:tcPr>
            <w:tcW w:type="dxa" w:w="1531"/>
            <w:tcMar>
              <w:top w:w="70" w:type="dxa"/>
              <w:left w:w="80" w:type="dxa"/>
              <w:bottom w:w="70" w:type="dxa"/>
              <w:right w:w="80" w:type="dxa"/>
            </w:tcMar>
          </w:tcPr>
          <w:p>
            <w:r>
              <w:rPr>
                <w:sz w:val="15"/>
              </w:rPr>
              <w:t>WHT-01-R02</w:t>
            </w:r>
          </w:p>
        </w:tc>
        <w:tc>
          <w:tcPr>
            <w:tcW w:type="dxa" w:w="1531"/>
            <w:tcMar>
              <w:top w:w="70" w:type="dxa"/>
              <w:left w:w="80" w:type="dxa"/>
              <w:bottom w:w="70" w:type="dxa"/>
              <w:right w:w="80" w:type="dxa"/>
            </w:tcMar>
          </w:tcPr>
          <w:p>
            <w:r>
              <w:rPr>
                <w:sz w:val="15"/>
              </w:rPr>
              <w:t>White-label, App Builder, CMS &amp; Mobile Release Operations</w:t>
            </w:r>
          </w:p>
        </w:tc>
        <w:tc>
          <w:tcPr>
            <w:tcW w:type="dxa" w:w="1531"/>
            <w:tcMar>
              <w:top w:w="70" w:type="dxa"/>
              <w:left w:w="80" w:type="dxa"/>
              <w:bottom w:w="70" w:type="dxa"/>
              <w:right w:w="80" w:type="dxa"/>
            </w:tcMar>
          </w:tcPr>
          <w:p>
            <w:r>
              <w:rPr>
                <w:sz w:val="15"/>
              </w:rPr>
              <w:t>Configurable navigation, home modules, feature visibility, campaigns, banners, content blocks and service shortcuts.</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V2 Platform</w:t>
            </w:r>
          </w:p>
        </w:tc>
        <w:tc>
          <w:tcPr>
            <w:tcW w:type="dxa" w:w="1531"/>
            <w:tcMar>
              <w:top w:w="70" w:type="dxa"/>
              <w:left w:w="80" w:type="dxa"/>
              <w:bottom w:w="70" w:type="dxa"/>
              <w:right w:w="80" w:type="dxa"/>
            </w:tcMar>
          </w:tcPr>
          <w:p>
            <w:r>
              <w:rPr>
                <w:sz w:val="15"/>
              </w:rPr>
              <w:t>WHT-01</w:t>
            </w:r>
          </w:p>
        </w:tc>
        <w:tc>
          <w:tcPr>
            <w:tcW w:type="dxa" w:w="1531"/>
            <w:tcMar>
              <w:top w:w="70" w:type="dxa"/>
              <w:left w:w="80" w:type="dxa"/>
              <w:bottom w:w="70" w:type="dxa"/>
              <w:right w:w="80" w:type="dxa"/>
            </w:tcMar>
          </w:tcPr>
          <w:p>
            <w:r>
              <w:rPr>
                <w:sz w:val="15"/>
              </w:rPr>
              <w:t>§10.43 WHT-01 Implementation Contract; §20/§26</w:t>
            </w:r>
          </w:p>
        </w:tc>
        <w:tc>
          <w:tcPr>
            <w:tcW w:type="dxa" w:w="1531"/>
            <w:tcMar>
              <w:top w:w="70" w:type="dxa"/>
              <w:left w:w="80" w:type="dxa"/>
              <w:bottom w:w="70" w:type="dxa"/>
              <w:right w:w="80" w:type="dxa"/>
            </w:tcMar>
          </w:tcPr>
          <w:p>
            <w:r>
              <w:rPr>
                <w:sz w:val="15"/>
              </w:rPr>
              <w:t>§27; INV-WHT-01; API/event contract tests; requirement WHT-01-R02</w:t>
            </w:r>
          </w:p>
        </w:tc>
        <w:tc>
          <w:tcPr>
            <w:tcW w:type="dxa" w:w="1531"/>
            <w:tcMar>
              <w:top w:w="70" w:type="dxa"/>
              <w:left w:w="80" w:type="dxa"/>
              <w:bottom w:w="70" w:type="dxa"/>
              <w:right w:w="80" w:type="dxa"/>
            </w:tcMar>
          </w:tcPr>
          <w:p>
            <w:r>
              <w:rPr>
                <w:sz w:val="15"/>
              </w:rPr>
              <w:t>§28; RB-WHT-01</w:t>
            </w:r>
          </w:p>
        </w:tc>
        <w:tc>
          <w:tcPr>
            <w:tcW w:type="dxa" w:w="1531"/>
            <w:tcMar>
              <w:top w:w="70" w:type="dxa"/>
              <w:left w:w="80" w:type="dxa"/>
              <w:bottom w:w="70" w:type="dxa"/>
              <w:right w:w="80" w:type="dxa"/>
            </w:tcMar>
          </w:tcPr>
          <w:p>
            <w:r>
              <w:rPr>
                <w:sz w:val="15"/>
              </w:rPr>
              <w:t>DEFERRED - V2 Platform</w:t>
            </w:r>
          </w:p>
        </w:tc>
      </w:tr>
      <w:tr>
        <w:tc>
          <w:tcPr>
            <w:tcW w:type="dxa" w:w="1531"/>
            <w:tcMar>
              <w:top w:w="70" w:type="dxa"/>
              <w:left w:w="80" w:type="dxa"/>
              <w:bottom w:w="70" w:type="dxa"/>
              <w:right w:w="80" w:type="dxa"/>
            </w:tcMar>
          </w:tcPr>
          <w:p>
            <w:r>
              <w:rPr>
                <w:sz w:val="15"/>
              </w:rPr>
              <w:t>WHT-01-R03</w:t>
            </w:r>
          </w:p>
        </w:tc>
        <w:tc>
          <w:tcPr>
            <w:tcW w:type="dxa" w:w="1531"/>
            <w:tcMar>
              <w:top w:w="70" w:type="dxa"/>
              <w:left w:w="80" w:type="dxa"/>
              <w:bottom w:w="70" w:type="dxa"/>
              <w:right w:w="80" w:type="dxa"/>
            </w:tcMar>
          </w:tcPr>
          <w:p>
            <w:r>
              <w:rPr>
                <w:sz w:val="15"/>
              </w:rPr>
              <w:t>White-label, App Builder, CMS &amp; Mobile Release Operations</w:t>
            </w:r>
          </w:p>
        </w:tc>
        <w:tc>
          <w:tcPr>
            <w:tcW w:type="dxa" w:w="1531"/>
            <w:tcMar>
              <w:top w:w="70" w:type="dxa"/>
              <w:left w:w="80" w:type="dxa"/>
              <w:bottom w:w="70" w:type="dxa"/>
              <w:right w:w="80" w:type="dxa"/>
            </w:tcMar>
          </w:tcPr>
          <w:p>
            <w:r>
              <w:rPr>
                <w:sz w:val="15"/>
              </w:rPr>
              <w:t>CMS for announcements, onboarding, help, exercises, recipes, programs, challenges, promotions and legal content.</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V2 Platform</w:t>
            </w:r>
          </w:p>
        </w:tc>
        <w:tc>
          <w:tcPr>
            <w:tcW w:type="dxa" w:w="1531"/>
            <w:tcMar>
              <w:top w:w="70" w:type="dxa"/>
              <w:left w:w="80" w:type="dxa"/>
              <w:bottom w:w="70" w:type="dxa"/>
              <w:right w:w="80" w:type="dxa"/>
            </w:tcMar>
          </w:tcPr>
          <w:p>
            <w:r>
              <w:rPr>
                <w:sz w:val="15"/>
              </w:rPr>
              <w:t>WHT-01</w:t>
            </w:r>
          </w:p>
        </w:tc>
        <w:tc>
          <w:tcPr>
            <w:tcW w:type="dxa" w:w="1531"/>
            <w:tcMar>
              <w:top w:w="70" w:type="dxa"/>
              <w:left w:w="80" w:type="dxa"/>
              <w:bottom w:w="70" w:type="dxa"/>
              <w:right w:w="80" w:type="dxa"/>
            </w:tcMar>
          </w:tcPr>
          <w:p>
            <w:r>
              <w:rPr>
                <w:sz w:val="15"/>
              </w:rPr>
              <w:t>§10.43 WHT-01 Implementation Contract; §20/§26</w:t>
            </w:r>
          </w:p>
        </w:tc>
        <w:tc>
          <w:tcPr>
            <w:tcW w:type="dxa" w:w="1531"/>
            <w:tcMar>
              <w:top w:w="70" w:type="dxa"/>
              <w:left w:w="80" w:type="dxa"/>
              <w:bottom w:w="70" w:type="dxa"/>
              <w:right w:w="80" w:type="dxa"/>
            </w:tcMar>
          </w:tcPr>
          <w:p>
            <w:r>
              <w:rPr>
                <w:sz w:val="15"/>
              </w:rPr>
              <w:t>§27; INV-WHT-01; API/event contract tests; requirement WHT-01-R03</w:t>
            </w:r>
          </w:p>
        </w:tc>
        <w:tc>
          <w:tcPr>
            <w:tcW w:type="dxa" w:w="1531"/>
            <w:tcMar>
              <w:top w:w="70" w:type="dxa"/>
              <w:left w:w="80" w:type="dxa"/>
              <w:bottom w:w="70" w:type="dxa"/>
              <w:right w:w="80" w:type="dxa"/>
            </w:tcMar>
          </w:tcPr>
          <w:p>
            <w:r>
              <w:rPr>
                <w:sz w:val="15"/>
              </w:rPr>
              <w:t>§28; RB-WHT-01</w:t>
            </w:r>
          </w:p>
        </w:tc>
        <w:tc>
          <w:tcPr>
            <w:tcW w:type="dxa" w:w="1531"/>
            <w:tcMar>
              <w:top w:w="70" w:type="dxa"/>
              <w:left w:w="80" w:type="dxa"/>
              <w:bottom w:w="70" w:type="dxa"/>
              <w:right w:w="80" w:type="dxa"/>
            </w:tcMar>
          </w:tcPr>
          <w:p>
            <w:r>
              <w:rPr>
                <w:sz w:val="15"/>
              </w:rPr>
              <w:t>DEFERRED - V2 Platform</w:t>
            </w:r>
          </w:p>
        </w:tc>
      </w:tr>
      <w:tr>
        <w:tc>
          <w:tcPr>
            <w:tcW w:type="dxa" w:w="1531"/>
            <w:tcMar>
              <w:top w:w="70" w:type="dxa"/>
              <w:left w:w="80" w:type="dxa"/>
              <w:bottom w:w="70" w:type="dxa"/>
              <w:right w:w="80" w:type="dxa"/>
            </w:tcMar>
          </w:tcPr>
          <w:p>
            <w:r>
              <w:rPr>
                <w:sz w:val="15"/>
              </w:rPr>
              <w:t>WHT-01-R04</w:t>
            </w:r>
          </w:p>
        </w:tc>
        <w:tc>
          <w:tcPr>
            <w:tcW w:type="dxa" w:w="1531"/>
            <w:tcMar>
              <w:top w:w="70" w:type="dxa"/>
              <w:left w:w="80" w:type="dxa"/>
              <w:bottom w:w="70" w:type="dxa"/>
              <w:right w:w="80" w:type="dxa"/>
            </w:tcMar>
          </w:tcPr>
          <w:p>
            <w:r>
              <w:rPr>
                <w:sz w:val="15"/>
              </w:rPr>
              <w:t>White-label, App Builder, CMS &amp; Mobile Release Operations</w:t>
            </w:r>
          </w:p>
        </w:tc>
        <w:tc>
          <w:tcPr>
            <w:tcW w:type="dxa" w:w="1531"/>
            <w:tcMar>
              <w:top w:w="70" w:type="dxa"/>
              <w:left w:w="80" w:type="dxa"/>
              <w:bottom w:w="70" w:type="dxa"/>
              <w:right w:w="80" w:type="dxa"/>
            </w:tcMar>
          </w:tcPr>
          <w:p>
            <w:r>
              <w:rPr>
                <w:sz w:val="15"/>
              </w:rPr>
              <w:t>Content workflow with draft, review, localization, scheduling, targeting, versioning and rollback.</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V2 Platform</w:t>
            </w:r>
          </w:p>
        </w:tc>
        <w:tc>
          <w:tcPr>
            <w:tcW w:type="dxa" w:w="1531"/>
            <w:tcMar>
              <w:top w:w="70" w:type="dxa"/>
              <w:left w:w="80" w:type="dxa"/>
              <w:bottom w:w="70" w:type="dxa"/>
              <w:right w:w="80" w:type="dxa"/>
            </w:tcMar>
          </w:tcPr>
          <w:p>
            <w:r>
              <w:rPr>
                <w:sz w:val="15"/>
              </w:rPr>
              <w:t>WHT-01</w:t>
            </w:r>
          </w:p>
        </w:tc>
        <w:tc>
          <w:tcPr>
            <w:tcW w:type="dxa" w:w="1531"/>
            <w:tcMar>
              <w:top w:w="70" w:type="dxa"/>
              <w:left w:w="80" w:type="dxa"/>
              <w:bottom w:w="70" w:type="dxa"/>
              <w:right w:w="80" w:type="dxa"/>
            </w:tcMar>
          </w:tcPr>
          <w:p>
            <w:r>
              <w:rPr>
                <w:sz w:val="15"/>
              </w:rPr>
              <w:t>§10.43 WHT-01 Implementation Contract; §20/§26</w:t>
            </w:r>
          </w:p>
        </w:tc>
        <w:tc>
          <w:tcPr>
            <w:tcW w:type="dxa" w:w="1531"/>
            <w:tcMar>
              <w:top w:w="70" w:type="dxa"/>
              <w:left w:w="80" w:type="dxa"/>
              <w:bottom w:w="70" w:type="dxa"/>
              <w:right w:w="80" w:type="dxa"/>
            </w:tcMar>
          </w:tcPr>
          <w:p>
            <w:r>
              <w:rPr>
                <w:sz w:val="15"/>
              </w:rPr>
              <w:t>§27; INV-WHT-01; API/event contract tests; requirement WHT-01-R04</w:t>
            </w:r>
          </w:p>
        </w:tc>
        <w:tc>
          <w:tcPr>
            <w:tcW w:type="dxa" w:w="1531"/>
            <w:tcMar>
              <w:top w:w="70" w:type="dxa"/>
              <w:left w:w="80" w:type="dxa"/>
              <w:bottom w:w="70" w:type="dxa"/>
              <w:right w:w="80" w:type="dxa"/>
            </w:tcMar>
          </w:tcPr>
          <w:p>
            <w:r>
              <w:rPr>
                <w:sz w:val="15"/>
              </w:rPr>
              <w:t>§28; RB-WHT-01</w:t>
            </w:r>
          </w:p>
        </w:tc>
        <w:tc>
          <w:tcPr>
            <w:tcW w:type="dxa" w:w="1531"/>
            <w:tcMar>
              <w:top w:w="70" w:type="dxa"/>
              <w:left w:w="80" w:type="dxa"/>
              <w:bottom w:w="70" w:type="dxa"/>
              <w:right w:w="80" w:type="dxa"/>
            </w:tcMar>
          </w:tcPr>
          <w:p>
            <w:r>
              <w:rPr>
                <w:sz w:val="15"/>
              </w:rPr>
              <w:t>DEFERRED - V2 Platform</w:t>
            </w:r>
          </w:p>
        </w:tc>
      </w:tr>
      <w:tr>
        <w:tc>
          <w:tcPr>
            <w:tcW w:type="dxa" w:w="1531"/>
            <w:tcMar>
              <w:top w:w="70" w:type="dxa"/>
              <w:left w:w="80" w:type="dxa"/>
              <w:bottom w:w="70" w:type="dxa"/>
              <w:right w:w="80" w:type="dxa"/>
            </w:tcMar>
          </w:tcPr>
          <w:p>
            <w:r>
              <w:rPr>
                <w:sz w:val="15"/>
              </w:rPr>
              <w:t>WHT-01-R05</w:t>
            </w:r>
          </w:p>
        </w:tc>
        <w:tc>
          <w:tcPr>
            <w:tcW w:type="dxa" w:w="1531"/>
            <w:tcMar>
              <w:top w:w="70" w:type="dxa"/>
              <w:left w:w="80" w:type="dxa"/>
              <w:bottom w:w="70" w:type="dxa"/>
              <w:right w:w="80" w:type="dxa"/>
            </w:tcMar>
          </w:tcPr>
          <w:p>
            <w:r>
              <w:rPr>
                <w:sz w:val="15"/>
              </w:rPr>
              <w:t>White-label, App Builder, CMS &amp; Mobile Release Operations</w:t>
            </w:r>
          </w:p>
        </w:tc>
        <w:tc>
          <w:tcPr>
            <w:tcW w:type="dxa" w:w="1531"/>
            <w:tcMar>
              <w:top w:w="70" w:type="dxa"/>
              <w:left w:w="80" w:type="dxa"/>
              <w:bottom w:w="70" w:type="dxa"/>
              <w:right w:w="80" w:type="dxa"/>
            </w:tcMar>
          </w:tcPr>
          <w:p>
            <w:r>
              <w:rPr>
                <w:sz w:val="15"/>
              </w:rPr>
              <w:t>Branded app ownership model, store account setup, signing, certificates, privacy labels and asset validation.</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V2 Platform</w:t>
            </w:r>
          </w:p>
        </w:tc>
        <w:tc>
          <w:tcPr>
            <w:tcW w:type="dxa" w:w="1531"/>
            <w:tcMar>
              <w:top w:w="70" w:type="dxa"/>
              <w:left w:w="80" w:type="dxa"/>
              <w:bottom w:w="70" w:type="dxa"/>
              <w:right w:w="80" w:type="dxa"/>
            </w:tcMar>
          </w:tcPr>
          <w:p>
            <w:r>
              <w:rPr>
                <w:sz w:val="15"/>
              </w:rPr>
              <w:t>WHT-01</w:t>
            </w:r>
          </w:p>
        </w:tc>
        <w:tc>
          <w:tcPr>
            <w:tcW w:type="dxa" w:w="1531"/>
            <w:tcMar>
              <w:top w:w="70" w:type="dxa"/>
              <w:left w:w="80" w:type="dxa"/>
              <w:bottom w:w="70" w:type="dxa"/>
              <w:right w:w="80" w:type="dxa"/>
            </w:tcMar>
          </w:tcPr>
          <w:p>
            <w:r>
              <w:rPr>
                <w:sz w:val="15"/>
              </w:rPr>
              <w:t>§10.43 WHT-01 Implementation Contract; §20/§26</w:t>
            </w:r>
          </w:p>
        </w:tc>
        <w:tc>
          <w:tcPr>
            <w:tcW w:type="dxa" w:w="1531"/>
            <w:tcMar>
              <w:top w:w="70" w:type="dxa"/>
              <w:left w:w="80" w:type="dxa"/>
              <w:bottom w:w="70" w:type="dxa"/>
              <w:right w:w="80" w:type="dxa"/>
            </w:tcMar>
          </w:tcPr>
          <w:p>
            <w:r>
              <w:rPr>
                <w:sz w:val="15"/>
              </w:rPr>
              <w:t>§27; INV-WHT-01; API/event contract tests; requirement WHT-01-R05</w:t>
            </w:r>
          </w:p>
        </w:tc>
        <w:tc>
          <w:tcPr>
            <w:tcW w:type="dxa" w:w="1531"/>
            <w:tcMar>
              <w:top w:w="70" w:type="dxa"/>
              <w:left w:w="80" w:type="dxa"/>
              <w:bottom w:w="70" w:type="dxa"/>
              <w:right w:w="80" w:type="dxa"/>
            </w:tcMar>
          </w:tcPr>
          <w:p>
            <w:r>
              <w:rPr>
                <w:sz w:val="15"/>
              </w:rPr>
              <w:t>§28; RB-WHT-01</w:t>
            </w:r>
          </w:p>
        </w:tc>
        <w:tc>
          <w:tcPr>
            <w:tcW w:type="dxa" w:w="1531"/>
            <w:tcMar>
              <w:top w:w="70" w:type="dxa"/>
              <w:left w:w="80" w:type="dxa"/>
              <w:bottom w:w="70" w:type="dxa"/>
              <w:right w:w="80" w:type="dxa"/>
            </w:tcMar>
          </w:tcPr>
          <w:p>
            <w:r>
              <w:rPr>
                <w:sz w:val="15"/>
              </w:rPr>
              <w:t>DEFERRED - V2 Platform</w:t>
            </w:r>
          </w:p>
        </w:tc>
      </w:tr>
      <w:tr>
        <w:tc>
          <w:tcPr>
            <w:tcW w:type="dxa" w:w="1531"/>
            <w:tcMar>
              <w:top w:w="70" w:type="dxa"/>
              <w:left w:w="80" w:type="dxa"/>
              <w:bottom w:w="70" w:type="dxa"/>
              <w:right w:w="80" w:type="dxa"/>
            </w:tcMar>
          </w:tcPr>
          <w:p>
            <w:r>
              <w:rPr>
                <w:sz w:val="15"/>
              </w:rPr>
              <w:t>WHT-01-R06</w:t>
            </w:r>
          </w:p>
        </w:tc>
        <w:tc>
          <w:tcPr>
            <w:tcW w:type="dxa" w:w="1531"/>
            <w:tcMar>
              <w:top w:w="70" w:type="dxa"/>
              <w:left w:w="80" w:type="dxa"/>
              <w:bottom w:w="70" w:type="dxa"/>
              <w:right w:w="80" w:type="dxa"/>
            </w:tcMar>
          </w:tcPr>
          <w:p>
            <w:r>
              <w:rPr>
                <w:sz w:val="15"/>
              </w:rPr>
              <w:t>White-label, App Builder, CMS &amp; Mobile Release Operations</w:t>
            </w:r>
          </w:p>
        </w:tc>
        <w:tc>
          <w:tcPr>
            <w:tcW w:type="dxa" w:w="1531"/>
            <w:tcMar>
              <w:top w:w="70" w:type="dxa"/>
              <w:left w:w="80" w:type="dxa"/>
              <w:bottom w:w="70" w:type="dxa"/>
              <w:right w:w="80" w:type="dxa"/>
            </w:tcMar>
          </w:tcPr>
          <w:p>
            <w:r>
              <w:rPr>
                <w:sz w:val="15"/>
              </w:rPr>
              <w:t>Automated build pipeline, version matrix, staged rollout, minimum supported version and forced/optional update.</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V2 Platform</w:t>
            </w:r>
          </w:p>
        </w:tc>
        <w:tc>
          <w:tcPr>
            <w:tcW w:type="dxa" w:w="1531"/>
            <w:tcMar>
              <w:top w:w="70" w:type="dxa"/>
              <w:left w:w="80" w:type="dxa"/>
              <w:bottom w:w="70" w:type="dxa"/>
              <w:right w:w="80" w:type="dxa"/>
            </w:tcMar>
          </w:tcPr>
          <w:p>
            <w:r>
              <w:rPr>
                <w:sz w:val="15"/>
              </w:rPr>
              <w:t>WHT-01</w:t>
            </w:r>
          </w:p>
        </w:tc>
        <w:tc>
          <w:tcPr>
            <w:tcW w:type="dxa" w:w="1531"/>
            <w:tcMar>
              <w:top w:w="70" w:type="dxa"/>
              <w:left w:w="80" w:type="dxa"/>
              <w:bottom w:w="70" w:type="dxa"/>
              <w:right w:w="80" w:type="dxa"/>
            </w:tcMar>
          </w:tcPr>
          <w:p>
            <w:r>
              <w:rPr>
                <w:sz w:val="15"/>
              </w:rPr>
              <w:t>§10.43 WHT-01 Implementation Contract; §20/§26</w:t>
            </w:r>
          </w:p>
        </w:tc>
        <w:tc>
          <w:tcPr>
            <w:tcW w:type="dxa" w:w="1531"/>
            <w:tcMar>
              <w:top w:w="70" w:type="dxa"/>
              <w:left w:w="80" w:type="dxa"/>
              <w:bottom w:w="70" w:type="dxa"/>
              <w:right w:w="80" w:type="dxa"/>
            </w:tcMar>
          </w:tcPr>
          <w:p>
            <w:r>
              <w:rPr>
                <w:sz w:val="15"/>
              </w:rPr>
              <w:t>§27; INV-WHT-01; API/event contract tests; requirement WHT-01-R06</w:t>
            </w:r>
          </w:p>
        </w:tc>
        <w:tc>
          <w:tcPr>
            <w:tcW w:type="dxa" w:w="1531"/>
            <w:tcMar>
              <w:top w:w="70" w:type="dxa"/>
              <w:left w:w="80" w:type="dxa"/>
              <w:bottom w:w="70" w:type="dxa"/>
              <w:right w:w="80" w:type="dxa"/>
            </w:tcMar>
          </w:tcPr>
          <w:p>
            <w:r>
              <w:rPr>
                <w:sz w:val="15"/>
              </w:rPr>
              <w:t>§28; RB-WHT-01</w:t>
            </w:r>
          </w:p>
        </w:tc>
        <w:tc>
          <w:tcPr>
            <w:tcW w:type="dxa" w:w="1531"/>
            <w:tcMar>
              <w:top w:w="70" w:type="dxa"/>
              <w:left w:w="80" w:type="dxa"/>
              <w:bottom w:w="70" w:type="dxa"/>
              <w:right w:w="80" w:type="dxa"/>
            </w:tcMar>
          </w:tcPr>
          <w:p>
            <w:r>
              <w:rPr>
                <w:sz w:val="15"/>
              </w:rPr>
              <w:t>DEFERRED - V2 Platform</w:t>
            </w:r>
          </w:p>
        </w:tc>
      </w:tr>
      <w:tr>
        <w:tc>
          <w:tcPr>
            <w:tcW w:type="dxa" w:w="1531"/>
            <w:tcMar>
              <w:top w:w="70" w:type="dxa"/>
              <w:left w:w="80" w:type="dxa"/>
              <w:bottom w:w="70" w:type="dxa"/>
              <w:right w:w="80" w:type="dxa"/>
            </w:tcMar>
          </w:tcPr>
          <w:p>
            <w:r>
              <w:rPr>
                <w:sz w:val="15"/>
              </w:rPr>
              <w:t>WHT-01-R07</w:t>
            </w:r>
          </w:p>
        </w:tc>
        <w:tc>
          <w:tcPr>
            <w:tcW w:type="dxa" w:w="1531"/>
            <w:tcMar>
              <w:top w:w="70" w:type="dxa"/>
              <w:left w:w="80" w:type="dxa"/>
              <w:bottom w:w="70" w:type="dxa"/>
              <w:right w:w="80" w:type="dxa"/>
            </w:tcMar>
          </w:tcPr>
          <w:p>
            <w:r>
              <w:rPr>
                <w:sz w:val="15"/>
              </w:rPr>
              <w:t>White-label, App Builder, CMS &amp; Mobile Release Operations</w:t>
            </w:r>
          </w:p>
        </w:tc>
        <w:tc>
          <w:tcPr>
            <w:tcW w:type="dxa" w:w="1531"/>
            <w:tcMar>
              <w:top w:w="70" w:type="dxa"/>
              <w:left w:w="80" w:type="dxa"/>
              <w:bottom w:w="70" w:type="dxa"/>
              <w:right w:w="80" w:type="dxa"/>
            </w:tcMar>
          </w:tcPr>
          <w:p>
            <w:r>
              <w:rPr>
                <w:sz w:val="15"/>
              </w:rPr>
              <w:t>Preview environment showing exact member experience by brand, location, language, plan and feature flags.</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V2 Platform</w:t>
            </w:r>
          </w:p>
        </w:tc>
        <w:tc>
          <w:tcPr>
            <w:tcW w:type="dxa" w:w="1531"/>
            <w:tcMar>
              <w:top w:w="70" w:type="dxa"/>
              <w:left w:w="80" w:type="dxa"/>
              <w:bottom w:w="70" w:type="dxa"/>
              <w:right w:w="80" w:type="dxa"/>
            </w:tcMar>
          </w:tcPr>
          <w:p>
            <w:r>
              <w:rPr>
                <w:sz w:val="15"/>
              </w:rPr>
              <w:t>WHT-01</w:t>
            </w:r>
          </w:p>
        </w:tc>
        <w:tc>
          <w:tcPr>
            <w:tcW w:type="dxa" w:w="1531"/>
            <w:tcMar>
              <w:top w:w="70" w:type="dxa"/>
              <w:left w:w="80" w:type="dxa"/>
              <w:bottom w:w="70" w:type="dxa"/>
              <w:right w:w="80" w:type="dxa"/>
            </w:tcMar>
          </w:tcPr>
          <w:p>
            <w:r>
              <w:rPr>
                <w:sz w:val="15"/>
              </w:rPr>
              <w:t>§10.43 WHT-01 Implementation Contract; §20/§26</w:t>
            </w:r>
          </w:p>
        </w:tc>
        <w:tc>
          <w:tcPr>
            <w:tcW w:type="dxa" w:w="1531"/>
            <w:tcMar>
              <w:top w:w="70" w:type="dxa"/>
              <w:left w:w="80" w:type="dxa"/>
              <w:bottom w:w="70" w:type="dxa"/>
              <w:right w:w="80" w:type="dxa"/>
            </w:tcMar>
          </w:tcPr>
          <w:p>
            <w:r>
              <w:rPr>
                <w:sz w:val="15"/>
              </w:rPr>
              <w:t>§27; INV-WHT-01; API/event contract tests; requirement WHT-01-R07</w:t>
            </w:r>
          </w:p>
        </w:tc>
        <w:tc>
          <w:tcPr>
            <w:tcW w:type="dxa" w:w="1531"/>
            <w:tcMar>
              <w:top w:w="70" w:type="dxa"/>
              <w:left w:w="80" w:type="dxa"/>
              <w:bottom w:w="70" w:type="dxa"/>
              <w:right w:w="80" w:type="dxa"/>
            </w:tcMar>
          </w:tcPr>
          <w:p>
            <w:r>
              <w:rPr>
                <w:sz w:val="15"/>
              </w:rPr>
              <w:t>§28; RB-WHT-01</w:t>
            </w:r>
          </w:p>
        </w:tc>
        <w:tc>
          <w:tcPr>
            <w:tcW w:type="dxa" w:w="1531"/>
            <w:tcMar>
              <w:top w:w="70" w:type="dxa"/>
              <w:left w:w="80" w:type="dxa"/>
              <w:bottom w:w="70" w:type="dxa"/>
              <w:right w:w="80" w:type="dxa"/>
            </w:tcMar>
          </w:tcPr>
          <w:p>
            <w:r>
              <w:rPr>
                <w:sz w:val="15"/>
              </w:rPr>
              <w:t>DEFERRED - V2 Platform</w:t>
            </w:r>
          </w:p>
        </w:tc>
      </w:tr>
      <w:tr>
        <w:tc>
          <w:tcPr>
            <w:tcW w:type="dxa" w:w="1531"/>
            <w:tcMar>
              <w:top w:w="70" w:type="dxa"/>
              <w:left w:w="80" w:type="dxa"/>
              <w:bottom w:w="70" w:type="dxa"/>
              <w:right w:w="80" w:type="dxa"/>
            </w:tcMar>
          </w:tcPr>
          <w:p>
            <w:r>
              <w:rPr>
                <w:sz w:val="15"/>
              </w:rPr>
              <w:t>WHT-01-R08</w:t>
            </w:r>
          </w:p>
        </w:tc>
        <w:tc>
          <w:tcPr>
            <w:tcW w:type="dxa" w:w="1531"/>
            <w:tcMar>
              <w:top w:w="70" w:type="dxa"/>
              <w:left w:w="80" w:type="dxa"/>
              <w:bottom w:w="70" w:type="dxa"/>
              <w:right w:w="80" w:type="dxa"/>
            </w:tcMar>
          </w:tcPr>
          <w:p>
            <w:r>
              <w:rPr>
                <w:sz w:val="15"/>
              </w:rPr>
              <w:t>White-label, App Builder, CMS &amp; Mobile Release Operations</w:t>
            </w:r>
          </w:p>
        </w:tc>
        <w:tc>
          <w:tcPr>
            <w:tcW w:type="dxa" w:w="1531"/>
            <w:tcMar>
              <w:top w:w="70" w:type="dxa"/>
              <w:left w:w="80" w:type="dxa"/>
              <w:bottom w:w="70" w:type="dxa"/>
              <w:right w:w="80" w:type="dxa"/>
            </w:tcMar>
          </w:tcPr>
          <w:p>
            <w:r>
              <w:rPr>
                <w:sz w:val="15"/>
              </w:rPr>
              <w:t>Release fleet dashboard for app review, store status, certificates, crashes and adoption.</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V2 Platform</w:t>
            </w:r>
          </w:p>
        </w:tc>
        <w:tc>
          <w:tcPr>
            <w:tcW w:type="dxa" w:w="1531"/>
            <w:tcMar>
              <w:top w:w="70" w:type="dxa"/>
              <w:left w:w="80" w:type="dxa"/>
              <w:bottom w:w="70" w:type="dxa"/>
              <w:right w:w="80" w:type="dxa"/>
            </w:tcMar>
          </w:tcPr>
          <w:p>
            <w:r>
              <w:rPr>
                <w:sz w:val="15"/>
              </w:rPr>
              <w:t>WHT-01</w:t>
            </w:r>
          </w:p>
        </w:tc>
        <w:tc>
          <w:tcPr>
            <w:tcW w:type="dxa" w:w="1531"/>
            <w:tcMar>
              <w:top w:w="70" w:type="dxa"/>
              <w:left w:w="80" w:type="dxa"/>
              <w:bottom w:w="70" w:type="dxa"/>
              <w:right w:w="80" w:type="dxa"/>
            </w:tcMar>
          </w:tcPr>
          <w:p>
            <w:r>
              <w:rPr>
                <w:sz w:val="15"/>
              </w:rPr>
              <w:t>§10.43 WHT-01 Implementation Contract; §20/§26</w:t>
            </w:r>
          </w:p>
        </w:tc>
        <w:tc>
          <w:tcPr>
            <w:tcW w:type="dxa" w:w="1531"/>
            <w:tcMar>
              <w:top w:w="70" w:type="dxa"/>
              <w:left w:w="80" w:type="dxa"/>
              <w:bottom w:w="70" w:type="dxa"/>
              <w:right w:w="80" w:type="dxa"/>
            </w:tcMar>
          </w:tcPr>
          <w:p>
            <w:r>
              <w:rPr>
                <w:sz w:val="15"/>
              </w:rPr>
              <w:t>§27; INV-WHT-01; API/event contract tests; requirement WHT-01-R08</w:t>
            </w:r>
          </w:p>
        </w:tc>
        <w:tc>
          <w:tcPr>
            <w:tcW w:type="dxa" w:w="1531"/>
            <w:tcMar>
              <w:top w:w="70" w:type="dxa"/>
              <w:left w:w="80" w:type="dxa"/>
              <w:bottom w:w="70" w:type="dxa"/>
              <w:right w:w="80" w:type="dxa"/>
            </w:tcMar>
          </w:tcPr>
          <w:p>
            <w:r>
              <w:rPr>
                <w:sz w:val="15"/>
              </w:rPr>
              <w:t>§28; RB-WHT-01</w:t>
            </w:r>
          </w:p>
        </w:tc>
        <w:tc>
          <w:tcPr>
            <w:tcW w:type="dxa" w:w="1531"/>
            <w:tcMar>
              <w:top w:w="70" w:type="dxa"/>
              <w:left w:w="80" w:type="dxa"/>
              <w:bottom w:w="70" w:type="dxa"/>
              <w:right w:w="80" w:type="dxa"/>
            </w:tcMar>
          </w:tcPr>
          <w:p>
            <w:r>
              <w:rPr>
                <w:sz w:val="15"/>
              </w:rPr>
              <w:t>DEFERRED - V2 Platform</w:t>
            </w:r>
          </w:p>
        </w:tc>
      </w:tr>
      <w:tr>
        <w:tc>
          <w:tcPr>
            <w:tcW w:type="dxa" w:w="1531"/>
            <w:tcMar>
              <w:top w:w="70" w:type="dxa"/>
              <w:left w:w="80" w:type="dxa"/>
              <w:bottom w:w="70" w:type="dxa"/>
              <w:right w:w="80" w:type="dxa"/>
            </w:tcMar>
          </w:tcPr>
          <w:p>
            <w:r>
              <w:rPr>
                <w:sz w:val="15"/>
              </w:rPr>
              <w:t>WHT-02-R01</w:t>
            </w:r>
          </w:p>
        </w:tc>
        <w:tc>
          <w:tcPr>
            <w:tcW w:type="dxa" w:w="1531"/>
            <w:tcMar>
              <w:top w:w="70" w:type="dxa"/>
              <w:left w:w="80" w:type="dxa"/>
              <w:bottom w:w="70" w:type="dxa"/>
              <w:right w:w="80" w:type="dxa"/>
            </w:tcMar>
          </w:tcPr>
          <w:p>
            <w:r>
              <w:rPr>
                <w:sz w:val="15"/>
              </w:rPr>
              <w:t>Localization, RTL, Accessibility &amp; Regional Policy</w:t>
            </w:r>
          </w:p>
        </w:tc>
        <w:tc>
          <w:tcPr>
            <w:tcW w:type="dxa" w:w="1531"/>
            <w:tcMar>
              <w:top w:w="70" w:type="dxa"/>
              <w:left w:w="80" w:type="dxa"/>
              <w:bottom w:w="70" w:type="dxa"/>
              <w:right w:w="80" w:type="dxa"/>
            </w:tcMar>
          </w:tcPr>
          <w:p>
            <w:r>
              <w:rPr>
                <w:sz w:val="15"/>
              </w:rPr>
              <w:t>First-class Arabic and English with full RTL/LTR layouts, mixed content and bidirectional testing.</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WHT-02</w:t>
            </w:r>
          </w:p>
        </w:tc>
        <w:tc>
          <w:tcPr>
            <w:tcW w:type="dxa" w:w="1531"/>
            <w:tcMar>
              <w:top w:w="70" w:type="dxa"/>
              <w:left w:w="80" w:type="dxa"/>
              <w:bottom w:w="70" w:type="dxa"/>
              <w:right w:w="80" w:type="dxa"/>
            </w:tcMar>
          </w:tcPr>
          <w:p>
            <w:r>
              <w:rPr>
                <w:sz w:val="15"/>
              </w:rPr>
              <w:t>§10.44 WHT-02 Implementation Contract; §20/§26</w:t>
            </w:r>
          </w:p>
        </w:tc>
        <w:tc>
          <w:tcPr>
            <w:tcW w:type="dxa" w:w="1531"/>
            <w:tcMar>
              <w:top w:w="70" w:type="dxa"/>
              <w:left w:w="80" w:type="dxa"/>
              <w:bottom w:w="70" w:type="dxa"/>
              <w:right w:w="80" w:type="dxa"/>
            </w:tcMar>
          </w:tcPr>
          <w:p>
            <w:r>
              <w:rPr>
                <w:sz w:val="15"/>
              </w:rPr>
              <w:t>§27; INV-WHT-02; API/event contract tests; requirement WHT-02-R01</w:t>
            </w:r>
          </w:p>
        </w:tc>
        <w:tc>
          <w:tcPr>
            <w:tcW w:type="dxa" w:w="1531"/>
            <w:tcMar>
              <w:top w:w="70" w:type="dxa"/>
              <w:left w:w="80" w:type="dxa"/>
              <w:bottom w:w="70" w:type="dxa"/>
              <w:right w:w="80" w:type="dxa"/>
            </w:tcMar>
          </w:tcPr>
          <w:p>
            <w:r>
              <w:rPr>
                <w:sz w:val="15"/>
              </w:rPr>
              <w:t>§28; RB-WHT-02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WHT-02-R02</w:t>
            </w:r>
          </w:p>
        </w:tc>
        <w:tc>
          <w:tcPr>
            <w:tcW w:type="dxa" w:w="1531"/>
            <w:tcMar>
              <w:top w:w="70" w:type="dxa"/>
              <w:left w:w="80" w:type="dxa"/>
              <w:bottom w:w="70" w:type="dxa"/>
              <w:right w:w="80" w:type="dxa"/>
            </w:tcMar>
          </w:tcPr>
          <w:p>
            <w:r>
              <w:rPr>
                <w:sz w:val="15"/>
              </w:rPr>
              <w:t>Localization, RTL, Accessibility &amp; Regional Policy</w:t>
            </w:r>
          </w:p>
        </w:tc>
        <w:tc>
          <w:tcPr>
            <w:tcW w:type="dxa" w:w="1531"/>
            <w:tcMar>
              <w:top w:w="70" w:type="dxa"/>
              <w:left w:w="80" w:type="dxa"/>
              <w:bottom w:w="70" w:type="dxa"/>
              <w:right w:w="80" w:type="dxa"/>
            </w:tcMar>
          </w:tcPr>
          <w:p>
            <w:r>
              <w:rPr>
                <w:sz w:val="15"/>
              </w:rPr>
              <w:t>Locale-aware date, time, week start, number, currency, tax, name, address and phone formatting.</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WHT-02</w:t>
            </w:r>
          </w:p>
        </w:tc>
        <w:tc>
          <w:tcPr>
            <w:tcW w:type="dxa" w:w="1531"/>
            <w:tcMar>
              <w:top w:w="70" w:type="dxa"/>
              <w:left w:w="80" w:type="dxa"/>
              <w:bottom w:w="70" w:type="dxa"/>
              <w:right w:w="80" w:type="dxa"/>
            </w:tcMar>
          </w:tcPr>
          <w:p>
            <w:r>
              <w:rPr>
                <w:sz w:val="15"/>
              </w:rPr>
              <w:t>§10.44 WHT-02 Implementation Contract; §20/§26</w:t>
            </w:r>
          </w:p>
        </w:tc>
        <w:tc>
          <w:tcPr>
            <w:tcW w:type="dxa" w:w="1531"/>
            <w:tcMar>
              <w:top w:w="70" w:type="dxa"/>
              <w:left w:w="80" w:type="dxa"/>
              <w:bottom w:w="70" w:type="dxa"/>
              <w:right w:w="80" w:type="dxa"/>
            </w:tcMar>
          </w:tcPr>
          <w:p>
            <w:r>
              <w:rPr>
                <w:sz w:val="15"/>
              </w:rPr>
              <w:t>§27; INV-WHT-02; API/event contract tests; requirement WHT-02-R02</w:t>
            </w:r>
          </w:p>
        </w:tc>
        <w:tc>
          <w:tcPr>
            <w:tcW w:type="dxa" w:w="1531"/>
            <w:tcMar>
              <w:top w:w="70" w:type="dxa"/>
              <w:left w:w="80" w:type="dxa"/>
              <w:bottom w:w="70" w:type="dxa"/>
              <w:right w:w="80" w:type="dxa"/>
            </w:tcMar>
          </w:tcPr>
          <w:p>
            <w:r>
              <w:rPr>
                <w:sz w:val="15"/>
              </w:rPr>
              <w:t>§28; RB-WHT-02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WHT-02-R03</w:t>
            </w:r>
          </w:p>
        </w:tc>
        <w:tc>
          <w:tcPr>
            <w:tcW w:type="dxa" w:w="1531"/>
            <w:tcMar>
              <w:top w:w="70" w:type="dxa"/>
              <w:left w:w="80" w:type="dxa"/>
              <w:bottom w:w="70" w:type="dxa"/>
              <w:right w:w="80" w:type="dxa"/>
            </w:tcMar>
          </w:tcPr>
          <w:p>
            <w:r>
              <w:rPr>
                <w:sz w:val="15"/>
              </w:rPr>
              <w:t>Localization, RTL, Accessibility &amp; Regional Policy</w:t>
            </w:r>
          </w:p>
        </w:tc>
        <w:tc>
          <w:tcPr>
            <w:tcW w:type="dxa" w:w="1531"/>
            <w:tcMar>
              <w:top w:w="70" w:type="dxa"/>
              <w:left w:w="80" w:type="dxa"/>
              <w:bottom w:w="70" w:type="dxa"/>
              <w:right w:w="80" w:type="dxa"/>
            </w:tcMar>
          </w:tcPr>
          <w:p>
            <w:r>
              <w:rPr>
                <w:sz w:val="15"/>
              </w:rPr>
              <w:t>Translation workflow, glossary, context, screenshot review, pluralization, fallback and tenant overrides.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WHT-02</w:t>
            </w:r>
          </w:p>
        </w:tc>
        <w:tc>
          <w:tcPr>
            <w:tcW w:type="dxa" w:w="1531"/>
            <w:tcMar>
              <w:top w:w="70" w:type="dxa"/>
              <w:left w:w="80" w:type="dxa"/>
              <w:bottom w:w="70" w:type="dxa"/>
              <w:right w:w="80" w:type="dxa"/>
            </w:tcMar>
          </w:tcPr>
          <w:p>
            <w:r>
              <w:rPr>
                <w:sz w:val="15"/>
              </w:rPr>
              <w:t>§10.44 WHT-02 Implementation Contract; §20/§26</w:t>
            </w:r>
          </w:p>
        </w:tc>
        <w:tc>
          <w:tcPr>
            <w:tcW w:type="dxa" w:w="1531"/>
            <w:tcMar>
              <w:top w:w="70" w:type="dxa"/>
              <w:left w:w="80" w:type="dxa"/>
              <w:bottom w:w="70" w:type="dxa"/>
              <w:right w:w="80" w:type="dxa"/>
            </w:tcMar>
          </w:tcPr>
          <w:p>
            <w:r>
              <w:rPr>
                <w:sz w:val="15"/>
              </w:rPr>
              <w:t>§27; INV-WHT-02; API/event contract tests; requirement WHT-02-R03</w:t>
            </w:r>
          </w:p>
        </w:tc>
        <w:tc>
          <w:tcPr>
            <w:tcW w:type="dxa" w:w="1531"/>
            <w:tcMar>
              <w:top w:w="70" w:type="dxa"/>
              <w:left w:w="80" w:type="dxa"/>
              <w:bottom w:w="70" w:type="dxa"/>
              <w:right w:w="80" w:type="dxa"/>
            </w:tcMar>
          </w:tcPr>
          <w:p>
            <w:r>
              <w:rPr>
                <w:sz w:val="15"/>
              </w:rPr>
              <w:t>§28; RB-WHT-02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WHT-02-R04</w:t>
            </w:r>
          </w:p>
        </w:tc>
        <w:tc>
          <w:tcPr>
            <w:tcW w:type="dxa" w:w="1531"/>
            <w:tcMar>
              <w:top w:w="70" w:type="dxa"/>
              <w:left w:w="80" w:type="dxa"/>
              <w:bottom w:w="70" w:type="dxa"/>
              <w:right w:w="80" w:type="dxa"/>
            </w:tcMar>
          </w:tcPr>
          <w:p>
            <w:r>
              <w:rPr>
                <w:sz w:val="15"/>
              </w:rPr>
              <w:t>Localization, RTL, Accessibility &amp; Regional Policy</w:t>
            </w:r>
          </w:p>
        </w:tc>
        <w:tc>
          <w:tcPr>
            <w:tcW w:type="dxa" w:w="1531"/>
            <w:tcMar>
              <w:top w:w="70" w:type="dxa"/>
              <w:left w:w="80" w:type="dxa"/>
              <w:bottom w:w="70" w:type="dxa"/>
              <w:right w:w="80" w:type="dxa"/>
            </w:tcMar>
          </w:tcPr>
          <w:p>
            <w:r>
              <w:rPr>
                <w:sz w:val="15"/>
              </w:rPr>
              <w:t>Accessibility for screen readers, dynamic type, keyboard, focus order, contrast, reduced motion, captions and touch targets.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WHT-02</w:t>
            </w:r>
          </w:p>
        </w:tc>
        <w:tc>
          <w:tcPr>
            <w:tcW w:type="dxa" w:w="1531"/>
            <w:tcMar>
              <w:top w:w="70" w:type="dxa"/>
              <w:left w:w="80" w:type="dxa"/>
              <w:bottom w:w="70" w:type="dxa"/>
              <w:right w:w="80" w:type="dxa"/>
            </w:tcMar>
          </w:tcPr>
          <w:p>
            <w:r>
              <w:rPr>
                <w:sz w:val="15"/>
              </w:rPr>
              <w:t>§10.44 WHT-02 Implementation Contract; §20/§26</w:t>
            </w:r>
          </w:p>
        </w:tc>
        <w:tc>
          <w:tcPr>
            <w:tcW w:type="dxa" w:w="1531"/>
            <w:tcMar>
              <w:top w:w="70" w:type="dxa"/>
              <w:left w:w="80" w:type="dxa"/>
              <w:bottom w:w="70" w:type="dxa"/>
              <w:right w:w="80" w:type="dxa"/>
            </w:tcMar>
          </w:tcPr>
          <w:p>
            <w:r>
              <w:rPr>
                <w:sz w:val="15"/>
              </w:rPr>
              <w:t>§27; INV-WHT-02; API/event contract tests; requirement WHT-02-R04</w:t>
            </w:r>
          </w:p>
        </w:tc>
        <w:tc>
          <w:tcPr>
            <w:tcW w:type="dxa" w:w="1531"/>
            <w:tcMar>
              <w:top w:w="70" w:type="dxa"/>
              <w:left w:w="80" w:type="dxa"/>
              <w:bottom w:w="70" w:type="dxa"/>
              <w:right w:w="80" w:type="dxa"/>
            </w:tcMar>
          </w:tcPr>
          <w:p>
            <w:r>
              <w:rPr>
                <w:sz w:val="15"/>
              </w:rPr>
              <w:t>§28; RB-WHT-02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WHT-02-R05</w:t>
            </w:r>
          </w:p>
        </w:tc>
        <w:tc>
          <w:tcPr>
            <w:tcW w:type="dxa" w:w="1531"/>
            <w:tcMar>
              <w:top w:w="70" w:type="dxa"/>
              <w:left w:w="80" w:type="dxa"/>
              <w:bottom w:w="70" w:type="dxa"/>
              <w:right w:w="80" w:type="dxa"/>
            </w:tcMar>
          </w:tcPr>
          <w:p>
            <w:r>
              <w:rPr>
                <w:sz w:val="15"/>
              </w:rPr>
              <w:t>Localization, RTL, Accessibility &amp; Regional Policy</w:t>
            </w:r>
          </w:p>
        </w:tc>
        <w:tc>
          <w:tcPr>
            <w:tcW w:type="dxa" w:w="1531"/>
            <w:tcMar>
              <w:top w:w="70" w:type="dxa"/>
              <w:left w:w="80" w:type="dxa"/>
              <w:bottom w:w="70" w:type="dxa"/>
              <w:right w:w="80" w:type="dxa"/>
            </w:tcMar>
          </w:tcPr>
          <w:p>
            <w:r>
              <w:rPr>
                <w:sz w:val="15"/>
              </w:rPr>
              <w:t>Regional payment, tax, invoicing, data residency, consent, biometrics, labor, contracts and communication policy packs.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WHT-02</w:t>
            </w:r>
          </w:p>
        </w:tc>
        <w:tc>
          <w:tcPr>
            <w:tcW w:type="dxa" w:w="1531"/>
            <w:tcMar>
              <w:top w:w="70" w:type="dxa"/>
              <w:left w:w="80" w:type="dxa"/>
              <w:bottom w:w="70" w:type="dxa"/>
              <w:right w:w="80" w:type="dxa"/>
            </w:tcMar>
          </w:tcPr>
          <w:p>
            <w:r>
              <w:rPr>
                <w:sz w:val="15"/>
              </w:rPr>
              <w:t>§10.44 WHT-02 Implementation Contract; §20/§26</w:t>
            </w:r>
          </w:p>
        </w:tc>
        <w:tc>
          <w:tcPr>
            <w:tcW w:type="dxa" w:w="1531"/>
            <w:tcMar>
              <w:top w:w="70" w:type="dxa"/>
              <w:left w:w="80" w:type="dxa"/>
              <w:bottom w:w="70" w:type="dxa"/>
              <w:right w:w="80" w:type="dxa"/>
            </w:tcMar>
          </w:tcPr>
          <w:p>
            <w:r>
              <w:rPr>
                <w:sz w:val="15"/>
              </w:rPr>
              <w:t>§27; INV-WHT-02; API/event contract tests; requirement WHT-02-R05</w:t>
            </w:r>
          </w:p>
        </w:tc>
        <w:tc>
          <w:tcPr>
            <w:tcW w:type="dxa" w:w="1531"/>
            <w:tcMar>
              <w:top w:w="70" w:type="dxa"/>
              <w:left w:w="80" w:type="dxa"/>
              <w:bottom w:w="70" w:type="dxa"/>
              <w:right w:w="80" w:type="dxa"/>
            </w:tcMar>
          </w:tcPr>
          <w:p>
            <w:r>
              <w:rPr>
                <w:sz w:val="15"/>
              </w:rPr>
              <w:t>§28; RB-WHT-02</w:t>
            </w:r>
          </w:p>
        </w:tc>
        <w:tc>
          <w:tcPr>
            <w:tcW w:type="dxa" w:w="1531"/>
            <w:tcMar>
              <w:top w:w="70" w:type="dxa"/>
              <w:left w:w="80" w:type="dxa"/>
              <w:bottom w:w="70" w:type="dxa"/>
              <w:right w:w="80" w:type="dxa"/>
            </w:tcMar>
          </w:tcPr>
          <w:p>
            <w:r>
              <w:rPr>
                <w:sz w:val="15"/>
              </w:rPr>
              <w:t>PARTIAL - external validation / later adapter evidence required</w:t>
            </w:r>
          </w:p>
        </w:tc>
      </w:tr>
      <w:tr>
        <w:tc>
          <w:tcPr>
            <w:tcW w:type="dxa" w:w="1531"/>
            <w:tcMar>
              <w:top w:w="70" w:type="dxa"/>
              <w:left w:w="80" w:type="dxa"/>
              <w:bottom w:w="70" w:type="dxa"/>
              <w:right w:w="80" w:type="dxa"/>
            </w:tcMar>
          </w:tcPr>
          <w:p>
            <w:r>
              <w:rPr>
                <w:sz w:val="15"/>
              </w:rPr>
              <w:t>WHT-02-R06</w:t>
            </w:r>
          </w:p>
        </w:tc>
        <w:tc>
          <w:tcPr>
            <w:tcW w:type="dxa" w:w="1531"/>
            <w:tcMar>
              <w:top w:w="70" w:type="dxa"/>
              <w:left w:w="80" w:type="dxa"/>
              <w:bottom w:w="70" w:type="dxa"/>
              <w:right w:w="80" w:type="dxa"/>
            </w:tcMar>
          </w:tcPr>
          <w:p>
            <w:r>
              <w:rPr>
                <w:sz w:val="15"/>
              </w:rPr>
              <w:t>Localization, RTL, Accessibility &amp; Regional Policy</w:t>
            </w:r>
          </w:p>
        </w:tc>
        <w:tc>
          <w:tcPr>
            <w:tcW w:type="dxa" w:w="1531"/>
            <w:tcMar>
              <w:top w:w="70" w:type="dxa"/>
              <w:left w:w="80" w:type="dxa"/>
              <w:bottom w:w="70" w:type="dxa"/>
              <w:right w:w="80" w:type="dxa"/>
            </w:tcMar>
          </w:tcPr>
          <w:p>
            <w:r>
              <w:rPr>
                <w:sz w:val="15"/>
              </w:rPr>
              <w:t>Cuisine, food, serving units, names and search behavior localized for nutrition.</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WHT-02</w:t>
            </w:r>
          </w:p>
        </w:tc>
        <w:tc>
          <w:tcPr>
            <w:tcW w:type="dxa" w:w="1531"/>
            <w:tcMar>
              <w:top w:w="70" w:type="dxa"/>
              <w:left w:w="80" w:type="dxa"/>
              <w:bottom w:w="70" w:type="dxa"/>
              <w:right w:w="80" w:type="dxa"/>
            </w:tcMar>
          </w:tcPr>
          <w:p>
            <w:r>
              <w:rPr>
                <w:sz w:val="15"/>
              </w:rPr>
              <w:t>§10.44 WHT-02 Implementation Contract; §20/§26</w:t>
            </w:r>
          </w:p>
        </w:tc>
        <w:tc>
          <w:tcPr>
            <w:tcW w:type="dxa" w:w="1531"/>
            <w:tcMar>
              <w:top w:w="70" w:type="dxa"/>
              <w:left w:w="80" w:type="dxa"/>
              <w:bottom w:w="70" w:type="dxa"/>
              <w:right w:w="80" w:type="dxa"/>
            </w:tcMar>
          </w:tcPr>
          <w:p>
            <w:r>
              <w:rPr>
                <w:sz w:val="15"/>
              </w:rPr>
              <w:t>§27; INV-WHT-02; API/event contract tests; requirement WHT-02-R06</w:t>
            </w:r>
          </w:p>
        </w:tc>
        <w:tc>
          <w:tcPr>
            <w:tcW w:type="dxa" w:w="1531"/>
            <w:tcMar>
              <w:top w:w="70" w:type="dxa"/>
              <w:left w:w="80" w:type="dxa"/>
              <w:bottom w:w="70" w:type="dxa"/>
              <w:right w:w="80" w:type="dxa"/>
            </w:tcMar>
          </w:tcPr>
          <w:p>
            <w:r>
              <w:rPr>
                <w:sz w:val="15"/>
              </w:rPr>
              <w:t>§28; RB-WHT-02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WHT-02-R07</w:t>
            </w:r>
          </w:p>
        </w:tc>
        <w:tc>
          <w:tcPr>
            <w:tcW w:type="dxa" w:w="1531"/>
            <w:tcMar>
              <w:top w:w="70" w:type="dxa"/>
              <w:left w:w="80" w:type="dxa"/>
              <w:bottom w:w="70" w:type="dxa"/>
              <w:right w:w="80" w:type="dxa"/>
            </w:tcMar>
          </w:tcPr>
          <w:p>
            <w:r>
              <w:rPr>
                <w:sz w:val="15"/>
              </w:rPr>
              <w:t>Localization, RTL, Accessibility &amp; Regional Policy</w:t>
            </w:r>
          </w:p>
        </w:tc>
        <w:tc>
          <w:tcPr>
            <w:tcW w:type="dxa" w:w="1531"/>
            <w:tcMar>
              <w:top w:w="70" w:type="dxa"/>
              <w:left w:w="80" w:type="dxa"/>
              <w:bottom w:w="70" w:type="dxa"/>
              <w:right w:w="80" w:type="dxa"/>
            </w:tcMar>
          </w:tcPr>
          <w:p>
            <w:r>
              <w:rPr>
                <w:sz w:val="15"/>
              </w:rPr>
              <w:t>Time-zone, daylight-saving and cross-region schedule correctness.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WHT-02</w:t>
            </w:r>
          </w:p>
        </w:tc>
        <w:tc>
          <w:tcPr>
            <w:tcW w:type="dxa" w:w="1531"/>
            <w:tcMar>
              <w:top w:w="70" w:type="dxa"/>
              <w:left w:w="80" w:type="dxa"/>
              <w:bottom w:w="70" w:type="dxa"/>
              <w:right w:w="80" w:type="dxa"/>
            </w:tcMar>
          </w:tcPr>
          <w:p>
            <w:r>
              <w:rPr>
                <w:sz w:val="15"/>
              </w:rPr>
              <w:t>§10.44 WHT-02 Implementation Contract; §20/§26</w:t>
            </w:r>
          </w:p>
        </w:tc>
        <w:tc>
          <w:tcPr>
            <w:tcW w:type="dxa" w:w="1531"/>
            <w:tcMar>
              <w:top w:w="70" w:type="dxa"/>
              <w:left w:w="80" w:type="dxa"/>
              <w:bottom w:w="70" w:type="dxa"/>
              <w:right w:w="80" w:type="dxa"/>
            </w:tcMar>
          </w:tcPr>
          <w:p>
            <w:r>
              <w:rPr>
                <w:sz w:val="15"/>
              </w:rPr>
              <w:t>§27; INV-WHT-02; API/event contract tests; requirement WHT-02-R07</w:t>
            </w:r>
          </w:p>
        </w:tc>
        <w:tc>
          <w:tcPr>
            <w:tcW w:type="dxa" w:w="1531"/>
            <w:tcMar>
              <w:top w:w="70" w:type="dxa"/>
              <w:left w:w="80" w:type="dxa"/>
              <w:bottom w:w="70" w:type="dxa"/>
              <w:right w:w="80" w:type="dxa"/>
            </w:tcMar>
          </w:tcPr>
          <w:p>
            <w:r>
              <w:rPr>
                <w:sz w:val="15"/>
              </w:rPr>
              <w:t>§28; RB-WHT-02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WHT-02-R08</w:t>
            </w:r>
          </w:p>
        </w:tc>
        <w:tc>
          <w:tcPr>
            <w:tcW w:type="dxa" w:w="1531"/>
            <w:tcMar>
              <w:top w:w="70" w:type="dxa"/>
              <w:left w:w="80" w:type="dxa"/>
              <w:bottom w:w="70" w:type="dxa"/>
              <w:right w:w="80" w:type="dxa"/>
            </w:tcMar>
          </w:tcPr>
          <w:p>
            <w:r>
              <w:rPr>
                <w:sz w:val="15"/>
              </w:rPr>
              <w:t>Localization, RTL, Accessibility &amp; Regional Policy</w:t>
            </w:r>
          </w:p>
        </w:tc>
        <w:tc>
          <w:tcPr>
            <w:tcW w:type="dxa" w:w="1531"/>
            <w:tcMar>
              <w:top w:w="70" w:type="dxa"/>
              <w:left w:w="80" w:type="dxa"/>
              <w:bottom w:w="70" w:type="dxa"/>
              <w:right w:w="80" w:type="dxa"/>
            </w:tcMar>
          </w:tcPr>
          <w:p>
            <w:r>
              <w:rPr>
                <w:sz w:val="15"/>
              </w:rPr>
              <w:t>Localization and accessibility QA gates in design, development and release.</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WHT-02</w:t>
            </w:r>
          </w:p>
        </w:tc>
        <w:tc>
          <w:tcPr>
            <w:tcW w:type="dxa" w:w="1531"/>
            <w:tcMar>
              <w:top w:w="70" w:type="dxa"/>
              <w:left w:w="80" w:type="dxa"/>
              <w:bottom w:w="70" w:type="dxa"/>
              <w:right w:w="80" w:type="dxa"/>
            </w:tcMar>
          </w:tcPr>
          <w:p>
            <w:r>
              <w:rPr>
                <w:sz w:val="15"/>
              </w:rPr>
              <w:t>§10.44 WHT-02 Implementation Contract; §20/§26</w:t>
            </w:r>
          </w:p>
        </w:tc>
        <w:tc>
          <w:tcPr>
            <w:tcW w:type="dxa" w:w="1531"/>
            <w:tcMar>
              <w:top w:w="70" w:type="dxa"/>
              <w:left w:w="80" w:type="dxa"/>
              <w:bottom w:w="70" w:type="dxa"/>
              <w:right w:w="80" w:type="dxa"/>
            </w:tcMar>
          </w:tcPr>
          <w:p>
            <w:r>
              <w:rPr>
                <w:sz w:val="15"/>
              </w:rPr>
              <w:t>§27; INV-WHT-02; API/event contract tests; requirement WHT-02-R08</w:t>
            </w:r>
          </w:p>
        </w:tc>
        <w:tc>
          <w:tcPr>
            <w:tcW w:type="dxa" w:w="1531"/>
            <w:tcMar>
              <w:top w:w="70" w:type="dxa"/>
              <w:left w:w="80" w:type="dxa"/>
              <w:bottom w:w="70" w:type="dxa"/>
              <w:right w:w="80" w:type="dxa"/>
            </w:tcMar>
          </w:tcPr>
          <w:p>
            <w:r>
              <w:rPr>
                <w:sz w:val="15"/>
              </w:rPr>
              <w:t>§28; RB-WHT-02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DAT-01-R01</w:t>
            </w:r>
          </w:p>
        </w:tc>
        <w:tc>
          <w:tcPr>
            <w:tcW w:type="dxa" w:w="1531"/>
            <w:tcMar>
              <w:top w:w="70" w:type="dxa"/>
              <w:left w:w="80" w:type="dxa"/>
              <w:bottom w:w="70" w:type="dxa"/>
              <w:right w:w="80" w:type="dxa"/>
            </w:tcMar>
          </w:tcPr>
          <w:p>
            <w:r>
              <w:rPr>
                <w:sz w:val="15"/>
              </w:rPr>
              <w:t>Domain Events, Event Bus &amp; Operational Timeline</w:t>
            </w:r>
          </w:p>
        </w:tc>
        <w:tc>
          <w:tcPr>
            <w:tcW w:type="dxa" w:w="1531"/>
            <w:tcMar>
              <w:top w:w="70" w:type="dxa"/>
              <w:left w:w="80" w:type="dxa"/>
              <w:bottom w:w="70" w:type="dxa"/>
              <w:right w:w="80" w:type="dxa"/>
            </w:tcMar>
          </w:tcPr>
          <w:p>
            <w:r>
              <w:rPr>
                <w:sz w:val="15"/>
              </w:rPr>
              <w:t>Canonical event envelope with tenant, aggregate, actor, correlation, causation, schema, timestamp and source.</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DAT-01</w:t>
            </w:r>
          </w:p>
        </w:tc>
        <w:tc>
          <w:tcPr>
            <w:tcW w:type="dxa" w:w="1531"/>
            <w:tcMar>
              <w:top w:w="70" w:type="dxa"/>
              <w:left w:w="80" w:type="dxa"/>
              <w:bottom w:w="70" w:type="dxa"/>
              <w:right w:w="80" w:type="dxa"/>
            </w:tcMar>
          </w:tcPr>
          <w:p>
            <w:r>
              <w:rPr>
                <w:sz w:val="15"/>
              </w:rPr>
              <w:t>§10.45 DAT-01 Implementation Contract; §12/§19</w:t>
            </w:r>
          </w:p>
        </w:tc>
        <w:tc>
          <w:tcPr>
            <w:tcW w:type="dxa" w:w="1531"/>
            <w:tcMar>
              <w:top w:w="70" w:type="dxa"/>
              <w:left w:w="80" w:type="dxa"/>
              <w:bottom w:w="70" w:type="dxa"/>
              <w:right w:w="80" w:type="dxa"/>
            </w:tcMar>
          </w:tcPr>
          <w:p>
            <w:r>
              <w:rPr>
                <w:sz w:val="15"/>
              </w:rPr>
              <w:t>§27; INV-DAT-01; API/event contract tests; requirement DAT-01-R01</w:t>
            </w:r>
          </w:p>
        </w:tc>
        <w:tc>
          <w:tcPr>
            <w:tcW w:type="dxa" w:w="1531"/>
            <w:tcMar>
              <w:top w:w="70" w:type="dxa"/>
              <w:left w:w="80" w:type="dxa"/>
              <w:bottom w:w="70" w:type="dxa"/>
              <w:right w:w="80" w:type="dxa"/>
            </w:tcMar>
          </w:tcPr>
          <w:p>
            <w:r>
              <w:rPr>
                <w:sz w:val="15"/>
              </w:rPr>
              <w:t>§28; RB-DAT-01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DAT-01-R02</w:t>
            </w:r>
          </w:p>
        </w:tc>
        <w:tc>
          <w:tcPr>
            <w:tcW w:type="dxa" w:w="1531"/>
            <w:tcMar>
              <w:top w:w="70" w:type="dxa"/>
              <w:left w:w="80" w:type="dxa"/>
              <w:bottom w:w="70" w:type="dxa"/>
              <w:right w:w="80" w:type="dxa"/>
            </w:tcMar>
          </w:tcPr>
          <w:p>
            <w:r>
              <w:rPr>
                <w:sz w:val="15"/>
              </w:rPr>
              <w:t>Domain Events, Event Bus &amp; Operational Timeline</w:t>
            </w:r>
          </w:p>
        </w:tc>
        <w:tc>
          <w:tcPr>
            <w:tcW w:type="dxa" w:w="1531"/>
            <w:tcMar>
              <w:top w:w="70" w:type="dxa"/>
              <w:left w:w="80" w:type="dxa"/>
              <w:bottom w:w="70" w:type="dxa"/>
              <w:right w:w="80" w:type="dxa"/>
            </w:tcMar>
          </w:tcPr>
          <w:p>
            <w:r>
              <w:rPr>
                <w:sz w:val="15"/>
              </w:rPr>
              <w:t>Transactional outbox or equivalent guarantee between state change and event publication.</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DAT-01</w:t>
            </w:r>
          </w:p>
        </w:tc>
        <w:tc>
          <w:tcPr>
            <w:tcW w:type="dxa" w:w="1531"/>
            <w:tcMar>
              <w:top w:w="70" w:type="dxa"/>
              <w:left w:w="80" w:type="dxa"/>
              <w:bottom w:w="70" w:type="dxa"/>
              <w:right w:w="80" w:type="dxa"/>
            </w:tcMar>
          </w:tcPr>
          <w:p>
            <w:r>
              <w:rPr>
                <w:sz w:val="15"/>
              </w:rPr>
              <w:t>§10.45 DAT-01 Implementation Contract; §12/§19</w:t>
            </w:r>
          </w:p>
        </w:tc>
        <w:tc>
          <w:tcPr>
            <w:tcW w:type="dxa" w:w="1531"/>
            <w:tcMar>
              <w:top w:w="70" w:type="dxa"/>
              <w:left w:w="80" w:type="dxa"/>
              <w:bottom w:w="70" w:type="dxa"/>
              <w:right w:w="80" w:type="dxa"/>
            </w:tcMar>
          </w:tcPr>
          <w:p>
            <w:r>
              <w:rPr>
                <w:sz w:val="15"/>
              </w:rPr>
              <w:t>§27; INV-DAT-01; API/event contract tests; requirement DAT-01-R02</w:t>
            </w:r>
          </w:p>
        </w:tc>
        <w:tc>
          <w:tcPr>
            <w:tcW w:type="dxa" w:w="1531"/>
            <w:tcMar>
              <w:top w:w="70" w:type="dxa"/>
              <w:left w:w="80" w:type="dxa"/>
              <w:bottom w:w="70" w:type="dxa"/>
              <w:right w:w="80" w:type="dxa"/>
            </w:tcMar>
          </w:tcPr>
          <w:p>
            <w:r>
              <w:rPr>
                <w:sz w:val="15"/>
              </w:rPr>
              <w:t>§28; RB-DAT-01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DAT-01-R03</w:t>
            </w:r>
          </w:p>
        </w:tc>
        <w:tc>
          <w:tcPr>
            <w:tcW w:type="dxa" w:w="1531"/>
            <w:tcMar>
              <w:top w:w="70" w:type="dxa"/>
              <w:left w:w="80" w:type="dxa"/>
              <w:bottom w:w="70" w:type="dxa"/>
              <w:right w:w="80" w:type="dxa"/>
            </w:tcMar>
          </w:tcPr>
          <w:p>
            <w:r>
              <w:rPr>
                <w:sz w:val="15"/>
              </w:rPr>
              <w:t>Domain Events, Event Bus &amp; Operational Timeline</w:t>
            </w:r>
          </w:p>
        </w:tc>
        <w:tc>
          <w:tcPr>
            <w:tcW w:type="dxa" w:w="1531"/>
            <w:tcMar>
              <w:top w:w="70" w:type="dxa"/>
              <w:left w:w="80" w:type="dxa"/>
              <w:bottom w:w="70" w:type="dxa"/>
              <w:right w:w="80" w:type="dxa"/>
            </w:tcMar>
          </w:tcPr>
          <w:p>
            <w:r>
              <w:rPr>
                <w:sz w:val="15"/>
              </w:rPr>
              <w:t>Schema registry, compatibility rules, ownership, classification and deprecation.</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DAT-01</w:t>
            </w:r>
          </w:p>
        </w:tc>
        <w:tc>
          <w:tcPr>
            <w:tcW w:type="dxa" w:w="1531"/>
            <w:tcMar>
              <w:top w:w="70" w:type="dxa"/>
              <w:left w:w="80" w:type="dxa"/>
              <w:bottom w:w="70" w:type="dxa"/>
              <w:right w:w="80" w:type="dxa"/>
            </w:tcMar>
          </w:tcPr>
          <w:p>
            <w:r>
              <w:rPr>
                <w:sz w:val="15"/>
              </w:rPr>
              <w:t>§10.45 DAT-01 Implementation Contract; §12/§19</w:t>
            </w:r>
          </w:p>
        </w:tc>
        <w:tc>
          <w:tcPr>
            <w:tcW w:type="dxa" w:w="1531"/>
            <w:tcMar>
              <w:top w:w="70" w:type="dxa"/>
              <w:left w:w="80" w:type="dxa"/>
              <w:bottom w:w="70" w:type="dxa"/>
              <w:right w:w="80" w:type="dxa"/>
            </w:tcMar>
          </w:tcPr>
          <w:p>
            <w:r>
              <w:rPr>
                <w:sz w:val="15"/>
              </w:rPr>
              <w:t>§27; INV-DAT-01; API/event contract tests; requirement DAT-01-R03</w:t>
            </w:r>
          </w:p>
        </w:tc>
        <w:tc>
          <w:tcPr>
            <w:tcW w:type="dxa" w:w="1531"/>
            <w:tcMar>
              <w:top w:w="70" w:type="dxa"/>
              <w:left w:w="80" w:type="dxa"/>
              <w:bottom w:w="70" w:type="dxa"/>
              <w:right w:w="80" w:type="dxa"/>
            </w:tcMar>
          </w:tcPr>
          <w:p>
            <w:r>
              <w:rPr>
                <w:sz w:val="15"/>
              </w:rPr>
              <w:t>§28; RB-DAT-01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DAT-01-R04</w:t>
            </w:r>
          </w:p>
        </w:tc>
        <w:tc>
          <w:tcPr>
            <w:tcW w:type="dxa" w:w="1531"/>
            <w:tcMar>
              <w:top w:w="70" w:type="dxa"/>
              <w:left w:w="80" w:type="dxa"/>
              <w:bottom w:w="70" w:type="dxa"/>
              <w:right w:w="80" w:type="dxa"/>
            </w:tcMar>
          </w:tcPr>
          <w:p>
            <w:r>
              <w:rPr>
                <w:sz w:val="15"/>
              </w:rPr>
              <w:t>Domain Events, Event Bus &amp; Operational Timeline</w:t>
            </w:r>
          </w:p>
        </w:tc>
        <w:tc>
          <w:tcPr>
            <w:tcW w:type="dxa" w:w="1531"/>
            <w:tcMar>
              <w:top w:w="70" w:type="dxa"/>
              <w:left w:w="80" w:type="dxa"/>
              <w:bottom w:w="70" w:type="dxa"/>
              <w:right w:w="80" w:type="dxa"/>
            </w:tcMar>
          </w:tcPr>
          <w:p>
            <w:r>
              <w:rPr>
                <w:sz w:val="15"/>
              </w:rPr>
              <w:t>At-least-once delivery with idempotent consumers, retry, dead-letter and replay.</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DAT-01</w:t>
            </w:r>
          </w:p>
        </w:tc>
        <w:tc>
          <w:tcPr>
            <w:tcW w:type="dxa" w:w="1531"/>
            <w:tcMar>
              <w:top w:w="70" w:type="dxa"/>
              <w:left w:w="80" w:type="dxa"/>
              <w:bottom w:w="70" w:type="dxa"/>
              <w:right w:w="80" w:type="dxa"/>
            </w:tcMar>
          </w:tcPr>
          <w:p>
            <w:r>
              <w:rPr>
                <w:sz w:val="15"/>
              </w:rPr>
              <w:t>§10.45 DAT-01 Implementation Contract; §12/§19</w:t>
            </w:r>
          </w:p>
        </w:tc>
        <w:tc>
          <w:tcPr>
            <w:tcW w:type="dxa" w:w="1531"/>
            <w:tcMar>
              <w:top w:w="70" w:type="dxa"/>
              <w:left w:w="80" w:type="dxa"/>
              <w:bottom w:w="70" w:type="dxa"/>
              <w:right w:w="80" w:type="dxa"/>
            </w:tcMar>
          </w:tcPr>
          <w:p>
            <w:r>
              <w:rPr>
                <w:sz w:val="15"/>
              </w:rPr>
              <w:t>§27; INV-DAT-01; API/event contract tests; requirement DAT-01-R04</w:t>
            </w:r>
          </w:p>
        </w:tc>
        <w:tc>
          <w:tcPr>
            <w:tcW w:type="dxa" w:w="1531"/>
            <w:tcMar>
              <w:top w:w="70" w:type="dxa"/>
              <w:left w:w="80" w:type="dxa"/>
              <w:bottom w:w="70" w:type="dxa"/>
              <w:right w:w="80" w:type="dxa"/>
            </w:tcMar>
          </w:tcPr>
          <w:p>
            <w:r>
              <w:rPr>
                <w:sz w:val="15"/>
              </w:rPr>
              <w:t>§28; RB-DAT-01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DAT-01-R05</w:t>
            </w:r>
          </w:p>
        </w:tc>
        <w:tc>
          <w:tcPr>
            <w:tcW w:type="dxa" w:w="1531"/>
            <w:tcMar>
              <w:top w:w="70" w:type="dxa"/>
              <w:left w:w="80" w:type="dxa"/>
              <w:bottom w:w="70" w:type="dxa"/>
              <w:right w:w="80" w:type="dxa"/>
            </w:tcMar>
          </w:tcPr>
          <w:p>
            <w:r>
              <w:rPr>
                <w:sz w:val="15"/>
              </w:rPr>
              <w:t>Domain Events, Event Bus &amp; Operational Timeline</w:t>
            </w:r>
          </w:p>
        </w:tc>
        <w:tc>
          <w:tcPr>
            <w:tcW w:type="dxa" w:w="1531"/>
            <w:tcMar>
              <w:top w:w="70" w:type="dxa"/>
              <w:left w:w="80" w:type="dxa"/>
              <w:bottom w:w="70" w:type="dxa"/>
              <w:right w:w="80" w:type="dxa"/>
            </w:tcMar>
          </w:tcPr>
          <w:p>
            <w:r>
              <w:rPr>
                <w:sz w:val="15"/>
              </w:rPr>
              <w:t>Event routing to timeline, automation, notification, analytics, integrations, fraud and AI.</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DAT-01</w:t>
            </w:r>
          </w:p>
        </w:tc>
        <w:tc>
          <w:tcPr>
            <w:tcW w:type="dxa" w:w="1531"/>
            <w:tcMar>
              <w:top w:w="70" w:type="dxa"/>
              <w:left w:w="80" w:type="dxa"/>
              <w:bottom w:w="70" w:type="dxa"/>
              <w:right w:w="80" w:type="dxa"/>
            </w:tcMar>
          </w:tcPr>
          <w:p>
            <w:r>
              <w:rPr>
                <w:sz w:val="15"/>
              </w:rPr>
              <w:t>§10.45 DAT-01 Implementation Contract; §12/§19</w:t>
            </w:r>
          </w:p>
        </w:tc>
        <w:tc>
          <w:tcPr>
            <w:tcW w:type="dxa" w:w="1531"/>
            <w:tcMar>
              <w:top w:w="70" w:type="dxa"/>
              <w:left w:w="80" w:type="dxa"/>
              <w:bottom w:w="70" w:type="dxa"/>
              <w:right w:w="80" w:type="dxa"/>
            </w:tcMar>
          </w:tcPr>
          <w:p>
            <w:r>
              <w:rPr>
                <w:sz w:val="15"/>
              </w:rPr>
              <w:t>§27; INV-DAT-01; API/event contract tests; requirement DAT-01-R05</w:t>
            </w:r>
          </w:p>
        </w:tc>
        <w:tc>
          <w:tcPr>
            <w:tcW w:type="dxa" w:w="1531"/>
            <w:tcMar>
              <w:top w:w="70" w:type="dxa"/>
              <w:left w:w="80" w:type="dxa"/>
              <w:bottom w:w="70" w:type="dxa"/>
              <w:right w:w="80" w:type="dxa"/>
            </w:tcMar>
          </w:tcPr>
          <w:p>
            <w:r>
              <w:rPr>
                <w:sz w:val="15"/>
              </w:rPr>
              <w:t>§28; RB-DAT-01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DAT-01-R06</w:t>
            </w:r>
          </w:p>
        </w:tc>
        <w:tc>
          <w:tcPr>
            <w:tcW w:type="dxa" w:w="1531"/>
            <w:tcMar>
              <w:top w:w="70" w:type="dxa"/>
              <w:left w:w="80" w:type="dxa"/>
              <w:bottom w:w="70" w:type="dxa"/>
              <w:right w:w="80" w:type="dxa"/>
            </w:tcMar>
          </w:tcPr>
          <w:p>
            <w:r>
              <w:rPr>
                <w:sz w:val="15"/>
              </w:rPr>
              <w:t>Domain Events, Event Bus &amp; Operational Timeline</w:t>
            </w:r>
          </w:p>
        </w:tc>
        <w:tc>
          <w:tcPr>
            <w:tcW w:type="dxa" w:w="1531"/>
            <w:tcMar>
              <w:top w:w="70" w:type="dxa"/>
              <w:left w:w="80" w:type="dxa"/>
              <w:bottom w:w="70" w:type="dxa"/>
              <w:right w:w="80" w:type="dxa"/>
            </w:tcMar>
          </w:tcPr>
          <w:p>
            <w:r>
              <w:rPr>
                <w:sz w:val="15"/>
              </w:rPr>
              <w:t>Retention, compaction, PII minimization, encryption and regional routing.</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DAT-01</w:t>
            </w:r>
          </w:p>
        </w:tc>
        <w:tc>
          <w:tcPr>
            <w:tcW w:type="dxa" w:w="1531"/>
            <w:tcMar>
              <w:top w:w="70" w:type="dxa"/>
              <w:left w:w="80" w:type="dxa"/>
              <w:bottom w:w="70" w:type="dxa"/>
              <w:right w:w="80" w:type="dxa"/>
            </w:tcMar>
          </w:tcPr>
          <w:p>
            <w:r>
              <w:rPr>
                <w:sz w:val="15"/>
              </w:rPr>
              <w:t>§10.45 DAT-01 Implementation Contract; §12/§19</w:t>
            </w:r>
          </w:p>
        </w:tc>
        <w:tc>
          <w:tcPr>
            <w:tcW w:type="dxa" w:w="1531"/>
            <w:tcMar>
              <w:top w:w="70" w:type="dxa"/>
              <w:left w:w="80" w:type="dxa"/>
              <w:bottom w:w="70" w:type="dxa"/>
              <w:right w:w="80" w:type="dxa"/>
            </w:tcMar>
          </w:tcPr>
          <w:p>
            <w:r>
              <w:rPr>
                <w:sz w:val="15"/>
              </w:rPr>
              <w:t>§27; INV-DAT-01; API/event contract tests; requirement DAT-01-R06</w:t>
            </w:r>
          </w:p>
        </w:tc>
        <w:tc>
          <w:tcPr>
            <w:tcW w:type="dxa" w:w="1531"/>
            <w:tcMar>
              <w:top w:w="70" w:type="dxa"/>
              <w:left w:w="80" w:type="dxa"/>
              <w:bottom w:w="70" w:type="dxa"/>
              <w:right w:w="80" w:type="dxa"/>
            </w:tcMar>
          </w:tcPr>
          <w:p>
            <w:r>
              <w:rPr>
                <w:sz w:val="15"/>
              </w:rPr>
              <w:t>§28; RB-DAT-01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DAT-01-R07</w:t>
            </w:r>
          </w:p>
        </w:tc>
        <w:tc>
          <w:tcPr>
            <w:tcW w:type="dxa" w:w="1531"/>
            <w:tcMar>
              <w:top w:w="70" w:type="dxa"/>
              <w:left w:w="80" w:type="dxa"/>
              <w:bottom w:w="70" w:type="dxa"/>
              <w:right w:w="80" w:type="dxa"/>
            </w:tcMar>
          </w:tcPr>
          <w:p>
            <w:r>
              <w:rPr>
                <w:sz w:val="15"/>
              </w:rPr>
              <w:t>Domain Events, Event Bus &amp; Operational Timeline</w:t>
            </w:r>
          </w:p>
        </w:tc>
        <w:tc>
          <w:tcPr>
            <w:tcW w:type="dxa" w:w="1531"/>
            <w:tcMar>
              <w:top w:w="70" w:type="dxa"/>
              <w:left w:w="80" w:type="dxa"/>
              <w:bottom w:w="70" w:type="dxa"/>
              <w:right w:w="80" w:type="dxa"/>
            </w:tcMar>
          </w:tcPr>
          <w:p>
            <w:r>
              <w:rPr>
                <w:sz w:val="15"/>
              </w:rPr>
              <w:t>Operational explorer for correlation tracing and controlled replay.</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DAT-01</w:t>
            </w:r>
          </w:p>
        </w:tc>
        <w:tc>
          <w:tcPr>
            <w:tcW w:type="dxa" w:w="1531"/>
            <w:tcMar>
              <w:top w:w="70" w:type="dxa"/>
              <w:left w:w="80" w:type="dxa"/>
              <w:bottom w:w="70" w:type="dxa"/>
              <w:right w:w="80" w:type="dxa"/>
            </w:tcMar>
          </w:tcPr>
          <w:p>
            <w:r>
              <w:rPr>
                <w:sz w:val="15"/>
              </w:rPr>
              <w:t>§10.45 DAT-01 Implementation Contract; §12/§19</w:t>
            </w:r>
          </w:p>
        </w:tc>
        <w:tc>
          <w:tcPr>
            <w:tcW w:type="dxa" w:w="1531"/>
            <w:tcMar>
              <w:top w:w="70" w:type="dxa"/>
              <w:left w:w="80" w:type="dxa"/>
              <w:bottom w:w="70" w:type="dxa"/>
              <w:right w:w="80" w:type="dxa"/>
            </w:tcMar>
          </w:tcPr>
          <w:p>
            <w:r>
              <w:rPr>
                <w:sz w:val="15"/>
              </w:rPr>
              <w:t>§27; INV-DAT-01; API/event contract tests; requirement DAT-01-R07</w:t>
            </w:r>
          </w:p>
        </w:tc>
        <w:tc>
          <w:tcPr>
            <w:tcW w:type="dxa" w:w="1531"/>
            <w:tcMar>
              <w:top w:w="70" w:type="dxa"/>
              <w:left w:w="80" w:type="dxa"/>
              <w:bottom w:w="70" w:type="dxa"/>
              <w:right w:w="80" w:type="dxa"/>
            </w:tcMar>
          </w:tcPr>
          <w:p>
            <w:r>
              <w:rPr>
                <w:sz w:val="15"/>
              </w:rPr>
              <w:t>§28; RB-DAT-01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DAT-01-R08</w:t>
            </w:r>
          </w:p>
        </w:tc>
        <w:tc>
          <w:tcPr>
            <w:tcW w:type="dxa" w:w="1531"/>
            <w:tcMar>
              <w:top w:w="70" w:type="dxa"/>
              <w:left w:w="80" w:type="dxa"/>
              <w:bottom w:w="70" w:type="dxa"/>
              <w:right w:w="80" w:type="dxa"/>
            </w:tcMar>
          </w:tcPr>
          <w:p>
            <w:r>
              <w:rPr>
                <w:sz w:val="15"/>
              </w:rPr>
              <w:t>Domain Events, Event Bus &amp; Operational Timeline</w:t>
            </w:r>
          </w:p>
        </w:tc>
        <w:tc>
          <w:tcPr>
            <w:tcW w:type="dxa" w:w="1531"/>
            <w:tcMar>
              <w:top w:w="70" w:type="dxa"/>
              <w:left w:w="80" w:type="dxa"/>
              <w:bottom w:w="70" w:type="dxa"/>
              <w:right w:w="80" w:type="dxa"/>
            </w:tcMar>
          </w:tcPr>
          <w:p>
            <w:r>
              <w:rPr>
                <w:sz w:val="15"/>
              </w:rPr>
              <w:t>Business event catalog accessible to product, engineering, analytics and partners.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DAT-01</w:t>
            </w:r>
          </w:p>
        </w:tc>
        <w:tc>
          <w:tcPr>
            <w:tcW w:type="dxa" w:w="1531"/>
            <w:tcMar>
              <w:top w:w="70" w:type="dxa"/>
              <w:left w:w="80" w:type="dxa"/>
              <w:bottom w:w="70" w:type="dxa"/>
              <w:right w:w="80" w:type="dxa"/>
            </w:tcMar>
          </w:tcPr>
          <w:p>
            <w:r>
              <w:rPr>
                <w:sz w:val="15"/>
              </w:rPr>
              <w:t>§10.45 DAT-01 Implementation Contract; §12/§19</w:t>
            </w:r>
          </w:p>
        </w:tc>
        <w:tc>
          <w:tcPr>
            <w:tcW w:type="dxa" w:w="1531"/>
            <w:tcMar>
              <w:top w:w="70" w:type="dxa"/>
              <w:left w:w="80" w:type="dxa"/>
              <w:bottom w:w="70" w:type="dxa"/>
              <w:right w:w="80" w:type="dxa"/>
            </w:tcMar>
          </w:tcPr>
          <w:p>
            <w:r>
              <w:rPr>
                <w:sz w:val="15"/>
              </w:rPr>
              <w:t>§27; INV-DAT-01; API/event contract tests; requirement DAT-01-R08</w:t>
            </w:r>
          </w:p>
        </w:tc>
        <w:tc>
          <w:tcPr>
            <w:tcW w:type="dxa" w:w="1531"/>
            <w:tcMar>
              <w:top w:w="70" w:type="dxa"/>
              <w:left w:w="80" w:type="dxa"/>
              <w:bottom w:w="70" w:type="dxa"/>
              <w:right w:w="80" w:type="dxa"/>
            </w:tcMar>
          </w:tcPr>
          <w:p>
            <w:r>
              <w:rPr>
                <w:sz w:val="15"/>
              </w:rPr>
              <w:t>§28; RB-DAT-01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DAT-02-R01</w:t>
            </w:r>
          </w:p>
        </w:tc>
        <w:tc>
          <w:tcPr>
            <w:tcW w:type="dxa" w:w="1531"/>
            <w:tcMar>
              <w:top w:w="70" w:type="dxa"/>
              <w:left w:w="80" w:type="dxa"/>
              <w:bottom w:w="70" w:type="dxa"/>
              <w:right w:w="80" w:type="dxa"/>
            </w:tcMar>
          </w:tcPr>
          <w:p>
            <w:r>
              <w:rPr>
                <w:sz w:val="15"/>
              </w:rPr>
              <w:t>Data Platform, Warehouse, Governance &amp; Data Products</w:t>
            </w:r>
          </w:p>
        </w:tc>
        <w:tc>
          <w:tcPr>
            <w:tcW w:type="dxa" w:w="1531"/>
            <w:tcMar>
              <w:top w:w="70" w:type="dxa"/>
              <w:left w:w="80" w:type="dxa"/>
              <w:bottom w:w="70" w:type="dxa"/>
              <w:right w:w="80" w:type="dxa"/>
            </w:tcMar>
          </w:tcPr>
          <w:p>
            <w:r>
              <w:rPr>
                <w:sz w:val="15"/>
              </w:rPr>
              <w:t>Ingestion from domain events, databases, provider settlements, devices and external integrations.</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DAT-02</w:t>
            </w:r>
          </w:p>
        </w:tc>
        <w:tc>
          <w:tcPr>
            <w:tcW w:type="dxa" w:w="1531"/>
            <w:tcMar>
              <w:top w:w="70" w:type="dxa"/>
              <w:left w:w="80" w:type="dxa"/>
              <w:bottom w:w="70" w:type="dxa"/>
              <w:right w:w="80" w:type="dxa"/>
            </w:tcMar>
          </w:tcPr>
          <w:p>
            <w:r>
              <w:rPr>
                <w:sz w:val="15"/>
              </w:rPr>
              <w:t>§10.46 DAT-02 Implementation Contract; §12/§19</w:t>
            </w:r>
          </w:p>
        </w:tc>
        <w:tc>
          <w:tcPr>
            <w:tcW w:type="dxa" w:w="1531"/>
            <w:tcMar>
              <w:top w:w="70" w:type="dxa"/>
              <w:left w:w="80" w:type="dxa"/>
              <w:bottom w:w="70" w:type="dxa"/>
              <w:right w:w="80" w:type="dxa"/>
            </w:tcMar>
          </w:tcPr>
          <w:p>
            <w:r>
              <w:rPr>
                <w:sz w:val="15"/>
              </w:rPr>
              <w:t>§27; INV-DAT-02; API/event contract tests; requirement DAT-02-R01</w:t>
            </w:r>
          </w:p>
        </w:tc>
        <w:tc>
          <w:tcPr>
            <w:tcW w:type="dxa" w:w="1531"/>
            <w:tcMar>
              <w:top w:w="70" w:type="dxa"/>
              <w:left w:w="80" w:type="dxa"/>
              <w:bottom w:w="70" w:type="dxa"/>
              <w:right w:w="80" w:type="dxa"/>
            </w:tcMar>
          </w:tcPr>
          <w:p>
            <w:r>
              <w:rPr>
                <w:sz w:val="15"/>
              </w:rPr>
              <w:t>§28; RB-DAT-02</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DAT-02-R02</w:t>
            </w:r>
          </w:p>
        </w:tc>
        <w:tc>
          <w:tcPr>
            <w:tcW w:type="dxa" w:w="1531"/>
            <w:tcMar>
              <w:top w:w="70" w:type="dxa"/>
              <w:left w:w="80" w:type="dxa"/>
              <w:bottom w:w="70" w:type="dxa"/>
              <w:right w:w="80" w:type="dxa"/>
            </w:tcMar>
          </w:tcPr>
          <w:p>
            <w:r>
              <w:rPr>
                <w:sz w:val="15"/>
              </w:rPr>
              <w:t>Data Platform, Warehouse, Governance &amp; Data Products</w:t>
            </w:r>
          </w:p>
        </w:tc>
        <w:tc>
          <w:tcPr>
            <w:tcW w:type="dxa" w:w="1531"/>
            <w:tcMar>
              <w:top w:w="70" w:type="dxa"/>
              <w:left w:w="80" w:type="dxa"/>
              <w:bottom w:w="70" w:type="dxa"/>
              <w:right w:w="80" w:type="dxa"/>
            </w:tcMar>
          </w:tcPr>
          <w:p>
            <w:r>
              <w:rPr>
                <w:sz w:val="15"/>
              </w:rPr>
              <w:t>Warehouse/lakehouse layers for raw, cleaned, conformed and business-ready data.</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DAT-02</w:t>
            </w:r>
          </w:p>
        </w:tc>
        <w:tc>
          <w:tcPr>
            <w:tcW w:type="dxa" w:w="1531"/>
            <w:tcMar>
              <w:top w:w="70" w:type="dxa"/>
              <w:left w:w="80" w:type="dxa"/>
              <w:bottom w:w="70" w:type="dxa"/>
              <w:right w:w="80" w:type="dxa"/>
            </w:tcMar>
          </w:tcPr>
          <w:p>
            <w:r>
              <w:rPr>
                <w:sz w:val="15"/>
              </w:rPr>
              <w:t>§10.46 DAT-02 Implementation Contract; §12/§19</w:t>
            </w:r>
          </w:p>
        </w:tc>
        <w:tc>
          <w:tcPr>
            <w:tcW w:type="dxa" w:w="1531"/>
            <w:tcMar>
              <w:top w:w="70" w:type="dxa"/>
              <w:left w:w="80" w:type="dxa"/>
              <w:bottom w:w="70" w:type="dxa"/>
              <w:right w:w="80" w:type="dxa"/>
            </w:tcMar>
          </w:tcPr>
          <w:p>
            <w:r>
              <w:rPr>
                <w:sz w:val="15"/>
              </w:rPr>
              <w:t>§27; INV-DAT-02; API/event contract tests; requirement DAT-02-R02</w:t>
            </w:r>
          </w:p>
        </w:tc>
        <w:tc>
          <w:tcPr>
            <w:tcW w:type="dxa" w:w="1531"/>
            <w:tcMar>
              <w:top w:w="70" w:type="dxa"/>
              <w:left w:w="80" w:type="dxa"/>
              <w:bottom w:w="70" w:type="dxa"/>
              <w:right w:w="80" w:type="dxa"/>
            </w:tcMar>
          </w:tcPr>
          <w:p>
            <w:r>
              <w:rPr>
                <w:sz w:val="15"/>
              </w:rPr>
              <w:t>§28; RB-DAT-02</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DAT-02-R03</w:t>
            </w:r>
          </w:p>
        </w:tc>
        <w:tc>
          <w:tcPr>
            <w:tcW w:type="dxa" w:w="1531"/>
            <w:tcMar>
              <w:top w:w="70" w:type="dxa"/>
              <w:left w:w="80" w:type="dxa"/>
              <w:bottom w:w="70" w:type="dxa"/>
              <w:right w:w="80" w:type="dxa"/>
            </w:tcMar>
          </w:tcPr>
          <w:p>
            <w:r>
              <w:rPr>
                <w:sz w:val="15"/>
              </w:rPr>
              <w:t>Data Platform, Warehouse, Governance &amp; Data Products</w:t>
            </w:r>
          </w:p>
        </w:tc>
        <w:tc>
          <w:tcPr>
            <w:tcW w:type="dxa" w:w="1531"/>
            <w:tcMar>
              <w:top w:w="70" w:type="dxa"/>
              <w:left w:w="80" w:type="dxa"/>
              <w:bottom w:w="70" w:type="dxa"/>
              <w:right w:w="80" w:type="dxa"/>
            </w:tcMar>
          </w:tcPr>
          <w:p>
            <w:r>
              <w:rPr>
                <w:sz w:val="15"/>
              </w:rPr>
              <w:t>Semantic model for shared facts, dimensions, metrics, cohorts and effective-dated history.</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DAT-02</w:t>
            </w:r>
          </w:p>
        </w:tc>
        <w:tc>
          <w:tcPr>
            <w:tcW w:type="dxa" w:w="1531"/>
            <w:tcMar>
              <w:top w:w="70" w:type="dxa"/>
              <w:left w:w="80" w:type="dxa"/>
              <w:bottom w:w="70" w:type="dxa"/>
              <w:right w:w="80" w:type="dxa"/>
            </w:tcMar>
          </w:tcPr>
          <w:p>
            <w:r>
              <w:rPr>
                <w:sz w:val="15"/>
              </w:rPr>
              <w:t>§10.46 DAT-02 Implementation Contract; §12/§19</w:t>
            </w:r>
          </w:p>
        </w:tc>
        <w:tc>
          <w:tcPr>
            <w:tcW w:type="dxa" w:w="1531"/>
            <w:tcMar>
              <w:top w:w="70" w:type="dxa"/>
              <w:left w:w="80" w:type="dxa"/>
              <w:bottom w:w="70" w:type="dxa"/>
              <w:right w:w="80" w:type="dxa"/>
            </w:tcMar>
          </w:tcPr>
          <w:p>
            <w:r>
              <w:rPr>
                <w:sz w:val="15"/>
              </w:rPr>
              <w:t>§27; INV-DAT-02; API/event contract tests; requirement DAT-02-R03</w:t>
            </w:r>
          </w:p>
        </w:tc>
        <w:tc>
          <w:tcPr>
            <w:tcW w:type="dxa" w:w="1531"/>
            <w:tcMar>
              <w:top w:w="70" w:type="dxa"/>
              <w:left w:w="80" w:type="dxa"/>
              <w:bottom w:w="70" w:type="dxa"/>
              <w:right w:w="80" w:type="dxa"/>
            </w:tcMar>
          </w:tcPr>
          <w:p>
            <w:r>
              <w:rPr>
                <w:sz w:val="15"/>
              </w:rPr>
              <w:t>§28; RB-DAT-02</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DAT-02-R04</w:t>
            </w:r>
          </w:p>
        </w:tc>
        <w:tc>
          <w:tcPr>
            <w:tcW w:type="dxa" w:w="1531"/>
            <w:tcMar>
              <w:top w:w="70" w:type="dxa"/>
              <w:left w:w="80" w:type="dxa"/>
              <w:bottom w:w="70" w:type="dxa"/>
              <w:right w:w="80" w:type="dxa"/>
            </w:tcMar>
          </w:tcPr>
          <w:p>
            <w:r>
              <w:rPr>
                <w:sz w:val="15"/>
              </w:rPr>
              <w:t>Data Platform, Warehouse, Governance &amp; Data Products</w:t>
            </w:r>
          </w:p>
        </w:tc>
        <w:tc>
          <w:tcPr>
            <w:tcW w:type="dxa" w:w="1531"/>
            <w:tcMar>
              <w:top w:w="70" w:type="dxa"/>
              <w:left w:w="80" w:type="dxa"/>
              <w:bottom w:w="70" w:type="dxa"/>
              <w:right w:w="80" w:type="dxa"/>
            </w:tcMar>
          </w:tcPr>
          <w:p>
            <w:r>
              <w:rPr>
                <w:sz w:val="15"/>
              </w:rPr>
              <w:t>Data catalog, ownership, classification, lineage, quality, freshness and usage.</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DAT-02</w:t>
            </w:r>
          </w:p>
        </w:tc>
        <w:tc>
          <w:tcPr>
            <w:tcW w:type="dxa" w:w="1531"/>
            <w:tcMar>
              <w:top w:w="70" w:type="dxa"/>
              <w:left w:w="80" w:type="dxa"/>
              <w:bottom w:w="70" w:type="dxa"/>
              <w:right w:w="80" w:type="dxa"/>
            </w:tcMar>
          </w:tcPr>
          <w:p>
            <w:r>
              <w:rPr>
                <w:sz w:val="15"/>
              </w:rPr>
              <w:t>§10.46 DAT-02 Implementation Contract; §12/§19</w:t>
            </w:r>
          </w:p>
        </w:tc>
        <w:tc>
          <w:tcPr>
            <w:tcW w:type="dxa" w:w="1531"/>
            <w:tcMar>
              <w:top w:w="70" w:type="dxa"/>
              <w:left w:w="80" w:type="dxa"/>
              <w:bottom w:w="70" w:type="dxa"/>
              <w:right w:w="80" w:type="dxa"/>
            </w:tcMar>
          </w:tcPr>
          <w:p>
            <w:r>
              <w:rPr>
                <w:sz w:val="15"/>
              </w:rPr>
              <w:t>§27; INV-DAT-02; API/event contract tests; requirement DAT-02-R04</w:t>
            </w:r>
          </w:p>
        </w:tc>
        <w:tc>
          <w:tcPr>
            <w:tcW w:type="dxa" w:w="1531"/>
            <w:tcMar>
              <w:top w:w="70" w:type="dxa"/>
              <w:left w:w="80" w:type="dxa"/>
              <w:bottom w:w="70" w:type="dxa"/>
              <w:right w:w="80" w:type="dxa"/>
            </w:tcMar>
          </w:tcPr>
          <w:p>
            <w:r>
              <w:rPr>
                <w:sz w:val="15"/>
              </w:rPr>
              <w:t>§28; RB-DAT-02</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DAT-02-R05</w:t>
            </w:r>
          </w:p>
        </w:tc>
        <w:tc>
          <w:tcPr>
            <w:tcW w:type="dxa" w:w="1531"/>
            <w:tcMar>
              <w:top w:w="70" w:type="dxa"/>
              <w:left w:w="80" w:type="dxa"/>
              <w:bottom w:w="70" w:type="dxa"/>
              <w:right w:w="80" w:type="dxa"/>
            </w:tcMar>
          </w:tcPr>
          <w:p>
            <w:r>
              <w:rPr>
                <w:sz w:val="15"/>
              </w:rPr>
              <w:t>Data Platform, Warehouse, Governance &amp; Data Products</w:t>
            </w:r>
          </w:p>
        </w:tc>
        <w:tc>
          <w:tcPr>
            <w:tcW w:type="dxa" w:w="1531"/>
            <w:tcMar>
              <w:top w:w="70" w:type="dxa"/>
              <w:left w:w="80" w:type="dxa"/>
              <w:bottom w:w="70" w:type="dxa"/>
              <w:right w:w="80" w:type="dxa"/>
            </w:tcMar>
          </w:tcPr>
          <w:p>
            <w:r>
              <w:rPr>
                <w:sz w:val="15"/>
              </w:rPr>
              <w:t>Tenant and row/column security, privacy transformations, pseudonymization and aggregation.</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DAT-02</w:t>
            </w:r>
          </w:p>
        </w:tc>
        <w:tc>
          <w:tcPr>
            <w:tcW w:type="dxa" w:w="1531"/>
            <w:tcMar>
              <w:top w:w="70" w:type="dxa"/>
              <w:left w:w="80" w:type="dxa"/>
              <w:bottom w:w="70" w:type="dxa"/>
              <w:right w:w="80" w:type="dxa"/>
            </w:tcMar>
          </w:tcPr>
          <w:p>
            <w:r>
              <w:rPr>
                <w:sz w:val="15"/>
              </w:rPr>
              <w:t>§10.46 DAT-02 Implementation Contract; §12/§19</w:t>
            </w:r>
          </w:p>
        </w:tc>
        <w:tc>
          <w:tcPr>
            <w:tcW w:type="dxa" w:w="1531"/>
            <w:tcMar>
              <w:top w:w="70" w:type="dxa"/>
              <w:left w:w="80" w:type="dxa"/>
              <w:bottom w:w="70" w:type="dxa"/>
              <w:right w:w="80" w:type="dxa"/>
            </w:tcMar>
          </w:tcPr>
          <w:p>
            <w:r>
              <w:rPr>
                <w:sz w:val="15"/>
              </w:rPr>
              <w:t>§27; INV-DAT-02; API/event contract tests; requirement DAT-02-R05</w:t>
            </w:r>
          </w:p>
        </w:tc>
        <w:tc>
          <w:tcPr>
            <w:tcW w:type="dxa" w:w="1531"/>
            <w:tcMar>
              <w:top w:w="70" w:type="dxa"/>
              <w:left w:w="80" w:type="dxa"/>
              <w:bottom w:w="70" w:type="dxa"/>
              <w:right w:w="80" w:type="dxa"/>
            </w:tcMar>
          </w:tcPr>
          <w:p>
            <w:r>
              <w:rPr>
                <w:sz w:val="15"/>
              </w:rPr>
              <w:t>§28; RB-DAT-02</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DAT-02-R06</w:t>
            </w:r>
          </w:p>
        </w:tc>
        <w:tc>
          <w:tcPr>
            <w:tcW w:type="dxa" w:w="1531"/>
            <w:tcMar>
              <w:top w:w="70" w:type="dxa"/>
              <w:left w:w="80" w:type="dxa"/>
              <w:bottom w:w="70" w:type="dxa"/>
              <w:right w:w="80" w:type="dxa"/>
            </w:tcMar>
          </w:tcPr>
          <w:p>
            <w:r>
              <w:rPr>
                <w:sz w:val="15"/>
              </w:rPr>
              <w:t>Data Platform, Warehouse, Governance &amp; Data Products</w:t>
            </w:r>
          </w:p>
        </w:tc>
        <w:tc>
          <w:tcPr>
            <w:tcW w:type="dxa" w:w="1531"/>
            <w:tcMar>
              <w:top w:w="70" w:type="dxa"/>
              <w:left w:w="80" w:type="dxa"/>
              <w:bottom w:w="70" w:type="dxa"/>
              <w:right w:w="80" w:type="dxa"/>
            </w:tcMar>
          </w:tcPr>
          <w:p>
            <w:r>
              <w:rPr>
                <w:sz w:val="15"/>
              </w:rPr>
              <w:t>Data products for member health score, churn risk, revenue, capacity, inventory, coach performance and SaaS usage.</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DAT-02</w:t>
            </w:r>
          </w:p>
        </w:tc>
        <w:tc>
          <w:tcPr>
            <w:tcW w:type="dxa" w:w="1531"/>
            <w:tcMar>
              <w:top w:w="70" w:type="dxa"/>
              <w:left w:w="80" w:type="dxa"/>
              <w:bottom w:w="70" w:type="dxa"/>
              <w:right w:w="80" w:type="dxa"/>
            </w:tcMar>
          </w:tcPr>
          <w:p>
            <w:r>
              <w:rPr>
                <w:sz w:val="15"/>
              </w:rPr>
              <w:t>§10.46 DAT-02 Implementation Contract; §12/§19</w:t>
            </w:r>
          </w:p>
        </w:tc>
        <w:tc>
          <w:tcPr>
            <w:tcW w:type="dxa" w:w="1531"/>
            <w:tcMar>
              <w:top w:w="70" w:type="dxa"/>
              <w:left w:w="80" w:type="dxa"/>
              <w:bottom w:w="70" w:type="dxa"/>
              <w:right w:w="80" w:type="dxa"/>
            </w:tcMar>
          </w:tcPr>
          <w:p>
            <w:r>
              <w:rPr>
                <w:sz w:val="15"/>
              </w:rPr>
              <w:t>§27; INV-DAT-02; API/event contract tests; requirement DAT-02-R06</w:t>
            </w:r>
          </w:p>
        </w:tc>
        <w:tc>
          <w:tcPr>
            <w:tcW w:type="dxa" w:w="1531"/>
            <w:tcMar>
              <w:top w:w="70" w:type="dxa"/>
              <w:left w:w="80" w:type="dxa"/>
              <w:bottom w:w="70" w:type="dxa"/>
              <w:right w:w="80" w:type="dxa"/>
            </w:tcMar>
          </w:tcPr>
          <w:p>
            <w:r>
              <w:rPr>
                <w:sz w:val="15"/>
              </w:rPr>
              <w:t>§28; RB-DAT-02</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DAT-02-R07</w:t>
            </w:r>
          </w:p>
        </w:tc>
        <w:tc>
          <w:tcPr>
            <w:tcW w:type="dxa" w:w="1531"/>
            <w:tcMar>
              <w:top w:w="70" w:type="dxa"/>
              <w:left w:w="80" w:type="dxa"/>
              <w:bottom w:w="70" w:type="dxa"/>
              <w:right w:w="80" w:type="dxa"/>
            </w:tcMar>
          </w:tcPr>
          <w:p>
            <w:r>
              <w:rPr>
                <w:sz w:val="15"/>
              </w:rPr>
              <w:t>Data Platform, Warehouse, Governance &amp; Data Products</w:t>
            </w:r>
          </w:p>
        </w:tc>
        <w:tc>
          <w:tcPr>
            <w:tcW w:type="dxa" w:w="1531"/>
            <w:tcMar>
              <w:top w:w="70" w:type="dxa"/>
              <w:left w:w="80" w:type="dxa"/>
              <w:bottom w:w="70" w:type="dxa"/>
              <w:right w:w="80" w:type="dxa"/>
            </w:tcMar>
          </w:tcPr>
          <w:p>
            <w:r>
              <w:rPr>
                <w:sz w:val="15"/>
              </w:rPr>
              <w:t>Reverse ETL or safe activation of derived insight back into operational workflows.</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DAT-02</w:t>
            </w:r>
          </w:p>
        </w:tc>
        <w:tc>
          <w:tcPr>
            <w:tcW w:type="dxa" w:w="1531"/>
            <w:tcMar>
              <w:top w:w="70" w:type="dxa"/>
              <w:left w:w="80" w:type="dxa"/>
              <w:bottom w:w="70" w:type="dxa"/>
              <w:right w:w="80" w:type="dxa"/>
            </w:tcMar>
          </w:tcPr>
          <w:p>
            <w:r>
              <w:rPr>
                <w:sz w:val="15"/>
              </w:rPr>
              <w:t>§10.46 DAT-02 Implementation Contract; §12/§19</w:t>
            </w:r>
          </w:p>
        </w:tc>
        <w:tc>
          <w:tcPr>
            <w:tcW w:type="dxa" w:w="1531"/>
            <w:tcMar>
              <w:top w:w="70" w:type="dxa"/>
              <w:left w:w="80" w:type="dxa"/>
              <w:bottom w:w="70" w:type="dxa"/>
              <w:right w:w="80" w:type="dxa"/>
            </w:tcMar>
          </w:tcPr>
          <w:p>
            <w:r>
              <w:rPr>
                <w:sz w:val="15"/>
              </w:rPr>
              <w:t>§27; INV-DAT-02; API/event contract tests; requirement DAT-02-R07</w:t>
            </w:r>
          </w:p>
        </w:tc>
        <w:tc>
          <w:tcPr>
            <w:tcW w:type="dxa" w:w="1531"/>
            <w:tcMar>
              <w:top w:w="70" w:type="dxa"/>
              <w:left w:w="80" w:type="dxa"/>
              <w:bottom w:w="70" w:type="dxa"/>
              <w:right w:w="80" w:type="dxa"/>
            </w:tcMar>
          </w:tcPr>
          <w:p>
            <w:r>
              <w:rPr>
                <w:sz w:val="15"/>
              </w:rPr>
              <w:t>§28; RB-DAT-02</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DAT-02-R08</w:t>
            </w:r>
          </w:p>
        </w:tc>
        <w:tc>
          <w:tcPr>
            <w:tcW w:type="dxa" w:w="1531"/>
            <w:tcMar>
              <w:top w:w="70" w:type="dxa"/>
              <w:left w:w="80" w:type="dxa"/>
              <w:bottom w:w="70" w:type="dxa"/>
              <w:right w:w="80" w:type="dxa"/>
            </w:tcMar>
          </w:tcPr>
          <w:p>
            <w:r>
              <w:rPr>
                <w:sz w:val="15"/>
              </w:rPr>
              <w:t>Data Platform, Warehouse, Governance &amp; Data Products</w:t>
            </w:r>
          </w:p>
        </w:tc>
        <w:tc>
          <w:tcPr>
            <w:tcW w:type="dxa" w:w="1531"/>
            <w:tcMar>
              <w:top w:w="70" w:type="dxa"/>
              <w:left w:w="80" w:type="dxa"/>
              <w:bottom w:w="70" w:type="dxa"/>
              <w:right w:w="80" w:type="dxa"/>
            </w:tcMar>
          </w:tcPr>
          <w:p>
            <w:r>
              <w:rPr>
                <w:sz w:val="15"/>
              </w:rPr>
              <w:t>Export, clean room, partner sharing and residency controls for enterprise use.</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DAT-02</w:t>
            </w:r>
          </w:p>
        </w:tc>
        <w:tc>
          <w:tcPr>
            <w:tcW w:type="dxa" w:w="1531"/>
            <w:tcMar>
              <w:top w:w="70" w:type="dxa"/>
              <w:left w:w="80" w:type="dxa"/>
              <w:bottom w:w="70" w:type="dxa"/>
              <w:right w:w="80" w:type="dxa"/>
            </w:tcMar>
          </w:tcPr>
          <w:p>
            <w:r>
              <w:rPr>
                <w:sz w:val="15"/>
              </w:rPr>
              <w:t>§10.46 DAT-02 Implementation Contract; §12/§19</w:t>
            </w:r>
          </w:p>
        </w:tc>
        <w:tc>
          <w:tcPr>
            <w:tcW w:type="dxa" w:w="1531"/>
            <w:tcMar>
              <w:top w:w="70" w:type="dxa"/>
              <w:left w:w="80" w:type="dxa"/>
              <w:bottom w:w="70" w:type="dxa"/>
              <w:right w:w="80" w:type="dxa"/>
            </w:tcMar>
          </w:tcPr>
          <w:p>
            <w:r>
              <w:rPr>
                <w:sz w:val="15"/>
              </w:rPr>
              <w:t>§27; INV-DAT-02; API/event contract tests; requirement DAT-02-R08</w:t>
            </w:r>
          </w:p>
        </w:tc>
        <w:tc>
          <w:tcPr>
            <w:tcW w:type="dxa" w:w="1531"/>
            <w:tcMar>
              <w:top w:w="70" w:type="dxa"/>
              <w:left w:w="80" w:type="dxa"/>
              <w:bottom w:w="70" w:type="dxa"/>
              <w:right w:w="80" w:type="dxa"/>
            </w:tcMar>
          </w:tcPr>
          <w:p>
            <w:r>
              <w:rPr>
                <w:sz w:val="15"/>
              </w:rPr>
              <w:t>§28; RB-DAT-02</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SEC-01-R01</w:t>
            </w:r>
          </w:p>
        </w:tc>
        <w:tc>
          <w:tcPr>
            <w:tcW w:type="dxa" w:w="1531"/>
            <w:tcMar>
              <w:top w:w="70" w:type="dxa"/>
              <w:left w:w="80" w:type="dxa"/>
              <w:bottom w:w="70" w:type="dxa"/>
              <w:right w:w="80" w:type="dxa"/>
            </w:tcMar>
          </w:tcPr>
          <w:p>
            <w:r>
              <w:rPr>
                <w:sz w:val="15"/>
              </w:rPr>
              <w:t>Security, Privacy, Compliance &amp; Consent</w:t>
            </w:r>
          </w:p>
        </w:tc>
        <w:tc>
          <w:tcPr>
            <w:tcW w:type="dxa" w:w="1531"/>
            <w:tcMar>
              <w:top w:w="70" w:type="dxa"/>
              <w:left w:w="80" w:type="dxa"/>
              <w:bottom w:w="70" w:type="dxa"/>
              <w:right w:w="80" w:type="dxa"/>
            </w:tcMar>
          </w:tcPr>
          <w:p>
            <w:r>
              <w:rPr>
                <w:sz w:val="15"/>
              </w:rPr>
              <w:t>Security architecture, threat modeling, secure defaults, least privilege and zero-trust service identity.</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SEC-01</w:t>
            </w:r>
          </w:p>
        </w:tc>
        <w:tc>
          <w:tcPr>
            <w:tcW w:type="dxa" w:w="1531"/>
            <w:tcMar>
              <w:top w:w="70" w:type="dxa"/>
              <w:left w:w="80" w:type="dxa"/>
              <w:bottom w:w="70" w:type="dxa"/>
              <w:right w:w="80" w:type="dxa"/>
            </w:tcMar>
          </w:tcPr>
          <w:p>
            <w:r>
              <w:rPr>
                <w:sz w:val="15"/>
              </w:rPr>
              <w:t>§10.47 SEC-01 Implementation Contract; §21</w:t>
            </w:r>
          </w:p>
        </w:tc>
        <w:tc>
          <w:tcPr>
            <w:tcW w:type="dxa" w:w="1531"/>
            <w:tcMar>
              <w:top w:w="70" w:type="dxa"/>
              <w:left w:w="80" w:type="dxa"/>
              <w:bottom w:w="70" w:type="dxa"/>
              <w:right w:w="80" w:type="dxa"/>
            </w:tcMar>
          </w:tcPr>
          <w:p>
            <w:r>
              <w:rPr>
                <w:sz w:val="15"/>
              </w:rPr>
              <w:t>§27; INV-SEC-01; API/event contract tests; requirement SEC-01-R01</w:t>
            </w:r>
          </w:p>
        </w:tc>
        <w:tc>
          <w:tcPr>
            <w:tcW w:type="dxa" w:w="1531"/>
            <w:tcMar>
              <w:top w:w="70" w:type="dxa"/>
              <w:left w:w="80" w:type="dxa"/>
              <w:bottom w:w="70" w:type="dxa"/>
              <w:right w:w="80" w:type="dxa"/>
            </w:tcMar>
          </w:tcPr>
          <w:p>
            <w:r>
              <w:rPr>
                <w:sz w:val="15"/>
              </w:rPr>
              <w:t>§28; RB-SEC-01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SEC-01-R02</w:t>
            </w:r>
          </w:p>
        </w:tc>
        <w:tc>
          <w:tcPr>
            <w:tcW w:type="dxa" w:w="1531"/>
            <w:tcMar>
              <w:top w:w="70" w:type="dxa"/>
              <w:left w:w="80" w:type="dxa"/>
              <w:bottom w:w="70" w:type="dxa"/>
              <w:right w:w="80" w:type="dxa"/>
            </w:tcMar>
          </w:tcPr>
          <w:p>
            <w:r>
              <w:rPr>
                <w:sz w:val="15"/>
              </w:rPr>
              <w:t>Security, Privacy, Compliance &amp; Consent</w:t>
            </w:r>
          </w:p>
        </w:tc>
        <w:tc>
          <w:tcPr>
            <w:tcW w:type="dxa" w:w="1531"/>
            <w:tcMar>
              <w:top w:w="70" w:type="dxa"/>
              <w:left w:w="80" w:type="dxa"/>
              <w:bottom w:w="70" w:type="dxa"/>
              <w:right w:w="80" w:type="dxa"/>
            </w:tcMar>
          </w:tcPr>
          <w:p>
            <w:r>
              <w:rPr>
                <w:sz w:val="15"/>
              </w:rPr>
              <w:t>Encryption in transit and at rest, key management, rotation, secret vault and certificate lifecycle.</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SEC-01</w:t>
            </w:r>
          </w:p>
        </w:tc>
        <w:tc>
          <w:tcPr>
            <w:tcW w:type="dxa" w:w="1531"/>
            <w:tcMar>
              <w:top w:w="70" w:type="dxa"/>
              <w:left w:w="80" w:type="dxa"/>
              <w:bottom w:w="70" w:type="dxa"/>
              <w:right w:w="80" w:type="dxa"/>
            </w:tcMar>
          </w:tcPr>
          <w:p>
            <w:r>
              <w:rPr>
                <w:sz w:val="15"/>
              </w:rPr>
              <w:t>§10.47 SEC-01 Implementation Contract; §21</w:t>
            </w:r>
          </w:p>
        </w:tc>
        <w:tc>
          <w:tcPr>
            <w:tcW w:type="dxa" w:w="1531"/>
            <w:tcMar>
              <w:top w:w="70" w:type="dxa"/>
              <w:left w:w="80" w:type="dxa"/>
              <w:bottom w:w="70" w:type="dxa"/>
              <w:right w:w="80" w:type="dxa"/>
            </w:tcMar>
          </w:tcPr>
          <w:p>
            <w:r>
              <w:rPr>
                <w:sz w:val="15"/>
              </w:rPr>
              <w:t>§27; INV-SEC-01; API/event contract tests; requirement SEC-01-R02</w:t>
            </w:r>
          </w:p>
        </w:tc>
        <w:tc>
          <w:tcPr>
            <w:tcW w:type="dxa" w:w="1531"/>
            <w:tcMar>
              <w:top w:w="70" w:type="dxa"/>
              <w:left w:w="80" w:type="dxa"/>
              <w:bottom w:w="70" w:type="dxa"/>
              <w:right w:w="80" w:type="dxa"/>
            </w:tcMar>
          </w:tcPr>
          <w:p>
            <w:r>
              <w:rPr>
                <w:sz w:val="15"/>
              </w:rPr>
              <w:t>§28; RB-SEC-01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SEC-01-R03</w:t>
            </w:r>
          </w:p>
        </w:tc>
        <w:tc>
          <w:tcPr>
            <w:tcW w:type="dxa" w:w="1531"/>
            <w:tcMar>
              <w:top w:w="70" w:type="dxa"/>
              <w:left w:w="80" w:type="dxa"/>
              <w:bottom w:w="70" w:type="dxa"/>
              <w:right w:w="80" w:type="dxa"/>
            </w:tcMar>
          </w:tcPr>
          <w:p>
            <w:r>
              <w:rPr>
                <w:sz w:val="15"/>
              </w:rPr>
              <w:t>Security, Privacy, Compliance &amp; Consent</w:t>
            </w:r>
          </w:p>
        </w:tc>
        <w:tc>
          <w:tcPr>
            <w:tcW w:type="dxa" w:w="1531"/>
            <w:tcMar>
              <w:top w:w="70" w:type="dxa"/>
              <w:left w:w="80" w:type="dxa"/>
              <w:bottom w:w="70" w:type="dxa"/>
              <w:right w:w="80" w:type="dxa"/>
            </w:tcMar>
          </w:tcPr>
          <w:p>
            <w:r>
              <w:rPr>
                <w:sz w:val="15"/>
              </w:rPr>
              <w:t>Secure SDLC with code review, SAST/DAST, dependency, container, IaC and secret scanning.</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SEC-01</w:t>
            </w:r>
          </w:p>
        </w:tc>
        <w:tc>
          <w:tcPr>
            <w:tcW w:type="dxa" w:w="1531"/>
            <w:tcMar>
              <w:top w:w="70" w:type="dxa"/>
              <w:left w:w="80" w:type="dxa"/>
              <w:bottom w:w="70" w:type="dxa"/>
              <w:right w:w="80" w:type="dxa"/>
            </w:tcMar>
          </w:tcPr>
          <w:p>
            <w:r>
              <w:rPr>
                <w:sz w:val="15"/>
              </w:rPr>
              <w:t>§10.47 SEC-01 Implementation Contract; §21</w:t>
            </w:r>
          </w:p>
        </w:tc>
        <w:tc>
          <w:tcPr>
            <w:tcW w:type="dxa" w:w="1531"/>
            <w:tcMar>
              <w:top w:w="70" w:type="dxa"/>
              <w:left w:w="80" w:type="dxa"/>
              <w:bottom w:w="70" w:type="dxa"/>
              <w:right w:w="80" w:type="dxa"/>
            </w:tcMar>
          </w:tcPr>
          <w:p>
            <w:r>
              <w:rPr>
                <w:sz w:val="15"/>
              </w:rPr>
              <w:t>§27; INV-SEC-01; API/event contract tests; requirement SEC-01-R03</w:t>
            </w:r>
          </w:p>
        </w:tc>
        <w:tc>
          <w:tcPr>
            <w:tcW w:type="dxa" w:w="1531"/>
            <w:tcMar>
              <w:top w:w="70" w:type="dxa"/>
              <w:left w:w="80" w:type="dxa"/>
              <w:bottom w:w="70" w:type="dxa"/>
              <w:right w:w="80" w:type="dxa"/>
            </w:tcMar>
          </w:tcPr>
          <w:p>
            <w:r>
              <w:rPr>
                <w:sz w:val="15"/>
              </w:rPr>
              <w:t>§28; RB-SEC-01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SEC-01-R04</w:t>
            </w:r>
          </w:p>
        </w:tc>
        <w:tc>
          <w:tcPr>
            <w:tcW w:type="dxa" w:w="1531"/>
            <w:tcMar>
              <w:top w:w="70" w:type="dxa"/>
              <w:left w:w="80" w:type="dxa"/>
              <w:bottom w:w="70" w:type="dxa"/>
              <w:right w:w="80" w:type="dxa"/>
            </w:tcMar>
          </w:tcPr>
          <w:p>
            <w:r>
              <w:rPr>
                <w:sz w:val="15"/>
              </w:rPr>
              <w:t>Security, Privacy, Compliance &amp; Consent</w:t>
            </w:r>
          </w:p>
        </w:tc>
        <w:tc>
          <w:tcPr>
            <w:tcW w:type="dxa" w:w="1531"/>
            <w:tcMar>
              <w:top w:w="70" w:type="dxa"/>
              <w:left w:w="80" w:type="dxa"/>
              <w:bottom w:w="70" w:type="dxa"/>
              <w:right w:w="80" w:type="dxa"/>
            </w:tcMar>
          </w:tcPr>
          <w:p>
            <w:r>
              <w:rPr>
                <w:sz w:val="15"/>
              </w:rPr>
              <w:t>Vulnerability management, penetration tests, bug response, risk acceptance and remediation SLAs.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SEC-01</w:t>
            </w:r>
          </w:p>
        </w:tc>
        <w:tc>
          <w:tcPr>
            <w:tcW w:type="dxa" w:w="1531"/>
            <w:tcMar>
              <w:top w:w="70" w:type="dxa"/>
              <w:left w:w="80" w:type="dxa"/>
              <w:bottom w:w="70" w:type="dxa"/>
              <w:right w:w="80" w:type="dxa"/>
            </w:tcMar>
          </w:tcPr>
          <w:p>
            <w:r>
              <w:rPr>
                <w:sz w:val="15"/>
              </w:rPr>
              <w:t>§10.47 SEC-01 Implementation Contract; §21</w:t>
            </w:r>
          </w:p>
        </w:tc>
        <w:tc>
          <w:tcPr>
            <w:tcW w:type="dxa" w:w="1531"/>
            <w:tcMar>
              <w:top w:w="70" w:type="dxa"/>
              <w:left w:w="80" w:type="dxa"/>
              <w:bottom w:w="70" w:type="dxa"/>
              <w:right w:w="80" w:type="dxa"/>
            </w:tcMar>
          </w:tcPr>
          <w:p>
            <w:r>
              <w:rPr>
                <w:sz w:val="15"/>
              </w:rPr>
              <w:t>§27; INV-SEC-01; API/event contract tests; requirement SEC-01-R04</w:t>
            </w:r>
          </w:p>
        </w:tc>
        <w:tc>
          <w:tcPr>
            <w:tcW w:type="dxa" w:w="1531"/>
            <w:tcMar>
              <w:top w:w="70" w:type="dxa"/>
              <w:left w:w="80" w:type="dxa"/>
              <w:bottom w:w="70" w:type="dxa"/>
              <w:right w:w="80" w:type="dxa"/>
            </w:tcMar>
          </w:tcPr>
          <w:p>
            <w:r>
              <w:rPr>
                <w:sz w:val="15"/>
              </w:rPr>
              <w:t>§28; RB-SEC-01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SEC-01-R05</w:t>
            </w:r>
          </w:p>
        </w:tc>
        <w:tc>
          <w:tcPr>
            <w:tcW w:type="dxa" w:w="1531"/>
            <w:tcMar>
              <w:top w:w="70" w:type="dxa"/>
              <w:left w:w="80" w:type="dxa"/>
              <w:bottom w:w="70" w:type="dxa"/>
              <w:right w:w="80" w:type="dxa"/>
            </w:tcMar>
          </w:tcPr>
          <w:p>
            <w:r>
              <w:rPr>
                <w:sz w:val="15"/>
              </w:rPr>
              <w:t>Security, Privacy, Compliance &amp; Consent</w:t>
            </w:r>
          </w:p>
        </w:tc>
        <w:tc>
          <w:tcPr>
            <w:tcW w:type="dxa" w:w="1531"/>
            <w:tcMar>
              <w:top w:w="70" w:type="dxa"/>
              <w:left w:w="80" w:type="dxa"/>
              <w:bottom w:w="70" w:type="dxa"/>
              <w:right w:w="80" w:type="dxa"/>
            </w:tcMar>
          </w:tcPr>
          <w:p>
            <w:r>
              <w:rPr>
                <w:sz w:val="15"/>
              </w:rPr>
              <w:t>Data classification for identity, contact, financial, health, biometric, media, employment, operational and analytics data.</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SEC-01</w:t>
            </w:r>
          </w:p>
        </w:tc>
        <w:tc>
          <w:tcPr>
            <w:tcW w:type="dxa" w:w="1531"/>
            <w:tcMar>
              <w:top w:w="70" w:type="dxa"/>
              <w:left w:w="80" w:type="dxa"/>
              <w:bottom w:w="70" w:type="dxa"/>
              <w:right w:w="80" w:type="dxa"/>
            </w:tcMar>
          </w:tcPr>
          <w:p>
            <w:r>
              <w:rPr>
                <w:sz w:val="15"/>
              </w:rPr>
              <w:t>§10.47 SEC-01 Implementation Contract; §21</w:t>
            </w:r>
          </w:p>
        </w:tc>
        <w:tc>
          <w:tcPr>
            <w:tcW w:type="dxa" w:w="1531"/>
            <w:tcMar>
              <w:top w:w="70" w:type="dxa"/>
              <w:left w:w="80" w:type="dxa"/>
              <w:bottom w:w="70" w:type="dxa"/>
              <w:right w:w="80" w:type="dxa"/>
            </w:tcMar>
          </w:tcPr>
          <w:p>
            <w:r>
              <w:rPr>
                <w:sz w:val="15"/>
              </w:rPr>
              <w:t>§27; INV-SEC-01; API/event contract tests; requirement SEC-01-R05</w:t>
            </w:r>
          </w:p>
        </w:tc>
        <w:tc>
          <w:tcPr>
            <w:tcW w:type="dxa" w:w="1531"/>
            <w:tcMar>
              <w:top w:w="70" w:type="dxa"/>
              <w:left w:w="80" w:type="dxa"/>
              <w:bottom w:w="70" w:type="dxa"/>
              <w:right w:w="80" w:type="dxa"/>
            </w:tcMar>
          </w:tcPr>
          <w:p>
            <w:r>
              <w:rPr>
                <w:sz w:val="15"/>
              </w:rPr>
              <w:t>§28; RB-SEC-01</w:t>
            </w:r>
          </w:p>
        </w:tc>
        <w:tc>
          <w:tcPr>
            <w:tcW w:type="dxa" w:w="1531"/>
            <w:tcMar>
              <w:top w:w="70" w:type="dxa"/>
              <w:left w:w="80" w:type="dxa"/>
              <w:bottom w:w="70" w:type="dxa"/>
              <w:right w:w="80" w:type="dxa"/>
            </w:tcMar>
          </w:tcPr>
          <w:p>
            <w:r>
              <w:rPr>
                <w:sz w:val="15"/>
              </w:rPr>
              <w:t>PARTIAL - external validation / later adapter evidence required</w:t>
            </w:r>
          </w:p>
        </w:tc>
      </w:tr>
      <w:tr>
        <w:tc>
          <w:tcPr>
            <w:tcW w:type="dxa" w:w="1531"/>
            <w:tcMar>
              <w:top w:w="70" w:type="dxa"/>
              <w:left w:w="80" w:type="dxa"/>
              <w:bottom w:w="70" w:type="dxa"/>
              <w:right w:w="80" w:type="dxa"/>
            </w:tcMar>
          </w:tcPr>
          <w:p>
            <w:r>
              <w:rPr>
                <w:sz w:val="15"/>
              </w:rPr>
              <w:t>SEC-01-R06</w:t>
            </w:r>
          </w:p>
        </w:tc>
        <w:tc>
          <w:tcPr>
            <w:tcW w:type="dxa" w:w="1531"/>
            <w:tcMar>
              <w:top w:w="70" w:type="dxa"/>
              <w:left w:w="80" w:type="dxa"/>
              <w:bottom w:w="70" w:type="dxa"/>
              <w:right w:w="80" w:type="dxa"/>
            </w:tcMar>
          </w:tcPr>
          <w:p>
            <w:r>
              <w:rPr>
                <w:sz w:val="15"/>
              </w:rPr>
              <w:t>Security, Privacy, Compliance &amp; Consent</w:t>
            </w:r>
          </w:p>
        </w:tc>
        <w:tc>
          <w:tcPr>
            <w:tcW w:type="dxa" w:w="1531"/>
            <w:tcMar>
              <w:top w:w="70" w:type="dxa"/>
              <w:left w:w="80" w:type="dxa"/>
              <w:bottom w:w="70" w:type="dxa"/>
              <w:right w:w="80" w:type="dxa"/>
            </w:tcMar>
          </w:tcPr>
          <w:p>
            <w:r>
              <w:rPr>
                <w:sz w:val="15"/>
              </w:rPr>
              <w:t>Consent registry for terms, privacy, marketing, waiver, health, biometrics, media and data sharing with version history.</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SEC-01</w:t>
            </w:r>
          </w:p>
        </w:tc>
        <w:tc>
          <w:tcPr>
            <w:tcW w:type="dxa" w:w="1531"/>
            <w:tcMar>
              <w:top w:w="70" w:type="dxa"/>
              <w:left w:w="80" w:type="dxa"/>
              <w:bottom w:w="70" w:type="dxa"/>
              <w:right w:w="80" w:type="dxa"/>
            </w:tcMar>
          </w:tcPr>
          <w:p>
            <w:r>
              <w:rPr>
                <w:sz w:val="15"/>
              </w:rPr>
              <w:t>§10.47 SEC-01 Implementation Contract; §21</w:t>
            </w:r>
          </w:p>
        </w:tc>
        <w:tc>
          <w:tcPr>
            <w:tcW w:type="dxa" w:w="1531"/>
            <w:tcMar>
              <w:top w:w="70" w:type="dxa"/>
              <w:left w:w="80" w:type="dxa"/>
              <w:bottom w:w="70" w:type="dxa"/>
              <w:right w:w="80" w:type="dxa"/>
            </w:tcMar>
          </w:tcPr>
          <w:p>
            <w:r>
              <w:rPr>
                <w:sz w:val="15"/>
              </w:rPr>
              <w:t>§27; INV-SEC-01; API/event contract tests; requirement SEC-01-R06</w:t>
            </w:r>
          </w:p>
        </w:tc>
        <w:tc>
          <w:tcPr>
            <w:tcW w:type="dxa" w:w="1531"/>
            <w:tcMar>
              <w:top w:w="70" w:type="dxa"/>
              <w:left w:w="80" w:type="dxa"/>
              <w:bottom w:w="70" w:type="dxa"/>
              <w:right w:w="80" w:type="dxa"/>
            </w:tcMar>
          </w:tcPr>
          <w:p>
            <w:r>
              <w:rPr>
                <w:sz w:val="15"/>
              </w:rPr>
              <w:t>§28; RB-SEC-01</w:t>
            </w:r>
          </w:p>
        </w:tc>
        <w:tc>
          <w:tcPr>
            <w:tcW w:type="dxa" w:w="1531"/>
            <w:tcMar>
              <w:top w:w="70" w:type="dxa"/>
              <w:left w:w="80" w:type="dxa"/>
              <w:bottom w:w="70" w:type="dxa"/>
              <w:right w:w="80" w:type="dxa"/>
            </w:tcMar>
          </w:tcPr>
          <w:p>
            <w:r>
              <w:rPr>
                <w:sz w:val="15"/>
              </w:rPr>
              <w:t>PARTIAL - external validation / later adapter evidence required</w:t>
            </w:r>
          </w:p>
        </w:tc>
      </w:tr>
      <w:tr>
        <w:tc>
          <w:tcPr>
            <w:tcW w:type="dxa" w:w="1531"/>
            <w:tcMar>
              <w:top w:w="70" w:type="dxa"/>
              <w:left w:w="80" w:type="dxa"/>
              <w:bottom w:w="70" w:type="dxa"/>
              <w:right w:w="80" w:type="dxa"/>
            </w:tcMar>
          </w:tcPr>
          <w:p>
            <w:r>
              <w:rPr>
                <w:sz w:val="15"/>
              </w:rPr>
              <w:t>SEC-01-R07</w:t>
            </w:r>
          </w:p>
        </w:tc>
        <w:tc>
          <w:tcPr>
            <w:tcW w:type="dxa" w:w="1531"/>
            <w:tcMar>
              <w:top w:w="70" w:type="dxa"/>
              <w:left w:w="80" w:type="dxa"/>
              <w:bottom w:w="70" w:type="dxa"/>
              <w:right w:w="80" w:type="dxa"/>
            </w:tcMar>
          </w:tcPr>
          <w:p>
            <w:r>
              <w:rPr>
                <w:sz w:val="15"/>
              </w:rPr>
              <w:t>Security, Privacy, Compliance &amp; Consent</w:t>
            </w:r>
          </w:p>
        </w:tc>
        <w:tc>
          <w:tcPr>
            <w:tcW w:type="dxa" w:w="1531"/>
            <w:tcMar>
              <w:top w:w="70" w:type="dxa"/>
              <w:left w:w="80" w:type="dxa"/>
              <w:bottom w:w="70" w:type="dxa"/>
              <w:right w:w="80" w:type="dxa"/>
            </w:tcMar>
          </w:tcPr>
          <w:p>
            <w:r>
              <w:rPr>
                <w:sz w:val="15"/>
              </w:rPr>
              <w:t>Data subject requests for access, correction, portability, restriction and deletion with identity and legal checks.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SEC-01</w:t>
            </w:r>
          </w:p>
        </w:tc>
        <w:tc>
          <w:tcPr>
            <w:tcW w:type="dxa" w:w="1531"/>
            <w:tcMar>
              <w:top w:w="70" w:type="dxa"/>
              <w:left w:w="80" w:type="dxa"/>
              <w:bottom w:w="70" w:type="dxa"/>
              <w:right w:w="80" w:type="dxa"/>
            </w:tcMar>
          </w:tcPr>
          <w:p>
            <w:r>
              <w:rPr>
                <w:sz w:val="15"/>
              </w:rPr>
              <w:t>§10.47 SEC-01 Implementation Contract; §21</w:t>
            </w:r>
          </w:p>
        </w:tc>
        <w:tc>
          <w:tcPr>
            <w:tcW w:type="dxa" w:w="1531"/>
            <w:tcMar>
              <w:top w:w="70" w:type="dxa"/>
              <w:left w:w="80" w:type="dxa"/>
              <w:bottom w:w="70" w:type="dxa"/>
              <w:right w:w="80" w:type="dxa"/>
            </w:tcMar>
          </w:tcPr>
          <w:p>
            <w:r>
              <w:rPr>
                <w:sz w:val="15"/>
              </w:rPr>
              <w:t>§27; INV-SEC-01; API/event contract tests; requirement SEC-01-R07</w:t>
            </w:r>
          </w:p>
        </w:tc>
        <w:tc>
          <w:tcPr>
            <w:tcW w:type="dxa" w:w="1531"/>
            <w:tcMar>
              <w:top w:w="70" w:type="dxa"/>
              <w:left w:w="80" w:type="dxa"/>
              <w:bottom w:w="70" w:type="dxa"/>
              <w:right w:w="80" w:type="dxa"/>
            </w:tcMar>
          </w:tcPr>
          <w:p>
            <w:r>
              <w:rPr>
                <w:sz w:val="15"/>
              </w:rPr>
              <w:t>§28; RB-SEC-01</w:t>
            </w:r>
          </w:p>
        </w:tc>
        <w:tc>
          <w:tcPr>
            <w:tcW w:type="dxa" w:w="1531"/>
            <w:tcMar>
              <w:top w:w="70" w:type="dxa"/>
              <w:left w:w="80" w:type="dxa"/>
              <w:bottom w:w="70" w:type="dxa"/>
              <w:right w:w="80" w:type="dxa"/>
            </w:tcMar>
          </w:tcPr>
          <w:p>
            <w:r>
              <w:rPr>
                <w:sz w:val="15"/>
              </w:rPr>
              <w:t>PARTIAL - external validation / later adapter evidence required</w:t>
            </w:r>
          </w:p>
        </w:tc>
      </w:tr>
      <w:tr>
        <w:tc>
          <w:tcPr>
            <w:tcW w:type="dxa" w:w="1531"/>
            <w:tcMar>
              <w:top w:w="70" w:type="dxa"/>
              <w:left w:w="80" w:type="dxa"/>
              <w:bottom w:w="70" w:type="dxa"/>
              <w:right w:w="80" w:type="dxa"/>
            </w:tcMar>
          </w:tcPr>
          <w:p>
            <w:r>
              <w:rPr>
                <w:sz w:val="15"/>
              </w:rPr>
              <w:t>SEC-01-R08</w:t>
            </w:r>
          </w:p>
        </w:tc>
        <w:tc>
          <w:tcPr>
            <w:tcW w:type="dxa" w:w="1531"/>
            <w:tcMar>
              <w:top w:w="70" w:type="dxa"/>
              <w:left w:w="80" w:type="dxa"/>
              <w:bottom w:w="70" w:type="dxa"/>
              <w:right w:w="80" w:type="dxa"/>
            </w:tcMar>
          </w:tcPr>
          <w:p>
            <w:r>
              <w:rPr>
                <w:sz w:val="15"/>
              </w:rPr>
              <w:t>Security, Privacy, Compliance &amp; Consent</w:t>
            </w:r>
          </w:p>
        </w:tc>
        <w:tc>
          <w:tcPr>
            <w:tcW w:type="dxa" w:w="1531"/>
            <w:tcMar>
              <w:top w:w="70" w:type="dxa"/>
              <w:left w:w="80" w:type="dxa"/>
              <w:bottom w:w="70" w:type="dxa"/>
              <w:right w:w="80" w:type="dxa"/>
            </w:tcMar>
          </w:tcPr>
          <w:p>
            <w:r>
              <w:rPr>
                <w:sz w:val="15"/>
              </w:rPr>
              <w:t>Retention schedule, archive, deletion, legal hold, backup expiry and subprocessor governance.</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SEC-01</w:t>
            </w:r>
          </w:p>
        </w:tc>
        <w:tc>
          <w:tcPr>
            <w:tcW w:type="dxa" w:w="1531"/>
            <w:tcMar>
              <w:top w:w="70" w:type="dxa"/>
              <w:left w:w="80" w:type="dxa"/>
              <w:bottom w:w="70" w:type="dxa"/>
              <w:right w:w="80" w:type="dxa"/>
            </w:tcMar>
          </w:tcPr>
          <w:p>
            <w:r>
              <w:rPr>
                <w:sz w:val="15"/>
              </w:rPr>
              <w:t>§10.47 SEC-01 Implementation Contract; §21</w:t>
            </w:r>
          </w:p>
        </w:tc>
        <w:tc>
          <w:tcPr>
            <w:tcW w:type="dxa" w:w="1531"/>
            <w:tcMar>
              <w:top w:w="70" w:type="dxa"/>
              <w:left w:w="80" w:type="dxa"/>
              <w:bottom w:w="70" w:type="dxa"/>
              <w:right w:w="80" w:type="dxa"/>
            </w:tcMar>
          </w:tcPr>
          <w:p>
            <w:r>
              <w:rPr>
                <w:sz w:val="15"/>
              </w:rPr>
              <w:t>§27; INV-SEC-01; API/event contract tests; requirement SEC-01-R08</w:t>
            </w:r>
          </w:p>
        </w:tc>
        <w:tc>
          <w:tcPr>
            <w:tcW w:type="dxa" w:w="1531"/>
            <w:tcMar>
              <w:top w:w="70" w:type="dxa"/>
              <w:left w:w="80" w:type="dxa"/>
              <w:bottom w:w="70" w:type="dxa"/>
              <w:right w:w="80" w:type="dxa"/>
            </w:tcMar>
          </w:tcPr>
          <w:p>
            <w:r>
              <w:rPr>
                <w:sz w:val="15"/>
              </w:rPr>
              <w:t>§28; RB-SEC-01</w:t>
            </w:r>
          </w:p>
        </w:tc>
        <w:tc>
          <w:tcPr>
            <w:tcW w:type="dxa" w:w="1531"/>
            <w:tcMar>
              <w:top w:w="70" w:type="dxa"/>
              <w:left w:w="80" w:type="dxa"/>
              <w:bottom w:w="70" w:type="dxa"/>
              <w:right w:w="80" w:type="dxa"/>
            </w:tcMar>
          </w:tcPr>
          <w:p>
            <w:r>
              <w:rPr>
                <w:sz w:val="15"/>
              </w:rPr>
              <w:t>PARTIAL - external validation / later adapter evidence required</w:t>
            </w:r>
          </w:p>
        </w:tc>
      </w:tr>
      <w:tr>
        <w:tc>
          <w:tcPr>
            <w:tcW w:type="dxa" w:w="1531"/>
            <w:tcMar>
              <w:top w:w="70" w:type="dxa"/>
              <w:left w:w="80" w:type="dxa"/>
              <w:bottom w:w="70" w:type="dxa"/>
              <w:right w:w="80" w:type="dxa"/>
            </w:tcMar>
          </w:tcPr>
          <w:p>
            <w:r>
              <w:rPr>
                <w:sz w:val="15"/>
              </w:rPr>
              <w:t>SEC-01-R09</w:t>
            </w:r>
          </w:p>
        </w:tc>
        <w:tc>
          <w:tcPr>
            <w:tcW w:type="dxa" w:w="1531"/>
            <w:tcMar>
              <w:top w:w="70" w:type="dxa"/>
              <w:left w:w="80" w:type="dxa"/>
              <w:bottom w:w="70" w:type="dxa"/>
              <w:right w:w="80" w:type="dxa"/>
            </w:tcMar>
          </w:tcPr>
          <w:p>
            <w:r>
              <w:rPr>
                <w:sz w:val="15"/>
              </w:rPr>
              <w:t>Security, Privacy, Compliance &amp; Consent</w:t>
            </w:r>
          </w:p>
        </w:tc>
        <w:tc>
          <w:tcPr>
            <w:tcW w:type="dxa" w:w="1531"/>
            <w:tcMar>
              <w:top w:w="70" w:type="dxa"/>
              <w:left w:w="80" w:type="dxa"/>
              <w:bottom w:w="70" w:type="dxa"/>
              <w:right w:w="80" w:type="dxa"/>
            </w:tcMar>
          </w:tcPr>
          <w:p>
            <w:r>
              <w:rPr>
                <w:sz w:val="15"/>
              </w:rPr>
              <w:t>Security monitoring, incident response, evidence, notification assessment and postmortem.</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SEC-01</w:t>
            </w:r>
          </w:p>
        </w:tc>
        <w:tc>
          <w:tcPr>
            <w:tcW w:type="dxa" w:w="1531"/>
            <w:tcMar>
              <w:top w:w="70" w:type="dxa"/>
              <w:left w:w="80" w:type="dxa"/>
              <w:bottom w:w="70" w:type="dxa"/>
              <w:right w:w="80" w:type="dxa"/>
            </w:tcMar>
          </w:tcPr>
          <w:p>
            <w:r>
              <w:rPr>
                <w:sz w:val="15"/>
              </w:rPr>
              <w:t>§10.47 SEC-01 Implementation Contract; §21</w:t>
            </w:r>
          </w:p>
        </w:tc>
        <w:tc>
          <w:tcPr>
            <w:tcW w:type="dxa" w:w="1531"/>
            <w:tcMar>
              <w:top w:w="70" w:type="dxa"/>
              <w:left w:w="80" w:type="dxa"/>
              <w:bottom w:w="70" w:type="dxa"/>
              <w:right w:w="80" w:type="dxa"/>
            </w:tcMar>
          </w:tcPr>
          <w:p>
            <w:r>
              <w:rPr>
                <w:sz w:val="15"/>
              </w:rPr>
              <w:t>§27; INV-SEC-01; API/event contract tests; requirement SEC-01-R09</w:t>
            </w:r>
          </w:p>
        </w:tc>
        <w:tc>
          <w:tcPr>
            <w:tcW w:type="dxa" w:w="1531"/>
            <w:tcMar>
              <w:top w:w="70" w:type="dxa"/>
              <w:left w:w="80" w:type="dxa"/>
              <w:bottom w:w="70" w:type="dxa"/>
              <w:right w:w="80" w:type="dxa"/>
            </w:tcMar>
          </w:tcPr>
          <w:p>
            <w:r>
              <w:rPr>
                <w:sz w:val="15"/>
              </w:rPr>
              <w:t>§28; RB-SEC-01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SEC-01-R10</w:t>
            </w:r>
          </w:p>
        </w:tc>
        <w:tc>
          <w:tcPr>
            <w:tcW w:type="dxa" w:w="1531"/>
            <w:tcMar>
              <w:top w:w="70" w:type="dxa"/>
              <w:left w:w="80" w:type="dxa"/>
              <w:bottom w:w="70" w:type="dxa"/>
              <w:right w:w="80" w:type="dxa"/>
            </w:tcMar>
          </w:tcPr>
          <w:p>
            <w:r>
              <w:rPr>
                <w:sz w:val="15"/>
              </w:rPr>
              <w:t>Security, Privacy, Compliance &amp; Consent</w:t>
            </w:r>
          </w:p>
        </w:tc>
        <w:tc>
          <w:tcPr>
            <w:tcW w:type="dxa" w:w="1531"/>
            <w:tcMar>
              <w:top w:w="70" w:type="dxa"/>
              <w:left w:w="80" w:type="dxa"/>
              <w:bottom w:w="70" w:type="dxa"/>
              <w:right w:w="80" w:type="dxa"/>
            </w:tcMar>
          </w:tcPr>
          <w:p>
            <w:r>
              <w:rPr>
                <w:sz w:val="15"/>
              </w:rPr>
              <w:t>Enterprise package: DPA, security whitepaper, subprocessor list, SLA, controls evidence and questionnaire response.</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SEC-01</w:t>
            </w:r>
          </w:p>
        </w:tc>
        <w:tc>
          <w:tcPr>
            <w:tcW w:type="dxa" w:w="1531"/>
            <w:tcMar>
              <w:top w:w="70" w:type="dxa"/>
              <w:left w:w="80" w:type="dxa"/>
              <w:bottom w:w="70" w:type="dxa"/>
              <w:right w:w="80" w:type="dxa"/>
            </w:tcMar>
          </w:tcPr>
          <w:p>
            <w:r>
              <w:rPr>
                <w:sz w:val="15"/>
              </w:rPr>
              <w:t>§10.47 SEC-01 Implementation Contract; §21</w:t>
            </w:r>
          </w:p>
        </w:tc>
        <w:tc>
          <w:tcPr>
            <w:tcW w:type="dxa" w:w="1531"/>
            <w:tcMar>
              <w:top w:w="70" w:type="dxa"/>
              <w:left w:w="80" w:type="dxa"/>
              <w:bottom w:w="70" w:type="dxa"/>
              <w:right w:w="80" w:type="dxa"/>
            </w:tcMar>
          </w:tcPr>
          <w:p>
            <w:r>
              <w:rPr>
                <w:sz w:val="15"/>
              </w:rPr>
              <w:t>§27; INV-SEC-01; API/event contract tests; requirement SEC-01-R10</w:t>
            </w:r>
          </w:p>
        </w:tc>
        <w:tc>
          <w:tcPr>
            <w:tcW w:type="dxa" w:w="1531"/>
            <w:tcMar>
              <w:top w:w="70" w:type="dxa"/>
              <w:left w:w="80" w:type="dxa"/>
              <w:bottom w:w="70" w:type="dxa"/>
              <w:right w:w="80" w:type="dxa"/>
            </w:tcMar>
          </w:tcPr>
          <w:p>
            <w:r>
              <w:rPr>
                <w:sz w:val="15"/>
              </w:rPr>
              <w:t>§28; RB-SEC-01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SEC-02-R01</w:t>
            </w:r>
          </w:p>
        </w:tc>
        <w:tc>
          <w:tcPr>
            <w:tcW w:type="dxa" w:w="1531"/>
            <w:tcMar>
              <w:top w:w="70" w:type="dxa"/>
              <w:left w:w="80" w:type="dxa"/>
              <w:bottom w:w="70" w:type="dxa"/>
              <w:right w:w="80" w:type="dxa"/>
            </w:tcMar>
          </w:tcPr>
          <w:p>
            <w:r>
              <w:rPr>
                <w:sz w:val="15"/>
              </w:rPr>
              <w:t>Fraud, Abuse, Trust &amp; Content Moderation</w:t>
            </w:r>
          </w:p>
        </w:tc>
        <w:tc>
          <w:tcPr>
            <w:tcW w:type="dxa" w:w="1531"/>
            <w:tcMar>
              <w:top w:w="70" w:type="dxa"/>
              <w:left w:w="80" w:type="dxa"/>
              <w:bottom w:w="70" w:type="dxa"/>
              <w:right w:w="80" w:type="dxa"/>
            </w:tcMar>
          </w:tcPr>
          <w:p>
            <w:r>
              <w:rPr>
                <w:sz w:val="15"/>
              </w:rPr>
              <w:t>Rules and anomaly detection for QR sharing, access passback, guest abuse, duplicate identities and biometric spoofing.</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SEC-02</w:t>
            </w:r>
          </w:p>
        </w:tc>
        <w:tc>
          <w:tcPr>
            <w:tcW w:type="dxa" w:w="1531"/>
            <w:tcMar>
              <w:top w:w="70" w:type="dxa"/>
              <w:left w:w="80" w:type="dxa"/>
              <w:bottom w:w="70" w:type="dxa"/>
              <w:right w:w="80" w:type="dxa"/>
            </w:tcMar>
          </w:tcPr>
          <w:p>
            <w:r>
              <w:rPr>
                <w:sz w:val="15"/>
              </w:rPr>
              <w:t>§10.48 SEC-02 Implementation Contract; §21</w:t>
            </w:r>
          </w:p>
        </w:tc>
        <w:tc>
          <w:tcPr>
            <w:tcW w:type="dxa" w:w="1531"/>
            <w:tcMar>
              <w:top w:w="70" w:type="dxa"/>
              <w:left w:w="80" w:type="dxa"/>
              <w:bottom w:w="70" w:type="dxa"/>
              <w:right w:w="80" w:type="dxa"/>
            </w:tcMar>
          </w:tcPr>
          <w:p>
            <w:r>
              <w:rPr>
                <w:sz w:val="15"/>
              </w:rPr>
              <w:t>§27; INV-SEC-02; API/event contract tests; requirement SEC-02-R01</w:t>
            </w:r>
          </w:p>
        </w:tc>
        <w:tc>
          <w:tcPr>
            <w:tcW w:type="dxa" w:w="1531"/>
            <w:tcMar>
              <w:top w:w="70" w:type="dxa"/>
              <w:left w:w="80" w:type="dxa"/>
              <w:bottom w:w="70" w:type="dxa"/>
              <w:right w:w="80" w:type="dxa"/>
            </w:tcMar>
          </w:tcPr>
          <w:p>
            <w:r>
              <w:rPr>
                <w:sz w:val="15"/>
              </w:rPr>
              <w:t>§28; RB-SEC-02</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SEC-02-R02</w:t>
            </w:r>
          </w:p>
        </w:tc>
        <w:tc>
          <w:tcPr>
            <w:tcW w:type="dxa" w:w="1531"/>
            <w:tcMar>
              <w:top w:w="70" w:type="dxa"/>
              <w:left w:w="80" w:type="dxa"/>
              <w:bottom w:w="70" w:type="dxa"/>
              <w:right w:w="80" w:type="dxa"/>
            </w:tcMar>
          </w:tcPr>
          <w:p>
            <w:r>
              <w:rPr>
                <w:sz w:val="15"/>
              </w:rPr>
              <w:t>Fraud, Abuse, Trust &amp; Content Moderation</w:t>
            </w:r>
          </w:p>
        </w:tc>
        <w:tc>
          <w:tcPr>
            <w:tcW w:type="dxa" w:w="1531"/>
            <w:tcMar>
              <w:top w:w="70" w:type="dxa"/>
              <w:left w:w="80" w:type="dxa"/>
              <w:bottom w:w="70" w:type="dxa"/>
              <w:right w:w="80" w:type="dxa"/>
            </w:tcMar>
          </w:tcPr>
          <w:p>
            <w:r>
              <w:rPr>
                <w:sz w:val="15"/>
              </w:rPr>
              <w:t>Payment, wallet, refund, discount, promotion, referral and chargeback abuse signals.</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SEC-02</w:t>
            </w:r>
          </w:p>
        </w:tc>
        <w:tc>
          <w:tcPr>
            <w:tcW w:type="dxa" w:w="1531"/>
            <w:tcMar>
              <w:top w:w="70" w:type="dxa"/>
              <w:left w:w="80" w:type="dxa"/>
              <w:bottom w:w="70" w:type="dxa"/>
              <w:right w:w="80" w:type="dxa"/>
            </w:tcMar>
          </w:tcPr>
          <w:p>
            <w:r>
              <w:rPr>
                <w:sz w:val="15"/>
              </w:rPr>
              <w:t>§10.48 SEC-02 Implementation Contract; §21</w:t>
            </w:r>
          </w:p>
        </w:tc>
        <w:tc>
          <w:tcPr>
            <w:tcW w:type="dxa" w:w="1531"/>
            <w:tcMar>
              <w:top w:w="70" w:type="dxa"/>
              <w:left w:w="80" w:type="dxa"/>
              <w:bottom w:w="70" w:type="dxa"/>
              <w:right w:w="80" w:type="dxa"/>
            </w:tcMar>
          </w:tcPr>
          <w:p>
            <w:r>
              <w:rPr>
                <w:sz w:val="15"/>
              </w:rPr>
              <w:t>§27; INV-SEC-02; API/event contract tests; requirement SEC-02-R02</w:t>
            </w:r>
          </w:p>
        </w:tc>
        <w:tc>
          <w:tcPr>
            <w:tcW w:type="dxa" w:w="1531"/>
            <w:tcMar>
              <w:top w:w="70" w:type="dxa"/>
              <w:left w:w="80" w:type="dxa"/>
              <w:bottom w:w="70" w:type="dxa"/>
              <w:right w:w="80" w:type="dxa"/>
            </w:tcMar>
          </w:tcPr>
          <w:p>
            <w:r>
              <w:rPr>
                <w:sz w:val="15"/>
              </w:rPr>
              <w:t>§28; RB-SEC-02</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SEC-02-R03</w:t>
            </w:r>
          </w:p>
        </w:tc>
        <w:tc>
          <w:tcPr>
            <w:tcW w:type="dxa" w:w="1531"/>
            <w:tcMar>
              <w:top w:w="70" w:type="dxa"/>
              <w:left w:w="80" w:type="dxa"/>
              <w:bottom w:w="70" w:type="dxa"/>
              <w:right w:w="80" w:type="dxa"/>
            </w:tcMar>
          </w:tcPr>
          <w:p>
            <w:r>
              <w:rPr>
                <w:sz w:val="15"/>
              </w:rPr>
              <w:t>Fraud, Abuse, Trust &amp; Content Moderation</w:t>
            </w:r>
          </w:p>
        </w:tc>
        <w:tc>
          <w:tcPr>
            <w:tcW w:type="dxa" w:w="1531"/>
            <w:tcMar>
              <w:top w:w="70" w:type="dxa"/>
              <w:left w:w="80" w:type="dxa"/>
              <w:bottom w:w="70" w:type="dxa"/>
              <w:right w:w="80" w:type="dxa"/>
            </w:tcMar>
          </w:tcPr>
          <w:p>
            <w:r>
              <w:rPr>
                <w:sz w:val="15"/>
              </w:rPr>
              <w:t>Staff fraud indicators for unauthorized overrides, cash variance, stock adjustment and suspicious member changes.</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SEC-02</w:t>
            </w:r>
          </w:p>
        </w:tc>
        <w:tc>
          <w:tcPr>
            <w:tcW w:type="dxa" w:w="1531"/>
            <w:tcMar>
              <w:top w:w="70" w:type="dxa"/>
              <w:left w:w="80" w:type="dxa"/>
              <w:bottom w:w="70" w:type="dxa"/>
              <w:right w:w="80" w:type="dxa"/>
            </w:tcMar>
          </w:tcPr>
          <w:p>
            <w:r>
              <w:rPr>
                <w:sz w:val="15"/>
              </w:rPr>
              <w:t>§10.48 SEC-02 Implementation Contract; §21</w:t>
            </w:r>
          </w:p>
        </w:tc>
        <w:tc>
          <w:tcPr>
            <w:tcW w:type="dxa" w:w="1531"/>
            <w:tcMar>
              <w:top w:w="70" w:type="dxa"/>
              <w:left w:w="80" w:type="dxa"/>
              <w:bottom w:w="70" w:type="dxa"/>
              <w:right w:w="80" w:type="dxa"/>
            </w:tcMar>
          </w:tcPr>
          <w:p>
            <w:r>
              <w:rPr>
                <w:sz w:val="15"/>
              </w:rPr>
              <w:t>§27; INV-SEC-02; API/event contract tests; requirement SEC-02-R03</w:t>
            </w:r>
          </w:p>
        </w:tc>
        <w:tc>
          <w:tcPr>
            <w:tcW w:type="dxa" w:w="1531"/>
            <w:tcMar>
              <w:top w:w="70" w:type="dxa"/>
              <w:left w:w="80" w:type="dxa"/>
              <w:bottom w:w="70" w:type="dxa"/>
              <w:right w:w="80" w:type="dxa"/>
            </w:tcMar>
          </w:tcPr>
          <w:p>
            <w:r>
              <w:rPr>
                <w:sz w:val="15"/>
              </w:rPr>
              <w:t>§28; RB-SEC-02</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SEC-02-R04</w:t>
            </w:r>
          </w:p>
        </w:tc>
        <w:tc>
          <w:tcPr>
            <w:tcW w:type="dxa" w:w="1531"/>
            <w:tcMar>
              <w:top w:w="70" w:type="dxa"/>
              <w:left w:w="80" w:type="dxa"/>
              <w:bottom w:w="70" w:type="dxa"/>
              <w:right w:w="80" w:type="dxa"/>
            </w:tcMar>
          </w:tcPr>
          <w:p>
            <w:r>
              <w:rPr>
                <w:sz w:val="15"/>
              </w:rPr>
              <w:t>Fraud, Abuse, Trust &amp; Content Moderation</w:t>
            </w:r>
          </w:p>
        </w:tc>
        <w:tc>
          <w:tcPr>
            <w:tcW w:type="dxa" w:w="1531"/>
            <w:tcMar>
              <w:top w:w="70" w:type="dxa"/>
              <w:left w:w="80" w:type="dxa"/>
              <w:bottom w:w="70" w:type="dxa"/>
              <w:right w:w="80" w:type="dxa"/>
            </w:tcMar>
          </w:tcPr>
          <w:p>
            <w:r>
              <w:rPr>
                <w:sz w:val="15"/>
              </w:rPr>
              <w:t>Risk score, evidence, case creation, action recommendation and human review.</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SEC-02</w:t>
            </w:r>
          </w:p>
        </w:tc>
        <w:tc>
          <w:tcPr>
            <w:tcW w:type="dxa" w:w="1531"/>
            <w:tcMar>
              <w:top w:w="70" w:type="dxa"/>
              <w:left w:w="80" w:type="dxa"/>
              <w:bottom w:w="70" w:type="dxa"/>
              <w:right w:w="80" w:type="dxa"/>
            </w:tcMar>
          </w:tcPr>
          <w:p>
            <w:r>
              <w:rPr>
                <w:sz w:val="15"/>
              </w:rPr>
              <w:t>§10.48 SEC-02 Implementation Contract; §21</w:t>
            </w:r>
          </w:p>
        </w:tc>
        <w:tc>
          <w:tcPr>
            <w:tcW w:type="dxa" w:w="1531"/>
            <w:tcMar>
              <w:top w:w="70" w:type="dxa"/>
              <w:left w:w="80" w:type="dxa"/>
              <w:bottom w:w="70" w:type="dxa"/>
              <w:right w:w="80" w:type="dxa"/>
            </w:tcMar>
          </w:tcPr>
          <w:p>
            <w:r>
              <w:rPr>
                <w:sz w:val="15"/>
              </w:rPr>
              <w:t>§27; INV-SEC-02; API/event contract tests; requirement SEC-02-R04</w:t>
            </w:r>
          </w:p>
        </w:tc>
        <w:tc>
          <w:tcPr>
            <w:tcW w:type="dxa" w:w="1531"/>
            <w:tcMar>
              <w:top w:w="70" w:type="dxa"/>
              <w:left w:w="80" w:type="dxa"/>
              <w:bottom w:w="70" w:type="dxa"/>
              <w:right w:w="80" w:type="dxa"/>
            </w:tcMar>
          </w:tcPr>
          <w:p>
            <w:r>
              <w:rPr>
                <w:sz w:val="15"/>
              </w:rPr>
              <w:t>§28; RB-SEC-02</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SEC-02-R05</w:t>
            </w:r>
          </w:p>
        </w:tc>
        <w:tc>
          <w:tcPr>
            <w:tcW w:type="dxa" w:w="1531"/>
            <w:tcMar>
              <w:top w:w="70" w:type="dxa"/>
              <w:left w:w="80" w:type="dxa"/>
              <w:bottom w:w="70" w:type="dxa"/>
              <w:right w:w="80" w:type="dxa"/>
            </w:tcMar>
          </w:tcPr>
          <w:p>
            <w:r>
              <w:rPr>
                <w:sz w:val="15"/>
              </w:rPr>
              <w:t>Fraud, Abuse, Trust &amp; Content Moderation</w:t>
            </w:r>
          </w:p>
        </w:tc>
        <w:tc>
          <w:tcPr>
            <w:tcW w:type="dxa" w:w="1531"/>
            <w:tcMar>
              <w:top w:w="70" w:type="dxa"/>
              <w:left w:w="80" w:type="dxa"/>
              <w:bottom w:w="70" w:type="dxa"/>
              <w:right w:w="80" w:type="dxa"/>
            </w:tcMar>
          </w:tcPr>
          <w:p>
            <w:r>
              <w:rPr>
                <w:sz w:val="15"/>
              </w:rPr>
              <w:t>Progressive responses: warn, challenge, hold, restrict, require approval, suspend and investigate.</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SEC-02</w:t>
            </w:r>
          </w:p>
        </w:tc>
        <w:tc>
          <w:tcPr>
            <w:tcW w:type="dxa" w:w="1531"/>
            <w:tcMar>
              <w:top w:w="70" w:type="dxa"/>
              <w:left w:w="80" w:type="dxa"/>
              <w:bottom w:w="70" w:type="dxa"/>
              <w:right w:w="80" w:type="dxa"/>
            </w:tcMar>
          </w:tcPr>
          <w:p>
            <w:r>
              <w:rPr>
                <w:sz w:val="15"/>
              </w:rPr>
              <w:t>§10.48 SEC-02 Implementation Contract; §21</w:t>
            </w:r>
          </w:p>
        </w:tc>
        <w:tc>
          <w:tcPr>
            <w:tcW w:type="dxa" w:w="1531"/>
            <w:tcMar>
              <w:top w:w="70" w:type="dxa"/>
              <w:left w:w="80" w:type="dxa"/>
              <w:bottom w:w="70" w:type="dxa"/>
              <w:right w:w="80" w:type="dxa"/>
            </w:tcMar>
          </w:tcPr>
          <w:p>
            <w:r>
              <w:rPr>
                <w:sz w:val="15"/>
              </w:rPr>
              <w:t>§27; INV-SEC-02; API/event contract tests; requirement SEC-02-R05</w:t>
            </w:r>
          </w:p>
        </w:tc>
        <w:tc>
          <w:tcPr>
            <w:tcW w:type="dxa" w:w="1531"/>
            <w:tcMar>
              <w:top w:w="70" w:type="dxa"/>
              <w:left w:w="80" w:type="dxa"/>
              <w:bottom w:w="70" w:type="dxa"/>
              <w:right w:w="80" w:type="dxa"/>
            </w:tcMar>
          </w:tcPr>
          <w:p>
            <w:r>
              <w:rPr>
                <w:sz w:val="15"/>
              </w:rPr>
              <w:t>§28; RB-SEC-02</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SEC-02-R06</w:t>
            </w:r>
          </w:p>
        </w:tc>
        <w:tc>
          <w:tcPr>
            <w:tcW w:type="dxa" w:w="1531"/>
            <w:tcMar>
              <w:top w:w="70" w:type="dxa"/>
              <w:left w:w="80" w:type="dxa"/>
              <w:bottom w:w="70" w:type="dxa"/>
              <w:right w:w="80" w:type="dxa"/>
            </w:tcMar>
          </w:tcPr>
          <w:p>
            <w:r>
              <w:rPr>
                <w:sz w:val="15"/>
              </w:rPr>
              <w:t>Fraud, Abuse, Trust &amp; Content Moderation</w:t>
            </w:r>
          </w:p>
        </w:tc>
        <w:tc>
          <w:tcPr>
            <w:tcW w:type="dxa" w:w="1531"/>
            <w:tcMar>
              <w:top w:w="70" w:type="dxa"/>
              <w:left w:w="80" w:type="dxa"/>
              <w:bottom w:w="70" w:type="dxa"/>
              <w:right w:w="80" w:type="dxa"/>
            </w:tcMar>
          </w:tcPr>
          <w:p>
            <w:r>
              <w:rPr>
                <w:sz w:val="15"/>
              </w:rPr>
              <w:t>Community reporting, blocking, moderation queues, policy reasons, appeals and repeat-offender handling.</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SEC-02</w:t>
            </w:r>
          </w:p>
        </w:tc>
        <w:tc>
          <w:tcPr>
            <w:tcW w:type="dxa" w:w="1531"/>
            <w:tcMar>
              <w:top w:w="70" w:type="dxa"/>
              <w:left w:w="80" w:type="dxa"/>
              <w:bottom w:w="70" w:type="dxa"/>
              <w:right w:w="80" w:type="dxa"/>
            </w:tcMar>
          </w:tcPr>
          <w:p>
            <w:r>
              <w:rPr>
                <w:sz w:val="15"/>
              </w:rPr>
              <w:t>§10.48 SEC-02 Implementation Contract; §21</w:t>
            </w:r>
          </w:p>
        </w:tc>
        <w:tc>
          <w:tcPr>
            <w:tcW w:type="dxa" w:w="1531"/>
            <w:tcMar>
              <w:top w:w="70" w:type="dxa"/>
              <w:left w:w="80" w:type="dxa"/>
              <w:bottom w:w="70" w:type="dxa"/>
              <w:right w:w="80" w:type="dxa"/>
            </w:tcMar>
          </w:tcPr>
          <w:p>
            <w:r>
              <w:rPr>
                <w:sz w:val="15"/>
              </w:rPr>
              <w:t>§27; INV-SEC-02; API/event contract tests; requirement SEC-02-R06</w:t>
            </w:r>
          </w:p>
        </w:tc>
        <w:tc>
          <w:tcPr>
            <w:tcW w:type="dxa" w:w="1531"/>
            <w:tcMar>
              <w:top w:w="70" w:type="dxa"/>
              <w:left w:w="80" w:type="dxa"/>
              <w:bottom w:w="70" w:type="dxa"/>
              <w:right w:w="80" w:type="dxa"/>
            </w:tcMar>
          </w:tcPr>
          <w:p>
            <w:r>
              <w:rPr>
                <w:sz w:val="15"/>
              </w:rPr>
              <w:t>§28; RB-SEC-02</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SEC-02-R07</w:t>
            </w:r>
          </w:p>
        </w:tc>
        <w:tc>
          <w:tcPr>
            <w:tcW w:type="dxa" w:w="1531"/>
            <w:tcMar>
              <w:top w:w="70" w:type="dxa"/>
              <w:left w:w="80" w:type="dxa"/>
              <w:bottom w:w="70" w:type="dxa"/>
              <w:right w:w="80" w:type="dxa"/>
            </w:tcMar>
          </w:tcPr>
          <w:p>
            <w:r>
              <w:rPr>
                <w:sz w:val="15"/>
              </w:rPr>
              <w:t>Fraud, Abuse, Trust &amp; Content Moderation</w:t>
            </w:r>
          </w:p>
        </w:tc>
        <w:tc>
          <w:tcPr>
            <w:tcW w:type="dxa" w:w="1531"/>
            <w:tcMar>
              <w:top w:w="70" w:type="dxa"/>
              <w:left w:w="80" w:type="dxa"/>
              <w:bottom w:w="70" w:type="dxa"/>
              <w:right w:w="80" w:type="dxa"/>
            </w:tcMar>
          </w:tcPr>
          <w:p>
            <w:r>
              <w:rPr>
                <w:sz w:val="15"/>
              </w:rPr>
              <w:t>Model/rule monitoring for false positives, bias, drift and business impact.</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V1.5 Growth</w:t>
            </w:r>
          </w:p>
        </w:tc>
        <w:tc>
          <w:tcPr>
            <w:tcW w:type="dxa" w:w="1531"/>
            <w:tcMar>
              <w:top w:w="70" w:type="dxa"/>
              <w:left w:w="80" w:type="dxa"/>
              <w:bottom w:w="70" w:type="dxa"/>
              <w:right w:w="80" w:type="dxa"/>
            </w:tcMar>
          </w:tcPr>
          <w:p>
            <w:r>
              <w:rPr>
                <w:sz w:val="15"/>
              </w:rPr>
              <w:t>SEC-02</w:t>
            </w:r>
          </w:p>
        </w:tc>
        <w:tc>
          <w:tcPr>
            <w:tcW w:type="dxa" w:w="1531"/>
            <w:tcMar>
              <w:top w:w="70" w:type="dxa"/>
              <w:left w:w="80" w:type="dxa"/>
              <w:bottom w:w="70" w:type="dxa"/>
              <w:right w:w="80" w:type="dxa"/>
            </w:tcMar>
          </w:tcPr>
          <w:p>
            <w:r>
              <w:rPr>
                <w:sz w:val="15"/>
              </w:rPr>
              <w:t>§10.48 SEC-02 Implementation Contract; §21</w:t>
            </w:r>
          </w:p>
        </w:tc>
        <w:tc>
          <w:tcPr>
            <w:tcW w:type="dxa" w:w="1531"/>
            <w:tcMar>
              <w:top w:w="70" w:type="dxa"/>
              <w:left w:w="80" w:type="dxa"/>
              <w:bottom w:w="70" w:type="dxa"/>
              <w:right w:w="80" w:type="dxa"/>
            </w:tcMar>
          </w:tcPr>
          <w:p>
            <w:r>
              <w:rPr>
                <w:sz w:val="15"/>
              </w:rPr>
              <w:t>§27; INV-SEC-02; API/event contract tests; requirement SEC-02-R07</w:t>
            </w:r>
          </w:p>
        </w:tc>
        <w:tc>
          <w:tcPr>
            <w:tcW w:type="dxa" w:w="1531"/>
            <w:tcMar>
              <w:top w:w="70" w:type="dxa"/>
              <w:left w:w="80" w:type="dxa"/>
              <w:bottom w:w="70" w:type="dxa"/>
              <w:right w:w="80" w:type="dxa"/>
            </w:tcMar>
          </w:tcPr>
          <w:p>
            <w:r>
              <w:rPr>
                <w:sz w:val="15"/>
              </w:rPr>
              <w:t>§28; RB-SEC-02</w:t>
            </w:r>
          </w:p>
        </w:tc>
        <w:tc>
          <w:tcPr>
            <w:tcW w:type="dxa" w:w="1531"/>
            <w:tcMar>
              <w:top w:w="70" w:type="dxa"/>
              <w:left w:w="80" w:type="dxa"/>
              <w:bottom w:w="70" w:type="dxa"/>
              <w:right w:w="80" w:type="dxa"/>
            </w:tcMar>
          </w:tcPr>
          <w:p>
            <w:r>
              <w:rPr>
                <w:sz w:val="15"/>
              </w:rPr>
              <w:t>DEFERRED - V1.5 Growth</w:t>
            </w:r>
          </w:p>
        </w:tc>
      </w:tr>
      <w:tr>
        <w:tc>
          <w:tcPr>
            <w:tcW w:type="dxa" w:w="1531"/>
            <w:tcMar>
              <w:top w:w="70" w:type="dxa"/>
              <w:left w:w="80" w:type="dxa"/>
              <w:bottom w:w="70" w:type="dxa"/>
              <w:right w:w="80" w:type="dxa"/>
            </w:tcMar>
          </w:tcPr>
          <w:p>
            <w:r>
              <w:rPr>
                <w:sz w:val="15"/>
              </w:rPr>
              <w:t>REL-01-R01</w:t>
            </w:r>
          </w:p>
        </w:tc>
        <w:tc>
          <w:tcPr>
            <w:tcW w:type="dxa" w:w="1531"/>
            <w:tcMar>
              <w:top w:w="70" w:type="dxa"/>
              <w:left w:w="80" w:type="dxa"/>
              <w:bottom w:w="70" w:type="dxa"/>
              <w:right w:w="80" w:type="dxa"/>
            </w:tcMar>
          </w:tcPr>
          <w:p>
            <w:r>
              <w:rPr>
                <w:sz w:val="15"/>
              </w:rPr>
              <w:t>Reliability, Offline Operation, Business Continuity &amp; Incident Management</w:t>
            </w:r>
          </w:p>
        </w:tc>
        <w:tc>
          <w:tcPr>
            <w:tcW w:type="dxa" w:w="1531"/>
            <w:tcMar>
              <w:top w:w="70" w:type="dxa"/>
              <w:left w:w="80" w:type="dxa"/>
              <w:bottom w:w="70" w:type="dxa"/>
              <w:right w:w="80" w:type="dxa"/>
            </w:tcMar>
          </w:tcPr>
          <w:p>
            <w:r>
              <w:rPr>
                <w:sz w:val="15"/>
              </w:rPr>
              <w:t>Service-level indicators, objectives and error budgets for login, access, booking, POS, payments, messaging and core APIs.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REL-01</w:t>
            </w:r>
          </w:p>
        </w:tc>
        <w:tc>
          <w:tcPr>
            <w:tcW w:type="dxa" w:w="1531"/>
            <w:tcMar>
              <w:top w:w="70" w:type="dxa"/>
              <w:left w:w="80" w:type="dxa"/>
              <w:bottom w:w="70" w:type="dxa"/>
              <w:right w:w="80" w:type="dxa"/>
            </w:tcMar>
          </w:tcPr>
          <w:p>
            <w:r>
              <w:rPr>
                <w:sz w:val="15"/>
              </w:rPr>
              <w:t>§10.49 REL-01 Implementation Contract; §22/§23/§28</w:t>
            </w:r>
          </w:p>
        </w:tc>
        <w:tc>
          <w:tcPr>
            <w:tcW w:type="dxa" w:w="1531"/>
            <w:tcMar>
              <w:top w:w="70" w:type="dxa"/>
              <w:left w:w="80" w:type="dxa"/>
              <w:bottom w:w="70" w:type="dxa"/>
              <w:right w:w="80" w:type="dxa"/>
            </w:tcMar>
          </w:tcPr>
          <w:p>
            <w:r>
              <w:rPr>
                <w:sz w:val="15"/>
              </w:rPr>
              <w:t>§27; INV-REL-01; API/event contract tests; requirement REL-01-R01</w:t>
            </w:r>
          </w:p>
        </w:tc>
        <w:tc>
          <w:tcPr>
            <w:tcW w:type="dxa" w:w="1531"/>
            <w:tcMar>
              <w:top w:w="70" w:type="dxa"/>
              <w:left w:w="80" w:type="dxa"/>
              <w:bottom w:w="70" w:type="dxa"/>
              <w:right w:w="80" w:type="dxa"/>
            </w:tcMar>
          </w:tcPr>
          <w:p>
            <w:r>
              <w:rPr>
                <w:sz w:val="15"/>
              </w:rPr>
              <w:t>§28; RB-REL-01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REL-01-R02</w:t>
            </w:r>
          </w:p>
        </w:tc>
        <w:tc>
          <w:tcPr>
            <w:tcW w:type="dxa" w:w="1531"/>
            <w:tcMar>
              <w:top w:w="70" w:type="dxa"/>
              <w:left w:w="80" w:type="dxa"/>
              <w:bottom w:w="70" w:type="dxa"/>
              <w:right w:w="80" w:type="dxa"/>
            </w:tcMar>
          </w:tcPr>
          <w:p>
            <w:r>
              <w:rPr>
                <w:sz w:val="15"/>
              </w:rPr>
              <w:t>Reliability, Offline Operation, Business Continuity &amp; Incident Management</w:t>
            </w:r>
          </w:p>
        </w:tc>
        <w:tc>
          <w:tcPr>
            <w:tcW w:type="dxa" w:w="1531"/>
            <w:tcMar>
              <w:top w:w="70" w:type="dxa"/>
              <w:left w:w="80" w:type="dxa"/>
              <w:bottom w:w="70" w:type="dxa"/>
              <w:right w:w="80" w:type="dxa"/>
            </w:tcMar>
          </w:tcPr>
          <w:p>
            <w:r>
              <w:rPr>
                <w:sz w:val="15"/>
              </w:rPr>
              <w:t>Resilient patterns: timeout, retry with jitter, circuit breaker, bulkhead, queue, idempotency and graceful degradation.</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REL-01</w:t>
            </w:r>
          </w:p>
        </w:tc>
        <w:tc>
          <w:tcPr>
            <w:tcW w:type="dxa" w:w="1531"/>
            <w:tcMar>
              <w:top w:w="70" w:type="dxa"/>
              <w:left w:w="80" w:type="dxa"/>
              <w:bottom w:w="70" w:type="dxa"/>
              <w:right w:w="80" w:type="dxa"/>
            </w:tcMar>
          </w:tcPr>
          <w:p>
            <w:r>
              <w:rPr>
                <w:sz w:val="15"/>
              </w:rPr>
              <w:t>§10.49 REL-01 Implementation Contract; §22/§23/§28</w:t>
            </w:r>
          </w:p>
        </w:tc>
        <w:tc>
          <w:tcPr>
            <w:tcW w:type="dxa" w:w="1531"/>
            <w:tcMar>
              <w:top w:w="70" w:type="dxa"/>
              <w:left w:w="80" w:type="dxa"/>
              <w:bottom w:w="70" w:type="dxa"/>
              <w:right w:w="80" w:type="dxa"/>
            </w:tcMar>
          </w:tcPr>
          <w:p>
            <w:r>
              <w:rPr>
                <w:sz w:val="15"/>
              </w:rPr>
              <w:t>§27; INV-REL-01; API/event contract tests; requirement REL-01-R02</w:t>
            </w:r>
          </w:p>
        </w:tc>
        <w:tc>
          <w:tcPr>
            <w:tcW w:type="dxa" w:w="1531"/>
            <w:tcMar>
              <w:top w:w="70" w:type="dxa"/>
              <w:left w:w="80" w:type="dxa"/>
              <w:bottom w:w="70" w:type="dxa"/>
              <w:right w:w="80" w:type="dxa"/>
            </w:tcMar>
          </w:tcPr>
          <w:p>
            <w:r>
              <w:rPr>
                <w:sz w:val="15"/>
              </w:rPr>
              <w:t>§28; RB-REL-01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REL-01-R03</w:t>
            </w:r>
          </w:p>
        </w:tc>
        <w:tc>
          <w:tcPr>
            <w:tcW w:type="dxa" w:w="1531"/>
            <w:tcMar>
              <w:top w:w="70" w:type="dxa"/>
              <w:left w:w="80" w:type="dxa"/>
              <w:bottom w:w="70" w:type="dxa"/>
              <w:right w:w="80" w:type="dxa"/>
            </w:tcMar>
          </w:tcPr>
          <w:p>
            <w:r>
              <w:rPr>
                <w:sz w:val="15"/>
              </w:rPr>
              <w:t>Reliability, Offline Operation, Business Continuity &amp; Incident Management</w:t>
            </w:r>
          </w:p>
        </w:tc>
        <w:tc>
          <w:tcPr>
            <w:tcW w:type="dxa" w:w="1531"/>
            <w:tcMar>
              <w:top w:w="70" w:type="dxa"/>
              <w:left w:w="80" w:type="dxa"/>
              <w:bottom w:w="70" w:type="dxa"/>
              <w:right w:w="80" w:type="dxa"/>
            </w:tcMar>
          </w:tcPr>
          <w:p>
            <w:r>
              <w:rPr>
                <w:sz w:val="15"/>
              </w:rPr>
              <w:t>Offline modes for check-in, access and selected front-desk/POS operations with bounded risk and reconciliation.</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REL-01</w:t>
            </w:r>
          </w:p>
        </w:tc>
        <w:tc>
          <w:tcPr>
            <w:tcW w:type="dxa" w:w="1531"/>
            <w:tcMar>
              <w:top w:w="70" w:type="dxa"/>
              <w:left w:w="80" w:type="dxa"/>
              <w:bottom w:w="70" w:type="dxa"/>
              <w:right w:w="80" w:type="dxa"/>
            </w:tcMar>
          </w:tcPr>
          <w:p>
            <w:r>
              <w:rPr>
                <w:sz w:val="15"/>
              </w:rPr>
              <w:t>§10.49 REL-01 Implementation Contract; §22/§23/§28</w:t>
            </w:r>
          </w:p>
        </w:tc>
        <w:tc>
          <w:tcPr>
            <w:tcW w:type="dxa" w:w="1531"/>
            <w:tcMar>
              <w:top w:w="70" w:type="dxa"/>
              <w:left w:w="80" w:type="dxa"/>
              <w:bottom w:w="70" w:type="dxa"/>
              <w:right w:w="80" w:type="dxa"/>
            </w:tcMar>
          </w:tcPr>
          <w:p>
            <w:r>
              <w:rPr>
                <w:sz w:val="15"/>
              </w:rPr>
              <w:t>§27; INV-REL-01; API/event contract tests; requirement REL-01-R03</w:t>
            </w:r>
          </w:p>
        </w:tc>
        <w:tc>
          <w:tcPr>
            <w:tcW w:type="dxa" w:w="1531"/>
            <w:tcMar>
              <w:top w:w="70" w:type="dxa"/>
              <w:left w:w="80" w:type="dxa"/>
              <w:bottom w:w="70" w:type="dxa"/>
              <w:right w:w="80" w:type="dxa"/>
            </w:tcMar>
          </w:tcPr>
          <w:p>
            <w:r>
              <w:rPr>
                <w:sz w:val="15"/>
              </w:rPr>
              <w:t>§28; RB-REL-01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REL-01-R04</w:t>
            </w:r>
          </w:p>
        </w:tc>
        <w:tc>
          <w:tcPr>
            <w:tcW w:type="dxa" w:w="1531"/>
            <w:tcMar>
              <w:top w:w="70" w:type="dxa"/>
              <w:left w:w="80" w:type="dxa"/>
              <w:bottom w:w="70" w:type="dxa"/>
              <w:right w:w="80" w:type="dxa"/>
            </w:tcMar>
          </w:tcPr>
          <w:p>
            <w:r>
              <w:rPr>
                <w:sz w:val="15"/>
              </w:rPr>
              <w:t>Reliability, Offline Operation, Business Continuity &amp; Incident Management</w:t>
            </w:r>
          </w:p>
        </w:tc>
        <w:tc>
          <w:tcPr>
            <w:tcW w:type="dxa" w:w="1531"/>
            <w:tcMar>
              <w:top w:w="70" w:type="dxa"/>
              <w:left w:w="80" w:type="dxa"/>
              <w:bottom w:w="70" w:type="dxa"/>
              <w:right w:w="80" w:type="dxa"/>
            </w:tcMar>
          </w:tcPr>
          <w:p>
            <w:r>
              <w:rPr>
                <w:sz w:val="15"/>
              </w:rPr>
              <w:t>Backup, point-in-time recovery, restore testing, replication and tenant-level recovery procedures.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REL-01</w:t>
            </w:r>
          </w:p>
        </w:tc>
        <w:tc>
          <w:tcPr>
            <w:tcW w:type="dxa" w:w="1531"/>
            <w:tcMar>
              <w:top w:w="70" w:type="dxa"/>
              <w:left w:w="80" w:type="dxa"/>
              <w:bottom w:w="70" w:type="dxa"/>
              <w:right w:w="80" w:type="dxa"/>
            </w:tcMar>
          </w:tcPr>
          <w:p>
            <w:r>
              <w:rPr>
                <w:sz w:val="15"/>
              </w:rPr>
              <w:t>§10.49 REL-01 Implementation Contract; §22/§23/§28</w:t>
            </w:r>
          </w:p>
        </w:tc>
        <w:tc>
          <w:tcPr>
            <w:tcW w:type="dxa" w:w="1531"/>
            <w:tcMar>
              <w:top w:w="70" w:type="dxa"/>
              <w:left w:w="80" w:type="dxa"/>
              <w:bottom w:w="70" w:type="dxa"/>
              <w:right w:w="80" w:type="dxa"/>
            </w:tcMar>
          </w:tcPr>
          <w:p>
            <w:r>
              <w:rPr>
                <w:sz w:val="15"/>
              </w:rPr>
              <w:t>§27; INV-REL-01; API/event contract tests; requirement REL-01-R04</w:t>
            </w:r>
          </w:p>
        </w:tc>
        <w:tc>
          <w:tcPr>
            <w:tcW w:type="dxa" w:w="1531"/>
            <w:tcMar>
              <w:top w:w="70" w:type="dxa"/>
              <w:left w:w="80" w:type="dxa"/>
              <w:bottom w:w="70" w:type="dxa"/>
              <w:right w:w="80" w:type="dxa"/>
            </w:tcMar>
          </w:tcPr>
          <w:p>
            <w:r>
              <w:rPr>
                <w:sz w:val="15"/>
              </w:rPr>
              <w:t>§28; RB-REL-01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REL-01-R05</w:t>
            </w:r>
          </w:p>
        </w:tc>
        <w:tc>
          <w:tcPr>
            <w:tcW w:type="dxa" w:w="1531"/>
            <w:tcMar>
              <w:top w:w="70" w:type="dxa"/>
              <w:left w:w="80" w:type="dxa"/>
              <w:bottom w:w="70" w:type="dxa"/>
              <w:right w:w="80" w:type="dxa"/>
            </w:tcMar>
          </w:tcPr>
          <w:p>
            <w:r>
              <w:rPr>
                <w:sz w:val="15"/>
              </w:rPr>
              <w:t>Reliability, Offline Operation, Business Continuity &amp; Incident Management</w:t>
            </w:r>
          </w:p>
        </w:tc>
        <w:tc>
          <w:tcPr>
            <w:tcW w:type="dxa" w:w="1531"/>
            <w:tcMar>
              <w:top w:w="70" w:type="dxa"/>
              <w:left w:w="80" w:type="dxa"/>
              <w:bottom w:w="70" w:type="dxa"/>
              <w:right w:w="80" w:type="dxa"/>
            </w:tcMar>
          </w:tcPr>
          <w:p>
            <w:r>
              <w:rPr>
                <w:sz w:val="15"/>
              </w:rPr>
              <w:t>Documented RPO/RTO by data and workflow criticality.</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REL-01</w:t>
            </w:r>
          </w:p>
        </w:tc>
        <w:tc>
          <w:tcPr>
            <w:tcW w:type="dxa" w:w="1531"/>
            <w:tcMar>
              <w:top w:w="70" w:type="dxa"/>
              <w:left w:w="80" w:type="dxa"/>
              <w:bottom w:w="70" w:type="dxa"/>
              <w:right w:w="80" w:type="dxa"/>
            </w:tcMar>
          </w:tcPr>
          <w:p>
            <w:r>
              <w:rPr>
                <w:sz w:val="15"/>
              </w:rPr>
              <w:t>§10.49 REL-01 Implementation Contract; §22/§23/§28</w:t>
            </w:r>
          </w:p>
        </w:tc>
        <w:tc>
          <w:tcPr>
            <w:tcW w:type="dxa" w:w="1531"/>
            <w:tcMar>
              <w:top w:w="70" w:type="dxa"/>
              <w:left w:w="80" w:type="dxa"/>
              <w:bottom w:w="70" w:type="dxa"/>
              <w:right w:w="80" w:type="dxa"/>
            </w:tcMar>
          </w:tcPr>
          <w:p>
            <w:r>
              <w:rPr>
                <w:sz w:val="15"/>
              </w:rPr>
              <w:t>§27; INV-REL-01; API/event contract tests; requirement REL-01-R05</w:t>
            </w:r>
          </w:p>
        </w:tc>
        <w:tc>
          <w:tcPr>
            <w:tcW w:type="dxa" w:w="1531"/>
            <w:tcMar>
              <w:top w:w="70" w:type="dxa"/>
              <w:left w:w="80" w:type="dxa"/>
              <w:bottom w:w="70" w:type="dxa"/>
              <w:right w:w="80" w:type="dxa"/>
            </w:tcMar>
          </w:tcPr>
          <w:p>
            <w:r>
              <w:rPr>
                <w:sz w:val="15"/>
              </w:rPr>
              <w:t>§28; RB-REL-01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REL-01-R06</w:t>
            </w:r>
          </w:p>
        </w:tc>
        <w:tc>
          <w:tcPr>
            <w:tcW w:type="dxa" w:w="1531"/>
            <w:tcMar>
              <w:top w:w="70" w:type="dxa"/>
              <w:left w:w="80" w:type="dxa"/>
              <w:bottom w:w="70" w:type="dxa"/>
              <w:right w:w="80" w:type="dxa"/>
            </w:tcMar>
          </w:tcPr>
          <w:p>
            <w:r>
              <w:rPr>
                <w:sz w:val="15"/>
              </w:rPr>
              <w:t>Reliability, Offline Operation, Business Continuity &amp; Incident Management</w:t>
            </w:r>
          </w:p>
        </w:tc>
        <w:tc>
          <w:tcPr>
            <w:tcW w:type="dxa" w:w="1531"/>
            <w:tcMar>
              <w:top w:w="70" w:type="dxa"/>
              <w:left w:w="80" w:type="dxa"/>
              <w:bottom w:w="70" w:type="dxa"/>
              <w:right w:w="80" w:type="dxa"/>
            </w:tcMar>
          </w:tcPr>
          <w:p>
            <w:r>
              <w:rPr>
                <w:sz w:val="15"/>
              </w:rPr>
              <w:t>Disaster recovery for zone, region, database, object storage, queue and identity dependencies.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REL-01</w:t>
            </w:r>
          </w:p>
        </w:tc>
        <w:tc>
          <w:tcPr>
            <w:tcW w:type="dxa" w:w="1531"/>
            <w:tcMar>
              <w:top w:w="70" w:type="dxa"/>
              <w:left w:w="80" w:type="dxa"/>
              <w:bottom w:w="70" w:type="dxa"/>
              <w:right w:w="80" w:type="dxa"/>
            </w:tcMar>
          </w:tcPr>
          <w:p>
            <w:r>
              <w:rPr>
                <w:sz w:val="15"/>
              </w:rPr>
              <w:t>§10.49 REL-01 Implementation Contract; §22/§23/§28</w:t>
            </w:r>
          </w:p>
        </w:tc>
        <w:tc>
          <w:tcPr>
            <w:tcW w:type="dxa" w:w="1531"/>
            <w:tcMar>
              <w:top w:w="70" w:type="dxa"/>
              <w:left w:w="80" w:type="dxa"/>
              <w:bottom w:w="70" w:type="dxa"/>
              <w:right w:w="80" w:type="dxa"/>
            </w:tcMar>
          </w:tcPr>
          <w:p>
            <w:r>
              <w:rPr>
                <w:sz w:val="15"/>
              </w:rPr>
              <w:t>§27; INV-REL-01; API/event contract tests; requirement REL-01-R06</w:t>
            </w:r>
          </w:p>
        </w:tc>
        <w:tc>
          <w:tcPr>
            <w:tcW w:type="dxa" w:w="1531"/>
            <w:tcMar>
              <w:top w:w="70" w:type="dxa"/>
              <w:left w:w="80" w:type="dxa"/>
              <w:bottom w:w="70" w:type="dxa"/>
              <w:right w:w="80" w:type="dxa"/>
            </w:tcMar>
          </w:tcPr>
          <w:p>
            <w:r>
              <w:rPr>
                <w:sz w:val="15"/>
              </w:rPr>
              <w:t>§28; RB-REL-01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REL-01-R07</w:t>
            </w:r>
          </w:p>
        </w:tc>
        <w:tc>
          <w:tcPr>
            <w:tcW w:type="dxa" w:w="1531"/>
            <w:tcMar>
              <w:top w:w="70" w:type="dxa"/>
              <w:left w:w="80" w:type="dxa"/>
              <w:bottom w:w="70" w:type="dxa"/>
              <w:right w:w="80" w:type="dxa"/>
            </w:tcMar>
          </w:tcPr>
          <w:p>
            <w:r>
              <w:rPr>
                <w:sz w:val="15"/>
              </w:rPr>
              <w:t>Reliability, Offline Operation, Business Continuity &amp; Incident Management</w:t>
            </w:r>
          </w:p>
        </w:tc>
        <w:tc>
          <w:tcPr>
            <w:tcW w:type="dxa" w:w="1531"/>
            <w:tcMar>
              <w:top w:w="70" w:type="dxa"/>
              <w:left w:w="80" w:type="dxa"/>
              <w:bottom w:w="70" w:type="dxa"/>
              <w:right w:w="80" w:type="dxa"/>
            </w:tcMar>
          </w:tcPr>
          <w:p>
            <w:r>
              <w:rPr>
                <w:sz w:val="15"/>
              </w:rPr>
              <w:t>Incident command, severity, ownership, timeline, runbook, status page, customer communication and postmortem.</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REL-01</w:t>
            </w:r>
          </w:p>
        </w:tc>
        <w:tc>
          <w:tcPr>
            <w:tcW w:type="dxa" w:w="1531"/>
            <w:tcMar>
              <w:top w:w="70" w:type="dxa"/>
              <w:left w:w="80" w:type="dxa"/>
              <w:bottom w:w="70" w:type="dxa"/>
              <w:right w:w="80" w:type="dxa"/>
            </w:tcMar>
          </w:tcPr>
          <w:p>
            <w:r>
              <w:rPr>
                <w:sz w:val="15"/>
              </w:rPr>
              <w:t>§10.49 REL-01 Implementation Contract; §22/§23/§28</w:t>
            </w:r>
          </w:p>
        </w:tc>
        <w:tc>
          <w:tcPr>
            <w:tcW w:type="dxa" w:w="1531"/>
            <w:tcMar>
              <w:top w:w="70" w:type="dxa"/>
              <w:left w:w="80" w:type="dxa"/>
              <w:bottom w:w="70" w:type="dxa"/>
              <w:right w:w="80" w:type="dxa"/>
            </w:tcMar>
          </w:tcPr>
          <w:p>
            <w:r>
              <w:rPr>
                <w:sz w:val="15"/>
              </w:rPr>
              <w:t>§27; INV-REL-01; API/event contract tests; requirement REL-01-R07</w:t>
            </w:r>
          </w:p>
        </w:tc>
        <w:tc>
          <w:tcPr>
            <w:tcW w:type="dxa" w:w="1531"/>
            <w:tcMar>
              <w:top w:w="70" w:type="dxa"/>
              <w:left w:w="80" w:type="dxa"/>
              <w:bottom w:w="70" w:type="dxa"/>
              <w:right w:w="80" w:type="dxa"/>
            </w:tcMar>
          </w:tcPr>
          <w:p>
            <w:r>
              <w:rPr>
                <w:sz w:val="15"/>
              </w:rPr>
              <w:t>§28; RB-REL-01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REL-01-R08</w:t>
            </w:r>
          </w:p>
        </w:tc>
        <w:tc>
          <w:tcPr>
            <w:tcW w:type="dxa" w:w="1531"/>
            <w:tcMar>
              <w:top w:w="70" w:type="dxa"/>
              <w:left w:w="80" w:type="dxa"/>
              <w:bottom w:w="70" w:type="dxa"/>
              <w:right w:w="80" w:type="dxa"/>
            </w:tcMar>
          </w:tcPr>
          <w:p>
            <w:r>
              <w:rPr>
                <w:sz w:val="15"/>
              </w:rPr>
              <w:t>Reliability, Offline Operation, Business Continuity &amp; Incident Management</w:t>
            </w:r>
          </w:p>
        </w:tc>
        <w:tc>
          <w:tcPr>
            <w:tcW w:type="dxa" w:w="1531"/>
            <w:tcMar>
              <w:top w:w="70" w:type="dxa"/>
              <w:left w:w="80" w:type="dxa"/>
              <w:bottom w:w="70" w:type="dxa"/>
              <w:right w:w="80" w:type="dxa"/>
            </w:tcMar>
          </w:tcPr>
          <w:p>
            <w:r>
              <w:rPr>
                <w:sz w:val="15"/>
              </w:rPr>
              <w:t>Provider continuity plans for payments, messaging, access hardware, biometric and cloud services.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REL-01</w:t>
            </w:r>
          </w:p>
        </w:tc>
        <w:tc>
          <w:tcPr>
            <w:tcW w:type="dxa" w:w="1531"/>
            <w:tcMar>
              <w:top w:w="70" w:type="dxa"/>
              <w:left w:w="80" w:type="dxa"/>
              <w:bottom w:w="70" w:type="dxa"/>
              <w:right w:w="80" w:type="dxa"/>
            </w:tcMar>
          </w:tcPr>
          <w:p>
            <w:r>
              <w:rPr>
                <w:sz w:val="15"/>
              </w:rPr>
              <w:t>§10.49 REL-01 Implementation Contract; §22/§23/§28</w:t>
            </w:r>
          </w:p>
        </w:tc>
        <w:tc>
          <w:tcPr>
            <w:tcW w:type="dxa" w:w="1531"/>
            <w:tcMar>
              <w:top w:w="70" w:type="dxa"/>
              <w:left w:w="80" w:type="dxa"/>
              <w:bottom w:w="70" w:type="dxa"/>
              <w:right w:w="80" w:type="dxa"/>
            </w:tcMar>
          </w:tcPr>
          <w:p>
            <w:r>
              <w:rPr>
                <w:sz w:val="15"/>
              </w:rPr>
              <w:t>§27; INV-REL-01; API/event contract tests; requirement REL-01-R08</w:t>
            </w:r>
          </w:p>
        </w:tc>
        <w:tc>
          <w:tcPr>
            <w:tcW w:type="dxa" w:w="1531"/>
            <w:tcMar>
              <w:top w:w="70" w:type="dxa"/>
              <w:left w:w="80" w:type="dxa"/>
              <w:bottom w:w="70" w:type="dxa"/>
              <w:right w:w="80" w:type="dxa"/>
            </w:tcMar>
          </w:tcPr>
          <w:p>
            <w:r>
              <w:rPr>
                <w:sz w:val="15"/>
              </w:rPr>
              <w:t>§28; RB-REL-01</w:t>
            </w:r>
          </w:p>
        </w:tc>
        <w:tc>
          <w:tcPr>
            <w:tcW w:type="dxa" w:w="1531"/>
            <w:tcMar>
              <w:top w:w="70" w:type="dxa"/>
              <w:left w:w="80" w:type="dxa"/>
              <w:bottom w:w="70" w:type="dxa"/>
              <w:right w:w="80" w:type="dxa"/>
            </w:tcMar>
          </w:tcPr>
          <w:p>
            <w:r>
              <w:rPr>
                <w:sz w:val="15"/>
              </w:rPr>
              <w:t>PARTIAL - external validation / later adapter evidence required</w:t>
            </w:r>
          </w:p>
        </w:tc>
      </w:tr>
      <w:tr>
        <w:tc>
          <w:tcPr>
            <w:tcW w:type="dxa" w:w="1531"/>
            <w:tcMar>
              <w:top w:w="70" w:type="dxa"/>
              <w:left w:w="80" w:type="dxa"/>
              <w:bottom w:w="70" w:type="dxa"/>
              <w:right w:w="80" w:type="dxa"/>
            </w:tcMar>
          </w:tcPr>
          <w:p>
            <w:r>
              <w:rPr>
                <w:sz w:val="15"/>
              </w:rPr>
              <w:t>REL-01-R09</w:t>
            </w:r>
          </w:p>
        </w:tc>
        <w:tc>
          <w:tcPr>
            <w:tcW w:type="dxa" w:w="1531"/>
            <w:tcMar>
              <w:top w:w="70" w:type="dxa"/>
              <w:left w:w="80" w:type="dxa"/>
              <w:bottom w:w="70" w:type="dxa"/>
              <w:right w:w="80" w:type="dxa"/>
            </w:tcMar>
          </w:tcPr>
          <w:p>
            <w:r>
              <w:rPr>
                <w:sz w:val="15"/>
              </w:rPr>
              <w:t>Reliability, Offline Operation, Business Continuity &amp; Incident Management</w:t>
            </w:r>
          </w:p>
        </w:tc>
        <w:tc>
          <w:tcPr>
            <w:tcW w:type="dxa" w:w="1531"/>
            <w:tcMar>
              <w:top w:w="70" w:type="dxa"/>
              <w:left w:w="80" w:type="dxa"/>
              <w:bottom w:w="70" w:type="dxa"/>
              <w:right w:w="80" w:type="dxa"/>
            </w:tcMar>
          </w:tcPr>
          <w:p>
            <w:r>
              <w:rPr>
                <w:sz w:val="15"/>
              </w:rPr>
              <w:t>Chaos, failover, restore and business-continuity drills on a defined cadence.</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REL-01</w:t>
            </w:r>
          </w:p>
        </w:tc>
        <w:tc>
          <w:tcPr>
            <w:tcW w:type="dxa" w:w="1531"/>
            <w:tcMar>
              <w:top w:w="70" w:type="dxa"/>
              <w:left w:w="80" w:type="dxa"/>
              <w:bottom w:w="70" w:type="dxa"/>
              <w:right w:w="80" w:type="dxa"/>
            </w:tcMar>
          </w:tcPr>
          <w:p>
            <w:r>
              <w:rPr>
                <w:sz w:val="15"/>
              </w:rPr>
              <w:t>§10.49 REL-01 Implementation Contract; §22/§23/§28</w:t>
            </w:r>
          </w:p>
        </w:tc>
        <w:tc>
          <w:tcPr>
            <w:tcW w:type="dxa" w:w="1531"/>
            <w:tcMar>
              <w:top w:w="70" w:type="dxa"/>
              <w:left w:w="80" w:type="dxa"/>
              <w:bottom w:w="70" w:type="dxa"/>
              <w:right w:w="80" w:type="dxa"/>
            </w:tcMar>
          </w:tcPr>
          <w:p>
            <w:r>
              <w:rPr>
                <w:sz w:val="15"/>
              </w:rPr>
              <w:t>§27; INV-REL-01; API/event contract tests; requirement REL-01-R09</w:t>
            </w:r>
          </w:p>
        </w:tc>
        <w:tc>
          <w:tcPr>
            <w:tcW w:type="dxa" w:w="1531"/>
            <w:tcMar>
              <w:top w:w="70" w:type="dxa"/>
              <w:left w:w="80" w:type="dxa"/>
              <w:bottom w:w="70" w:type="dxa"/>
              <w:right w:w="80" w:type="dxa"/>
            </w:tcMar>
          </w:tcPr>
          <w:p>
            <w:r>
              <w:rPr>
                <w:sz w:val="15"/>
              </w:rPr>
              <w:t>§28; RB-REL-01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REL-02-R01</w:t>
            </w:r>
          </w:p>
        </w:tc>
        <w:tc>
          <w:tcPr>
            <w:tcW w:type="dxa" w:w="1531"/>
            <w:tcMar>
              <w:top w:w="70" w:type="dxa"/>
              <w:left w:w="80" w:type="dxa"/>
              <w:bottom w:w="70" w:type="dxa"/>
              <w:right w:w="80" w:type="dxa"/>
            </w:tcMar>
          </w:tcPr>
          <w:p>
            <w:r>
              <w:rPr>
                <w:sz w:val="15"/>
              </w:rPr>
              <w:t>Observability, Performance, Capacity &amp; FinOps</w:t>
            </w:r>
          </w:p>
        </w:tc>
        <w:tc>
          <w:tcPr>
            <w:tcW w:type="dxa" w:w="1531"/>
            <w:tcMar>
              <w:top w:w="70" w:type="dxa"/>
              <w:left w:w="80" w:type="dxa"/>
              <w:bottom w:w="70" w:type="dxa"/>
              <w:right w:w="80" w:type="dxa"/>
            </w:tcMar>
          </w:tcPr>
          <w:p>
            <w:r>
              <w:rPr>
                <w:sz w:val="15"/>
              </w:rPr>
              <w:t>Structured logs, metrics and distributed traces with tenant-safe correlation and redaction.</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REL-02</w:t>
            </w:r>
          </w:p>
        </w:tc>
        <w:tc>
          <w:tcPr>
            <w:tcW w:type="dxa" w:w="1531"/>
            <w:tcMar>
              <w:top w:w="70" w:type="dxa"/>
              <w:left w:w="80" w:type="dxa"/>
              <w:bottom w:w="70" w:type="dxa"/>
              <w:right w:w="80" w:type="dxa"/>
            </w:tcMar>
          </w:tcPr>
          <w:p>
            <w:r>
              <w:rPr>
                <w:sz w:val="15"/>
              </w:rPr>
              <w:t>§10.50 REL-02 Implementation Contract; §22/§23/§28</w:t>
            </w:r>
          </w:p>
        </w:tc>
        <w:tc>
          <w:tcPr>
            <w:tcW w:type="dxa" w:w="1531"/>
            <w:tcMar>
              <w:top w:w="70" w:type="dxa"/>
              <w:left w:w="80" w:type="dxa"/>
              <w:bottom w:w="70" w:type="dxa"/>
              <w:right w:w="80" w:type="dxa"/>
            </w:tcMar>
          </w:tcPr>
          <w:p>
            <w:r>
              <w:rPr>
                <w:sz w:val="15"/>
              </w:rPr>
              <w:t>§27; INV-REL-02; API/event contract tests; requirement REL-02-R01</w:t>
            </w:r>
          </w:p>
        </w:tc>
        <w:tc>
          <w:tcPr>
            <w:tcW w:type="dxa" w:w="1531"/>
            <w:tcMar>
              <w:top w:w="70" w:type="dxa"/>
              <w:left w:w="80" w:type="dxa"/>
              <w:bottom w:w="70" w:type="dxa"/>
              <w:right w:w="80" w:type="dxa"/>
            </w:tcMar>
          </w:tcPr>
          <w:p>
            <w:r>
              <w:rPr>
                <w:sz w:val="15"/>
              </w:rPr>
              <w:t>§28; RB-REL-02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REL-02-R02</w:t>
            </w:r>
          </w:p>
        </w:tc>
        <w:tc>
          <w:tcPr>
            <w:tcW w:type="dxa" w:w="1531"/>
            <w:tcMar>
              <w:top w:w="70" w:type="dxa"/>
              <w:left w:w="80" w:type="dxa"/>
              <w:bottom w:w="70" w:type="dxa"/>
              <w:right w:w="80" w:type="dxa"/>
            </w:tcMar>
          </w:tcPr>
          <w:p>
            <w:r>
              <w:rPr>
                <w:sz w:val="15"/>
              </w:rPr>
              <w:t>Observability, Performance, Capacity &amp; FinOps</w:t>
            </w:r>
          </w:p>
        </w:tc>
        <w:tc>
          <w:tcPr>
            <w:tcW w:type="dxa" w:w="1531"/>
            <w:tcMar>
              <w:top w:w="70" w:type="dxa"/>
              <w:left w:w="80" w:type="dxa"/>
              <w:bottom w:w="70" w:type="dxa"/>
              <w:right w:w="80" w:type="dxa"/>
            </w:tcMar>
          </w:tcPr>
          <w:p>
            <w:r>
              <w:rPr>
                <w:sz w:val="15"/>
              </w:rPr>
              <w:t>Golden signals and business signals for each critical workflow and dependency.</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REL-02</w:t>
            </w:r>
          </w:p>
        </w:tc>
        <w:tc>
          <w:tcPr>
            <w:tcW w:type="dxa" w:w="1531"/>
            <w:tcMar>
              <w:top w:w="70" w:type="dxa"/>
              <w:left w:w="80" w:type="dxa"/>
              <w:bottom w:w="70" w:type="dxa"/>
              <w:right w:w="80" w:type="dxa"/>
            </w:tcMar>
          </w:tcPr>
          <w:p>
            <w:r>
              <w:rPr>
                <w:sz w:val="15"/>
              </w:rPr>
              <w:t>§10.50 REL-02 Implementation Contract; §22/§23/§28</w:t>
            </w:r>
          </w:p>
        </w:tc>
        <w:tc>
          <w:tcPr>
            <w:tcW w:type="dxa" w:w="1531"/>
            <w:tcMar>
              <w:top w:w="70" w:type="dxa"/>
              <w:left w:w="80" w:type="dxa"/>
              <w:bottom w:w="70" w:type="dxa"/>
              <w:right w:w="80" w:type="dxa"/>
            </w:tcMar>
          </w:tcPr>
          <w:p>
            <w:r>
              <w:rPr>
                <w:sz w:val="15"/>
              </w:rPr>
              <w:t>§27; INV-REL-02; API/event contract tests; requirement REL-02-R02</w:t>
            </w:r>
          </w:p>
        </w:tc>
        <w:tc>
          <w:tcPr>
            <w:tcW w:type="dxa" w:w="1531"/>
            <w:tcMar>
              <w:top w:w="70" w:type="dxa"/>
              <w:left w:w="80" w:type="dxa"/>
              <w:bottom w:w="70" w:type="dxa"/>
              <w:right w:w="80" w:type="dxa"/>
            </w:tcMar>
          </w:tcPr>
          <w:p>
            <w:r>
              <w:rPr>
                <w:sz w:val="15"/>
              </w:rPr>
              <w:t>§28; RB-REL-02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REL-02-R03</w:t>
            </w:r>
          </w:p>
        </w:tc>
        <w:tc>
          <w:tcPr>
            <w:tcW w:type="dxa" w:w="1531"/>
            <w:tcMar>
              <w:top w:w="70" w:type="dxa"/>
              <w:left w:w="80" w:type="dxa"/>
              <w:bottom w:w="70" w:type="dxa"/>
              <w:right w:w="80" w:type="dxa"/>
            </w:tcMar>
          </w:tcPr>
          <w:p>
            <w:r>
              <w:rPr>
                <w:sz w:val="15"/>
              </w:rPr>
              <w:t>Observability, Performance, Capacity &amp; FinOps</w:t>
            </w:r>
          </w:p>
        </w:tc>
        <w:tc>
          <w:tcPr>
            <w:tcW w:type="dxa" w:w="1531"/>
            <w:tcMar>
              <w:top w:w="70" w:type="dxa"/>
              <w:left w:w="80" w:type="dxa"/>
              <w:bottom w:w="70" w:type="dxa"/>
              <w:right w:w="80" w:type="dxa"/>
            </w:tcMar>
          </w:tcPr>
          <w:p>
            <w:r>
              <w:rPr>
                <w:sz w:val="15"/>
              </w:rPr>
              <w:t>Synthetic monitoring for login, member search, booking, payment, POS, check-in, webhook and messaging paths.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REL-02</w:t>
            </w:r>
          </w:p>
        </w:tc>
        <w:tc>
          <w:tcPr>
            <w:tcW w:type="dxa" w:w="1531"/>
            <w:tcMar>
              <w:top w:w="70" w:type="dxa"/>
              <w:left w:w="80" w:type="dxa"/>
              <w:bottom w:w="70" w:type="dxa"/>
              <w:right w:w="80" w:type="dxa"/>
            </w:tcMar>
          </w:tcPr>
          <w:p>
            <w:r>
              <w:rPr>
                <w:sz w:val="15"/>
              </w:rPr>
              <w:t>§10.50 REL-02 Implementation Contract; §22/§23/§28</w:t>
            </w:r>
          </w:p>
        </w:tc>
        <w:tc>
          <w:tcPr>
            <w:tcW w:type="dxa" w:w="1531"/>
            <w:tcMar>
              <w:top w:w="70" w:type="dxa"/>
              <w:left w:w="80" w:type="dxa"/>
              <w:bottom w:w="70" w:type="dxa"/>
              <w:right w:w="80" w:type="dxa"/>
            </w:tcMar>
          </w:tcPr>
          <w:p>
            <w:r>
              <w:rPr>
                <w:sz w:val="15"/>
              </w:rPr>
              <w:t>§27; INV-REL-02; API/event contract tests; requirement REL-02-R03</w:t>
            </w:r>
          </w:p>
        </w:tc>
        <w:tc>
          <w:tcPr>
            <w:tcW w:type="dxa" w:w="1531"/>
            <w:tcMar>
              <w:top w:w="70" w:type="dxa"/>
              <w:left w:w="80" w:type="dxa"/>
              <w:bottom w:w="70" w:type="dxa"/>
              <w:right w:w="80" w:type="dxa"/>
            </w:tcMar>
          </w:tcPr>
          <w:p>
            <w:r>
              <w:rPr>
                <w:sz w:val="15"/>
              </w:rPr>
              <w:t>§28; RB-REL-02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REL-02-R04</w:t>
            </w:r>
          </w:p>
        </w:tc>
        <w:tc>
          <w:tcPr>
            <w:tcW w:type="dxa" w:w="1531"/>
            <w:tcMar>
              <w:top w:w="70" w:type="dxa"/>
              <w:left w:w="80" w:type="dxa"/>
              <w:bottom w:w="70" w:type="dxa"/>
              <w:right w:w="80" w:type="dxa"/>
            </w:tcMar>
          </w:tcPr>
          <w:p>
            <w:r>
              <w:rPr>
                <w:sz w:val="15"/>
              </w:rPr>
              <w:t>Observability, Performance, Capacity &amp; FinOps</w:t>
            </w:r>
          </w:p>
        </w:tc>
        <w:tc>
          <w:tcPr>
            <w:tcW w:type="dxa" w:w="1531"/>
            <w:tcMar>
              <w:top w:w="70" w:type="dxa"/>
              <w:left w:w="80" w:type="dxa"/>
              <w:bottom w:w="70" w:type="dxa"/>
              <w:right w:w="80" w:type="dxa"/>
            </w:tcMar>
          </w:tcPr>
          <w:p>
            <w:r>
              <w:rPr>
                <w:sz w:val="15"/>
              </w:rPr>
              <w:t>Performance budgets for web, mobile, APIs, search, edge access and report generation.</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REL-02</w:t>
            </w:r>
          </w:p>
        </w:tc>
        <w:tc>
          <w:tcPr>
            <w:tcW w:type="dxa" w:w="1531"/>
            <w:tcMar>
              <w:top w:w="70" w:type="dxa"/>
              <w:left w:w="80" w:type="dxa"/>
              <w:bottom w:w="70" w:type="dxa"/>
              <w:right w:w="80" w:type="dxa"/>
            </w:tcMar>
          </w:tcPr>
          <w:p>
            <w:r>
              <w:rPr>
                <w:sz w:val="15"/>
              </w:rPr>
              <w:t>§10.50 REL-02 Implementation Contract; §22/§23/§28</w:t>
            </w:r>
          </w:p>
        </w:tc>
        <w:tc>
          <w:tcPr>
            <w:tcW w:type="dxa" w:w="1531"/>
            <w:tcMar>
              <w:top w:w="70" w:type="dxa"/>
              <w:left w:w="80" w:type="dxa"/>
              <w:bottom w:w="70" w:type="dxa"/>
              <w:right w:w="80" w:type="dxa"/>
            </w:tcMar>
          </w:tcPr>
          <w:p>
            <w:r>
              <w:rPr>
                <w:sz w:val="15"/>
              </w:rPr>
              <w:t>§27; INV-REL-02; API/event contract tests; requirement REL-02-R04</w:t>
            </w:r>
          </w:p>
        </w:tc>
        <w:tc>
          <w:tcPr>
            <w:tcW w:type="dxa" w:w="1531"/>
            <w:tcMar>
              <w:top w:w="70" w:type="dxa"/>
              <w:left w:w="80" w:type="dxa"/>
              <w:bottom w:w="70" w:type="dxa"/>
              <w:right w:w="80" w:type="dxa"/>
            </w:tcMar>
          </w:tcPr>
          <w:p>
            <w:r>
              <w:rPr>
                <w:sz w:val="15"/>
              </w:rPr>
              <w:t>§28; RB-REL-02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REL-02-R05</w:t>
            </w:r>
          </w:p>
        </w:tc>
        <w:tc>
          <w:tcPr>
            <w:tcW w:type="dxa" w:w="1531"/>
            <w:tcMar>
              <w:top w:w="70" w:type="dxa"/>
              <w:left w:w="80" w:type="dxa"/>
              <w:bottom w:w="70" w:type="dxa"/>
              <w:right w:w="80" w:type="dxa"/>
            </w:tcMar>
          </w:tcPr>
          <w:p>
            <w:r>
              <w:rPr>
                <w:sz w:val="15"/>
              </w:rPr>
              <w:t>Observability, Performance, Capacity &amp; FinOps</w:t>
            </w:r>
          </w:p>
        </w:tc>
        <w:tc>
          <w:tcPr>
            <w:tcW w:type="dxa" w:w="1531"/>
            <w:tcMar>
              <w:top w:w="70" w:type="dxa"/>
              <w:left w:w="80" w:type="dxa"/>
              <w:bottom w:w="70" w:type="dxa"/>
              <w:right w:w="80" w:type="dxa"/>
            </w:tcMar>
          </w:tcPr>
          <w:p>
            <w:r>
              <w:rPr>
                <w:sz w:val="15"/>
              </w:rPr>
              <w:t>Capacity models, load tests, scaling policy, hot-tenant protection and noisy-neighbor controls.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REL-02</w:t>
            </w:r>
          </w:p>
        </w:tc>
        <w:tc>
          <w:tcPr>
            <w:tcW w:type="dxa" w:w="1531"/>
            <w:tcMar>
              <w:top w:w="70" w:type="dxa"/>
              <w:left w:w="80" w:type="dxa"/>
              <w:bottom w:w="70" w:type="dxa"/>
              <w:right w:w="80" w:type="dxa"/>
            </w:tcMar>
          </w:tcPr>
          <w:p>
            <w:r>
              <w:rPr>
                <w:sz w:val="15"/>
              </w:rPr>
              <w:t>§10.50 REL-02 Implementation Contract; §22/§23/§28</w:t>
            </w:r>
          </w:p>
        </w:tc>
        <w:tc>
          <w:tcPr>
            <w:tcW w:type="dxa" w:w="1531"/>
            <w:tcMar>
              <w:top w:w="70" w:type="dxa"/>
              <w:left w:w="80" w:type="dxa"/>
              <w:bottom w:w="70" w:type="dxa"/>
              <w:right w:w="80" w:type="dxa"/>
            </w:tcMar>
          </w:tcPr>
          <w:p>
            <w:r>
              <w:rPr>
                <w:sz w:val="15"/>
              </w:rPr>
              <w:t>§27; INV-REL-02; API/event contract tests; requirement REL-02-R05</w:t>
            </w:r>
          </w:p>
        </w:tc>
        <w:tc>
          <w:tcPr>
            <w:tcW w:type="dxa" w:w="1531"/>
            <w:tcMar>
              <w:top w:w="70" w:type="dxa"/>
              <w:left w:w="80" w:type="dxa"/>
              <w:bottom w:w="70" w:type="dxa"/>
              <w:right w:w="80" w:type="dxa"/>
            </w:tcMar>
          </w:tcPr>
          <w:p>
            <w:r>
              <w:rPr>
                <w:sz w:val="15"/>
              </w:rPr>
              <w:t>§28; RB-REL-02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REL-02-R06</w:t>
            </w:r>
          </w:p>
        </w:tc>
        <w:tc>
          <w:tcPr>
            <w:tcW w:type="dxa" w:w="1531"/>
            <w:tcMar>
              <w:top w:w="70" w:type="dxa"/>
              <w:left w:w="80" w:type="dxa"/>
              <w:bottom w:w="70" w:type="dxa"/>
              <w:right w:w="80" w:type="dxa"/>
            </w:tcMar>
          </w:tcPr>
          <w:p>
            <w:r>
              <w:rPr>
                <w:sz w:val="15"/>
              </w:rPr>
              <w:t>Observability, Performance, Capacity &amp; FinOps</w:t>
            </w:r>
          </w:p>
        </w:tc>
        <w:tc>
          <w:tcPr>
            <w:tcW w:type="dxa" w:w="1531"/>
            <w:tcMar>
              <w:top w:w="70" w:type="dxa"/>
              <w:left w:w="80" w:type="dxa"/>
              <w:bottom w:w="70" w:type="dxa"/>
              <w:right w:w="80" w:type="dxa"/>
            </w:tcMar>
          </w:tcPr>
          <w:p>
            <w:r>
              <w:rPr>
                <w:sz w:val="15"/>
              </w:rPr>
              <w:t>Cost allocation by tenant, domain, environment, AI model, message, storage, integration and support.</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REL-02</w:t>
            </w:r>
          </w:p>
        </w:tc>
        <w:tc>
          <w:tcPr>
            <w:tcW w:type="dxa" w:w="1531"/>
            <w:tcMar>
              <w:top w:w="70" w:type="dxa"/>
              <w:left w:w="80" w:type="dxa"/>
              <w:bottom w:w="70" w:type="dxa"/>
              <w:right w:w="80" w:type="dxa"/>
            </w:tcMar>
          </w:tcPr>
          <w:p>
            <w:r>
              <w:rPr>
                <w:sz w:val="15"/>
              </w:rPr>
              <w:t>§10.50 REL-02 Implementation Contract; §22/§23/§28</w:t>
            </w:r>
          </w:p>
        </w:tc>
        <w:tc>
          <w:tcPr>
            <w:tcW w:type="dxa" w:w="1531"/>
            <w:tcMar>
              <w:top w:w="70" w:type="dxa"/>
              <w:left w:w="80" w:type="dxa"/>
              <w:bottom w:w="70" w:type="dxa"/>
              <w:right w:w="80" w:type="dxa"/>
            </w:tcMar>
          </w:tcPr>
          <w:p>
            <w:r>
              <w:rPr>
                <w:sz w:val="15"/>
              </w:rPr>
              <w:t>§27; INV-REL-02; API/event contract tests; requirement REL-02-R06</w:t>
            </w:r>
          </w:p>
        </w:tc>
        <w:tc>
          <w:tcPr>
            <w:tcW w:type="dxa" w:w="1531"/>
            <w:tcMar>
              <w:top w:w="70" w:type="dxa"/>
              <w:left w:w="80" w:type="dxa"/>
              <w:bottom w:w="70" w:type="dxa"/>
              <w:right w:w="80" w:type="dxa"/>
            </w:tcMar>
          </w:tcPr>
          <w:p>
            <w:r>
              <w:rPr>
                <w:sz w:val="15"/>
              </w:rPr>
              <w:t>§28; RB-REL-02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REL-02-R07</w:t>
            </w:r>
          </w:p>
        </w:tc>
        <w:tc>
          <w:tcPr>
            <w:tcW w:type="dxa" w:w="1531"/>
            <w:tcMar>
              <w:top w:w="70" w:type="dxa"/>
              <w:left w:w="80" w:type="dxa"/>
              <w:bottom w:w="70" w:type="dxa"/>
              <w:right w:w="80" w:type="dxa"/>
            </w:tcMar>
          </w:tcPr>
          <w:p>
            <w:r>
              <w:rPr>
                <w:sz w:val="15"/>
              </w:rPr>
              <w:t>Observability, Performance, Capacity &amp; FinOps</w:t>
            </w:r>
          </w:p>
        </w:tc>
        <w:tc>
          <w:tcPr>
            <w:tcW w:type="dxa" w:w="1531"/>
            <w:tcMar>
              <w:top w:w="70" w:type="dxa"/>
              <w:left w:w="80" w:type="dxa"/>
              <w:bottom w:w="70" w:type="dxa"/>
              <w:right w:w="80" w:type="dxa"/>
            </w:tcMar>
          </w:tcPr>
          <w:p>
            <w:r>
              <w:rPr>
                <w:sz w:val="15"/>
              </w:rPr>
              <w:t>Budgets, anomaly alerts, unit economics, margin by plan and cost optimization backlog.</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REL-02</w:t>
            </w:r>
          </w:p>
        </w:tc>
        <w:tc>
          <w:tcPr>
            <w:tcW w:type="dxa" w:w="1531"/>
            <w:tcMar>
              <w:top w:w="70" w:type="dxa"/>
              <w:left w:w="80" w:type="dxa"/>
              <w:bottom w:w="70" w:type="dxa"/>
              <w:right w:w="80" w:type="dxa"/>
            </w:tcMar>
          </w:tcPr>
          <w:p>
            <w:r>
              <w:rPr>
                <w:sz w:val="15"/>
              </w:rPr>
              <w:t>§10.50 REL-02 Implementation Contract; §22/§23/§28</w:t>
            </w:r>
          </w:p>
        </w:tc>
        <w:tc>
          <w:tcPr>
            <w:tcW w:type="dxa" w:w="1531"/>
            <w:tcMar>
              <w:top w:w="70" w:type="dxa"/>
              <w:left w:w="80" w:type="dxa"/>
              <w:bottom w:w="70" w:type="dxa"/>
              <w:right w:w="80" w:type="dxa"/>
            </w:tcMar>
          </w:tcPr>
          <w:p>
            <w:r>
              <w:rPr>
                <w:sz w:val="15"/>
              </w:rPr>
              <w:t>§27; INV-REL-02; API/event contract tests; requirement REL-02-R07</w:t>
            </w:r>
          </w:p>
        </w:tc>
        <w:tc>
          <w:tcPr>
            <w:tcW w:type="dxa" w:w="1531"/>
            <w:tcMar>
              <w:top w:w="70" w:type="dxa"/>
              <w:left w:w="80" w:type="dxa"/>
              <w:bottom w:w="70" w:type="dxa"/>
              <w:right w:w="80" w:type="dxa"/>
            </w:tcMar>
          </w:tcPr>
          <w:p>
            <w:r>
              <w:rPr>
                <w:sz w:val="15"/>
              </w:rPr>
              <w:t>§28; RB-REL-02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REL-02-R08</w:t>
            </w:r>
          </w:p>
        </w:tc>
        <w:tc>
          <w:tcPr>
            <w:tcW w:type="dxa" w:w="1531"/>
            <w:tcMar>
              <w:top w:w="70" w:type="dxa"/>
              <w:left w:w="80" w:type="dxa"/>
              <w:bottom w:w="70" w:type="dxa"/>
              <w:right w:w="80" w:type="dxa"/>
            </w:tcMar>
          </w:tcPr>
          <w:p>
            <w:r>
              <w:rPr>
                <w:sz w:val="15"/>
              </w:rPr>
              <w:t>Observability, Performance, Capacity &amp; FinOps</w:t>
            </w:r>
          </w:p>
        </w:tc>
        <w:tc>
          <w:tcPr>
            <w:tcW w:type="dxa" w:w="1531"/>
            <w:tcMar>
              <w:top w:w="70" w:type="dxa"/>
              <w:left w:w="80" w:type="dxa"/>
              <w:bottom w:w="70" w:type="dxa"/>
              <w:right w:w="80" w:type="dxa"/>
            </w:tcMar>
          </w:tcPr>
          <w:p>
            <w:r>
              <w:rPr>
                <w:sz w:val="15"/>
              </w:rPr>
              <w:t>Operational dashboards and alert routing with ownership, runbook and escalation.</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REL-02</w:t>
            </w:r>
          </w:p>
        </w:tc>
        <w:tc>
          <w:tcPr>
            <w:tcW w:type="dxa" w:w="1531"/>
            <w:tcMar>
              <w:top w:w="70" w:type="dxa"/>
              <w:left w:w="80" w:type="dxa"/>
              <w:bottom w:w="70" w:type="dxa"/>
              <w:right w:w="80" w:type="dxa"/>
            </w:tcMar>
          </w:tcPr>
          <w:p>
            <w:r>
              <w:rPr>
                <w:sz w:val="15"/>
              </w:rPr>
              <w:t>§10.50 REL-02 Implementation Contract; §22/§23/§28</w:t>
            </w:r>
          </w:p>
        </w:tc>
        <w:tc>
          <w:tcPr>
            <w:tcW w:type="dxa" w:w="1531"/>
            <w:tcMar>
              <w:top w:w="70" w:type="dxa"/>
              <w:left w:w="80" w:type="dxa"/>
              <w:bottom w:w="70" w:type="dxa"/>
              <w:right w:w="80" w:type="dxa"/>
            </w:tcMar>
          </w:tcPr>
          <w:p>
            <w:r>
              <w:rPr>
                <w:sz w:val="15"/>
              </w:rPr>
              <w:t>§27; INV-REL-02; API/event contract tests; requirement REL-02-R08</w:t>
            </w:r>
          </w:p>
        </w:tc>
        <w:tc>
          <w:tcPr>
            <w:tcW w:type="dxa" w:w="1531"/>
            <w:tcMar>
              <w:top w:w="70" w:type="dxa"/>
              <w:left w:w="80" w:type="dxa"/>
              <w:bottom w:w="70" w:type="dxa"/>
              <w:right w:w="80" w:type="dxa"/>
            </w:tcMar>
          </w:tcPr>
          <w:p>
            <w:r>
              <w:rPr>
                <w:sz w:val="15"/>
              </w:rPr>
              <w:t>§28; RB-REL-02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LIF-01-R01</w:t>
            </w:r>
          </w:p>
        </w:tc>
        <w:tc>
          <w:tcPr>
            <w:tcW w:type="dxa" w:w="1531"/>
            <w:tcMar>
              <w:top w:w="70" w:type="dxa"/>
              <w:left w:w="80" w:type="dxa"/>
              <w:bottom w:w="70" w:type="dxa"/>
              <w:right w:w="80" w:type="dxa"/>
            </w:tcMar>
          </w:tcPr>
          <w:p>
            <w:r>
              <w:rPr>
                <w:sz w:val="15"/>
              </w:rPr>
              <w:t>Onboarding, Implementation &amp; Go-live Readiness</w:t>
            </w:r>
          </w:p>
        </w:tc>
        <w:tc>
          <w:tcPr>
            <w:tcW w:type="dxa" w:w="1531"/>
            <w:tcMar>
              <w:top w:w="70" w:type="dxa"/>
              <w:left w:w="80" w:type="dxa"/>
              <w:bottom w:w="70" w:type="dxa"/>
              <w:right w:w="80" w:type="dxa"/>
            </w:tcMar>
          </w:tcPr>
          <w:p>
            <w:r>
              <w:rPr>
                <w:sz w:val="15"/>
              </w:rPr>
              <w:t>Guided setup for organization, brands, locations, legal entities, regional settings and administrators.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Pilot</w:t>
            </w:r>
          </w:p>
        </w:tc>
        <w:tc>
          <w:tcPr>
            <w:tcW w:type="dxa" w:w="1531"/>
            <w:tcMar>
              <w:top w:w="70" w:type="dxa"/>
              <w:left w:w="80" w:type="dxa"/>
              <w:bottom w:w="70" w:type="dxa"/>
              <w:right w:w="80" w:type="dxa"/>
            </w:tcMar>
          </w:tcPr>
          <w:p>
            <w:r>
              <w:rPr>
                <w:sz w:val="15"/>
              </w:rPr>
              <w:t>LIF-01</w:t>
            </w:r>
          </w:p>
        </w:tc>
        <w:tc>
          <w:tcPr>
            <w:tcW w:type="dxa" w:w="1531"/>
            <w:tcMar>
              <w:top w:w="70" w:type="dxa"/>
              <w:left w:w="80" w:type="dxa"/>
              <w:bottom w:w="70" w:type="dxa"/>
              <w:right w:w="80" w:type="dxa"/>
            </w:tcMar>
          </w:tcPr>
          <w:p>
            <w:r>
              <w:rPr>
                <w:sz w:val="15"/>
              </w:rPr>
              <w:t>§10.51 LIF-01 Implementation Contract; §25</w:t>
            </w:r>
          </w:p>
        </w:tc>
        <w:tc>
          <w:tcPr>
            <w:tcW w:type="dxa" w:w="1531"/>
            <w:tcMar>
              <w:top w:w="70" w:type="dxa"/>
              <w:left w:w="80" w:type="dxa"/>
              <w:bottom w:w="70" w:type="dxa"/>
              <w:right w:w="80" w:type="dxa"/>
            </w:tcMar>
          </w:tcPr>
          <w:p>
            <w:r>
              <w:rPr>
                <w:sz w:val="15"/>
              </w:rPr>
              <w:t>§27; INV-LIF-01; API/event contract tests; requirement LIF-01-R01</w:t>
            </w:r>
          </w:p>
        </w:tc>
        <w:tc>
          <w:tcPr>
            <w:tcW w:type="dxa" w:w="1531"/>
            <w:tcMar>
              <w:top w:w="70" w:type="dxa"/>
              <w:left w:w="80" w:type="dxa"/>
              <w:bottom w:w="70" w:type="dxa"/>
              <w:right w:w="80" w:type="dxa"/>
            </w:tcMar>
          </w:tcPr>
          <w:p>
            <w:r>
              <w:rPr>
                <w:sz w:val="15"/>
              </w:rPr>
              <w:t>§28; RB-LIF-01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LIF-01-R02</w:t>
            </w:r>
          </w:p>
        </w:tc>
        <w:tc>
          <w:tcPr>
            <w:tcW w:type="dxa" w:w="1531"/>
            <w:tcMar>
              <w:top w:w="70" w:type="dxa"/>
              <w:left w:w="80" w:type="dxa"/>
              <w:bottom w:w="70" w:type="dxa"/>
              <w:right w:w="80" w:type="dxa"/>
            </w:tcMar>
          </w:tcPr>
          <w:p>
            <w:r>
              <w:rPr>
                <w:sz w:val="15"/>
              </w:rPr>
              <w:t>Onboarding, Implementation &amp; Go-live Readiness</w:t>
            </w:r>
          </w:p>
        </w:tc>
        <w:tc>
          <w:tcPr>
            <w:tcW w:type="dxa" w:w="1531"/>
            <w:tcMar>
              <w:top w:w="70" w:type="dxa"/>
              <w:left w:w="80" w:type="dxa"/>
              <w:bottom w:w="70" w:type="dxa"/>
              <w:right w:w="80" w:type="dxa"/>
            </w:tcMar>
          </w:tcPr>
          <w:p>
            <w:r>
              <w:rPr>
                <w:sz w:val="15"/>
              </w:rPr>
              <w:t>Configure plans, catalog, pricing, tax, payment, access, schedule, staff, roles, documents, communications and apps.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Pilot</w:t>
            </w:r>
          </w:p>
        </w:tc>
        <w:tc>
          <w:tcPr>
            <w:tcW w:type="dxa" w:w="1531"/>
            <w:tcMar>
              <w:top w:w="70" w:type="dxa"/>
              <w:left w:w="80" w:type="dxa"/>
              <w:bottom w:w="70" w:type="dxa"/>
              <w:right w:w="80" w:type="dxa"/>
            </w:tcMar>
          </w:tcPr>
          <w:p>
            <w:r>
              <w:rPr>
                <w:sz w:val="15"/>
              </w:rPr>
              <w:t>LIF-01</w:t>
            </w:r>
          </w:p>
        </w:tc>
        <w:tc>
          <w:tcPr>
            <w:tcW w:type="dxa" w:w="1531"/>
            <w:tcMar>
              <w:top w:w="70" w:type="dxa"/>
              <w:left w:w="80" w:type="dxa"/>
              <w:bottom w:w="70" w:type="dxa"/>
              <w:right w:w="80" w:type="dxa"/>
            </w:tcMar>
          </w:tcPr>
          <w:p>
            <w:r>
              <w:rPr>
                <w:sz w:val="15"/>
              </w:rPr>
              <w:t>§10.51 LIF-01 Implementation Contract; §25</w:t>
            </w:r>
          </w:p>
        </w:tc>
        <w:tc>
          <w:tcPr>
            <w:tcW w:type="dxa" w:w="1531"/>
            <w:tcMar>
              <w:top w:w="70" w:type="dxa"/>
              <w:left w:w="80" w:type="dxa"/>
              <w:bottom w:w="70" w:type="dxa"/>
              <w:right w:w="80" w:type="dxa"/>
            </w:tcMar>
          </w:tcPr>
          <w:p>
            <w:r>
              <w:rPr>
                <w:sz w:val="15"/>
              </w:rPr>
              <w:t>§27; INV-LIF-01; API/event contract tests; requirement LIF-01-R02</w:t>
            </w:r>
          </w:p>
        </w:tc>
        <w:tc>
          <w:tcPr>
            <w:tcW w:type="dxa" w:w="1531"/>
            <w:tcMar>
              <w:top w:w="70" w:type="dxa"/>
              <w:left w:w="80" w:type="dxa"/>
              <w:bottom w:w="70" w:type="dxa"/>
              <w:right w:w="80" w:type="dxa"/>
            </w:tcMar>
          </w:tcPr>
          <w:p>
            <w:r>
              <w:rPr>
                <w:sz w:val="15"/>
              </w:rPr>
              <w:t>§28; RB-LIF-01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LIF-01-R03</w:t>
            </w:r>
          </w:p>
        </w:tc>
        <w:tc>
          <w:tcPr>
            <w:tcW w:type="dxa" w:w="1531"/>
            <w:tcMar>
              <w:top w:w="70" w:type="dxa"/>
              <w:left w:w="80" w:type="dxa"/>
              <w:bottom w:w="70" w:type="dxa"/>
              <w:right w:w="80" w:type="dxa"/>
            </w:tcMar>
          </w:tcPr>
          <w:p>
            <w:r>
              <w:rPr>
                <w:sz w:val="15"/>
              </w:rPr>
              <w:t>Onboarding, Implementation &amp; Go-live Readiness</w:t>
            </w:r>
          </w:p>
        </w:tc>
        <w:tc>
          <w:tcPr>
            <w:tcW w:type="dxa" w:w="1531"/>
            <w:tcMar>
              <w:top w:w="70" w:type="dxa"/>
              <w:left w:w="80" w:type="dxa"/>
              <w:bottom w:w="70" w:type="dxa"/>
              <w:right w:w="80" w:type="dxa"/>
            </w:tcMar>
          </w:tcPr>
          <w:p>
            <w:r>
              <w:rPr>
                <w:sz w:val="15"/>
              </w:rPr>
              <w:t>Implementation project with checklist, owner, dependency, due date, evidence, risks and readiness score.</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Pilot</w:t>
            </w:r>
          </w:p>
        </w:tc>
        <w:tc>
          <w:tcPr>
            <w:tcW w:type="dxa" w:w="1531"/>
            <w:tcMar>
              <w:top w:w="70" w:type="dxa"/>
              <w:left w:w="80" w:type="dxa"/>
              <w:bottom w:w="70" w:type="dxa"/>
              <w:right w:w="80" w:type="dxa"/>
            </w:tcMar>
          </w:tcPr>
          <w:p>
            <w:r>
              <w:rPr>
                <w:sz w:val="15"/>
              </w:rPr>
              <w:t>LIF-01</w:t>
            </w:r>
          </w:p>
        </w:tc>
        <w:tc>
          <w:tcPr>
            <w:tcW w:type="dxa" w:w="1531"/>
            <w:tcMar>
              <w:top w:w="70" w:type="dxa"/>
              <w:left w:w="80" w:type="dxa"/>
              <w:bottom w:w="70" w:type="dxa"/>
              <w:right w:w="80" w:type="dxa"/>
            </w:tcMar>
          </w:tcPr>
          <w:p>
            <w:r>
              <w:rPr>
                <w:sz w:val="15"/>
              </w:rPr>
              <w:t>§10.51 LIF-01 Implementation Contract; §25</w:t>
            </w:r>
          </w:p>
        </w:tc>
        <w:tc>
          <w:tcPr>
            <w:tcW w:type="dxa" w:w="1531"/>
            <w:tcMar>
              <w:top w:w="70" w:type="dxa"/>
              <w:left w:w="80" w:type="dxa"/>
              <w:bottom w:w="70" w:type="dxa"/>
              <w:right w:w="80" w:type="dxa"/>
            </w:tcMar>
          </w:tcPr>
          <w:p>
            <w:r>
              <w:rPr>
                <w:sz w:val="15"/>
              </w:rPr>
              <w:t>§27; INV-LIF-01; API/event contract tests; requirement LIF-01-R03</w:t>
            </w:r>
          </w:p>
        </w:tc>
        <w:tc>
          <w:tcPr>
            <w:tcW w:type="dxa" w:w="1531"/>
            <w:tcMar>
              <w:top w:w="70" w:type="dxa"/>
              <w:left w:w="80" w:type="dxa"/>
              <w:bottom w:w="70" w:type="dxa"/>
              <w:right w:w="80" w:type="dxa"/>
            </w:tcMar>
          </w:tcPr>
          <w:p>
            <w:r>
              <w:rPr>
                <w:sz w:val="15"/>
              </w:rPr>
              <w:t>§28; RB-LIF-01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LIF-01-R04</w:t>
            </w:r>
          </w:p>
        </w:tc>
        <w:tc>
          <w:tcPr>
            <w:tcW w:type="dxa" w:w="1531"/>
            <w:tcMar>
              <w:top w:w="70" w:type="dxa"/>
              <w:left w:w="80" w:type="dxa"/>
              <w:bottom w:w="70" w:type="dxa"/>
              <w:right w:w="80" w:type="dxa"/>
            </w:tcMar>
          </w:tcPr>
          <w:p>
            <w:r>
              <w:rPr>
                <w:sz w:val="15"/>
              </w:rPr>
              <w:t>Onboarding, Implementation &amp; Go-live Readiness</w:t>
            </w:r>
          </w:p>
        </w:tc>
        <w:tc>
          <w:tcPr>
            <w:tcW w:type="dxa" w:w="1531"/>
            <w:tcMar>
              <w:top w:w="70" w:type="dxa"/>
              <w:left w:w="80" w:type="dxa"/>
              <w:bottom w:w="70" w:type="dxa"/>
              <w:right w:w="80" w:type="dxa"/>
            </w:tcMar>
          </w:tcPr>
          <w:p>
            <w:r>
              <w:rPr>
                <w:sz w:val="15"/>
              </w:rPr>
              <w:t>Data migration waves, validation, reconciliation, sign-off and cutover plan.</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Pilot</w:t>
            </w:r>
          </w:p>
        </w:tc>
        <w:tc>
          <w:tcPr>
            <w:tcW w:type="dxa" w:w="1531"/>
            <w:tcMar>
              <w:top w:w="70" w:type="dxa"/>
              <w:left w:w="80" w:type="dxa"/>
              <w:bottom w:w="70" w:type="dxa"/>
              <w:right w:w="80" w:type="dxa"/>
            </w:tcMar>
          </w:tcPr>
          <w:p>
            <w:r>
              <w:rPr>
                <w:sz w:val="15"/>
              </w:rPr>
              <w:t>LIF-01</w:t>
            </w:r>
          </w:p>
        </w:tc>
        <w:tc>
          <w:tcPr>
            <w:tcW w:type="dxa" w:w="1531"/>
            <w:tcMar>
              <w:top w:w="70" w:type="dxa"/>
              <w:left w:w="80" w:type="dxa"/>
              <w:bottom w:w="70" w:type="dxa"/>
              <w:right w:w="80" w:type="dxa"/>
            </w:tcMar>
          </w:tcPr>
          <w:p>
            <w:r>
              <w:rPr>
                <w:sz w:val="15"/>
              </w:rPr>
              <w:t>§10.51 LIF-01 Implementation Contract; §25</w:t>
            </w:r>
          </w:p>
        </w:tc>
        <w:tc>
          <w:tcPr>
            <w:tcW w:type="dxa" w:w="1531"/>
            <w:tcMar>
              <w:top w:w="70" w:type="dxa"/>
              <w:left w:w="80" w:type="dxa"/>
              <w:bottom w:w="70" w:type="dxa"/>
              <w:right w:w="80" w:type="dxa"/>
            </w:tcMar>
          </w:tcPr>
          <w:p>
            <w:r>
              <w:rPr>
                <w:sz w:val="15"/>
              </w:rPr>
              <w:t>§27; INV-LIF-01; API/event contract tests; requirement LIF-01-R04</w:t>
            </w:r>
          </w:p>
        </w:tc>
        <w:tc>
          <w:tcPr>
            <w:tcW w:type="dxa" w:w="1531"/>
            <w:tcMar>
              <w:top w:w="70" w:type="dxa"/>
              <w:left w:w="80" w:type="dxa"/>
              <w:bottom w:w="70" w:type="dxa"/>
              <w:right w:w="80" w:type="dxa"/>
            </w:tcMar>
          </w:tcPr>
          <w:p>
            <w:r>
              <w:rPr>
                <w:sz w:val="15"/>
              </w:rPr>
              <w:t>§28; RB-LIF-01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LIF-01-R05</w:t>
            </w:r>
          </w:p>
        </w:tc>
        <w:tc>
          <w:tcPr>
            <w:tcW w:type="dxa" w:w="1531"/>
            <w:tcMar>
              <w:top w:w="70" w:type="dxa"/>
              <w:left w:w="80" w:type="dxa"/>
              <w:bottom w:w="70" w:type="dxa"/>
              <w:right w:w="80" w:type="dxa"/>
            </w:tcMar>
          </w:tcPr>
          <w:p>
            <w:r>
              <w:rPr>
                <w:sz w:val="15"/>
              </w:rPr>
              <w:t>Onboarding, Implementation &amp; Go-live Readiness</w:t>
            </w:r>
          </w:p>
        </w:tc>
        <w:tc>
          <w:tcPr>
            <w:tcW w:type="dxa" w:w="1531"/>
            <w:tcMar>
              <w:top w:w="70" w:type="dxa"/>
              <w:left w:w="80" w:type="dxa"/>
              <w:bottom w:w="70" w:type="dxa"/>
              <w:right w:w="80" w:type="dxa"/>
            </w:tcMar>
          </w:tcPr>
          <w:p>
            <w:r>
              <w:rPr>
                <w:sz w:val="15"/>
              </w:rPr>
              <w:t>Hardware installation, network test, device enrollment, offline validation and operational rehearsal.</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Pilot</w:t>
            </w:r>
          </w:p>
        </w:tc>
        <w:tc>
          <w:tcPr>
            <w:tcW w:type="dxa" w:w="1531"/>
            <w:tcMar>
              <w:top w:w="70" w:type="dxa"/>
              <w:left w:w="80" w:type="dxa"/>
              <w:bottom w:w="70" w:type="dxa"/>
              <w:right w:w="80" w:type="dxa"/>
            </w:tcMar>
          </w:tcPr>
          <w:p>
            <w:r>
              <w:rPr>
                <w:sz w:val="15"/>
              </w:rPr>
              <w:t>LIF-01</w:t>
            </w:r>
          </w:p>
        </w:tc>
        <w:tc>
          <w:tcPr>
            <w:tcW w:type="dxa" w:w="1531"/>
            <w:tcMar>
              <w:top w:w="70" w:type="dxa"/>
              <w:left w:w="80" w:type="dxa"/>
              <w:bottom w:w="70" w:type="dxa"/>
              <w:right w:w="80" w:type="dxa"/>
            </w:tcMar>
          </w:tcPr>
          <w:p>
            <w:r>
              <w:rPr>
                <w:sz w:val="15"/>
              </w:rPr>
              <w:t>§10.51 LIF-01 Implementation Contract; §25</w:t>
            </w:r>
          </w:p>
        </w:tc>
        <w:tc>
          <w:tcPr>
            <w:tcW w:type="dxa" w:w="1531"/>
            <w:tcMar>
              <w:top w:w="70" w:type="dxa"/>
              <w:left w:w="80" w:type="dxa"/>
              <w:bottom w:w="70" w:type="dxa"/>
              <w:right w:w="80" w:type="dxa"/>
            </w:tcMar>
          </w:tcPr>
          <w:p>
            <w:r>
              <w:rPr>
                <w:sz w:val="15"/>
              </w:rPr>
              <w:t>§27; INV-LIF-01; API/event contract tests; requirement LIF-01-R05</w:t>
            </w:r>
          </w:p>
        </w:tc>
        <w:tc>
          <w:tcPr>
            <w:tcW w:type="dxa" w:w="1531"/>
            <w:tcMar>
              <w:top w:w="70" w:type="dxa"/>
              <w:left w:w="80" w:type="dxa"/>
              <w:bottom w:w="70" w:type="dxa"/>
              <w:right w:w="80" w:type="dxa"/>
            </w:tcMar>
          </w:tcPr>
          <w:p>
            <w:r>
              <w:rPr>
                <w:sz w:val="15"/>
              </w:rPr>
              <w:t>§28; RB-LIF-01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LIF-01-R06</w:t>
            </w:r>
          </w:p>
        </w:tc>
        <w:tc>
          <w:tcPr>
            <w:tcW w:type="dxa" w:w="1531"/>
            <w:tcMar>
              <w:top w:w="70" w:type="dxa"/>
              <w:left w:w="80" w:type="dxa"/>
              <w:bottom w:w="70" w:type="dxa"/>
              <w:right w:w="80" w:type="dxa"/>
            </w:tcMar>
          </w:tcPr>
          <w:p>
            <w:r>
              <w:rPr>
                <w:sz w:val="15"/>
              </w:rPr>
              <w:t>Onboarding, Implementation &amp; Go-live Readiness</w:t>
            </w:r>
          </w:p>
        </w:tc>
        <w:tc>
          <w:tcPr>
            <w:tcW w:type="dxa" w:w="1531"/>
            <w:tcMar>
              <w:top w:w="70" w:type="dxa"/>
              <w:left w:w="80" w:type="dxa"/>
              <w:bottom w:w="70" w:type="dxa"/>
              <w:right w:w="80" w:type="dxa"/>
            </w:tcMar>
          </w:tcPr>
          <w:p>
            <w:r>
              <w:rPr>
                <w:sz w:val="15"/>
              </w:rPr>
              <w:t>Role-based training, sandbox practice, knowledge paths and certification.</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Pilot</w:t>
            </w:r>
          </w:p>
        </w:tc>
        <w:tc>
          <w:tcPr>
            <w:tcW w:type="dxa" w:w="1531"/>
            <w:tcMar>
              <w:top w:w="70" w:type="dxa"/>
              <w:left w:w="80" w:type="dxa"/>
              <w:bottom w:w="70" w:type="dxa"/>
              <w:right w:w="80" w:type="dxa"/>
            </w:tcMar>
          </w:tcPr>
          <w:p>
            <w:r>
              <w:rPr>
                <w:sz w:val="15"/>
              </w:rPr>
              <w:t>LIF-01</w:t>
            </w:r>
          </w:p>
        </w:tc>
        <w:tc>
          <w:tcPr>
            <w:tcW w:type="dxa" w:w="1531"/>
            <w:tcMar>
              <w:top w:w="70" w:type="dxa"/>
              <w:left w:w="80" w:type="dxa"/>
              <w:bottom w:w="70" w:type="dxa"/>
              <w:right w:w="80" w:type="dxa"/>
            </w:tcMar>
          </w:tcPr>
          <w:p>
            <w:r>
              <w:rPr>
                <w:sz w:val="15"/>
              </w:rPr>
              <w:t>§10.51 LIF-01 Implementation Contract; §25</w:t>
            </w:r>
          </w:p>
        </w:tc>
        <w:tc>
          <w:tcPr>
            <w:tcW w:type="dxa" w:w="1531"/>
            <w:tcMar>
              <w:top w:w="70" w:type="dxa"/>
              <w:left w:w="80" w:type="dxa"/>
              <w:bottom w:w="70" w:type="dxa"/>
              <w:right w:w="80" w:type="dxa"/>
            </w:tcMar>
          </w:tcPr>
          <w:p>
            <w:r>
              <w:rPr>
                <w:sz w:val="15"/>
              </w:rPr>
              <w:t>§27; INV-LIF-01; API/event contract tests; requirement LIF-01-R06</w:t>
            </w:r>
          </w:p>
        </w:tc>
        <w:tc>
          <w:tcPr>
            <w:tcW w:type="dxa" w:w="1531"/>
            <w:tcMar>
              <w:top w:w="70" w:type="dxa"/>
              <w:left w:w="80" w:type="dxa"/>
              <w:bottom w:w="70" w:type="dxa"/>
              <w:right w:w="80" w:type="dxa"/>
            </w:tcMar>
          </w:tcPr>
          <w:p>
            <w:r>
              <w:rPr>
                <w:sz w:val="15"/>
              </w:rPr>
              <w:t>§28; RB-LIF-01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LIF-01-R07</w:t>
            </w:r>
          </w:p>
        </w:tc>
        <w:tc>
          <w:tcPr>
            <w:tcW w:type="dxa" w:w="1531"/>
            <w:tcMar>
              <w:top w:w="70" w:type="dxa"/>
              <w:left w:w="80" w:type="dxa"/>
              <w:bottom w:w="70" w:type="dxa"/>
              <w:right w:w="80" w:type="dxa"/>
            </w:tcMar>
          </w:tcPr>
          <w:p>
            <w:r>
              <w:rPr>
                <w:sz w:val="15"/>
              </w:rPr>
              <w:t>Onboarding, Implementation &amp; Go-live Readiness</w:t>
            </w:r>
          </w:p>
        </w:tc>
        <w:tc>
          <w:tcPr>
            <w:tcW w:type="dxa" w:w="1531"/>
            <w:tcMar>
              <w:top w:w="70" w:type="dxa"/>
              <w:left w:w="80" w:type="dxa"/>
              <w:bottom w:w="70" w:type="dxa"/>
              <w:right w:w="80" w:type="dxa"/>
            </w:tcMar>
          </w:tcPr>
          <w:p>
            <w:r>
              <w:rPr>
                <w:sz w:val="15"/>
              </w:rPr>
              <w:t>Go-live gate covering data, finance, access, bookings, support, rollback and communication.</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Pilot</w:t>
            </w:r>
          </w:p>
        </w:tc>
        <w:tc>
          <w:tcPr>
            <w:tcW w:type="dxa" w:w="1531"/>
            <w:tcMar>
              <w:top w:w="70" w:type="dxa"/>
              <w:left w:w="80" w:type="dxa"/>
              <w:bottom w:w="70" w:type="dxa"/>
              <w:right w:w="80" w:type="dxa"/>
            </w:tcMar>
          </w:tcPr>
          <w:p>
            <w:r>
              <w:rPr>
                <w:sz w:val="15"/>
              </w:rPr>
              <w:t>LIF-01</w:t>
            </w:r>
          </w:p>
        </w:tc>
        <w:tc>
          <w:tcPr>
            <w:tcW w:type="dxa" w:w="1531"/>
            <w:tcMar>
              <w:top w:w="70" w:type="dxa"/>
              <w:left w:w="80" w:type="dxa"/>
              <w:bottom w:w="70" w:type="dxa"/>
              <w:right w:w="80" w:type="dxa"/>
            </w:tcMar>
          </w:tcPr>
          <w:p>
            <w:r>
              <w:rPr>
                <w:sz w:val="15"/>
              </w:rPr>
              <w:t>§10.51 LIF-01 Implementation Contract; §25</w:t>
            </w:r>
          </w:p>
        </w:tc>
        <w:tc>
          <w:tcPr>
            <w:tcW w:type="dxa" w:w="1531"/>
            <w:tcMar>
              <w:top w:w="70" w:type="dxa"/>
              <w:left w:w="80" w:type="dxa"/>
              <w:bottom w:w="70" w:type="dxa"/>
              <w:right w:w="80" w:type="dxa"/>
            </w:tcMar>
          </w:tcPr>
          <w:p>
            <w:r>
              <w:rPr>
                <w:sz w:val="15"/>
              </w:rPr>
              <w:t>§27; INV-LIF-01; API/event contract tests; requirement LIF-01-R07</w:t>
            </w:r>
          </w:p>
        </w:tc>
        <w:tc>
          <w:tcPr>
            <w:tcW w:type="dxa" w:w="1531"/>
            <w:tcMar>
              <w:top w:w="70" w:type="dxa"/>
              <w:left w:w="80" w:type="dxa"/>
              <w:bottom w:w="70" w:type="dxa"/>
              <w:right w:w="80" w:type="dxa"/>
            </w:tcMar>
          </w:tcPr>
          <w:p>
            <w:r>
              <w:rPr>
                <w:sz w:val="15"/>
              </w:rPr>
              <w:t>§28; RB-LIF-01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LIF-01-R08</w:t>
            </w:r>
          </w:p>
        </w:tc>
        <w:tc>
          <w:tcPr>
            <w:tcW w:type="dxa" w:w="1531"/>
            <w:tcMar>
              <w:top w:w="70" w:type="dxa"/>
              <w:left w:w="80" w:type="dxa"/>
              <w:bottom w:w="70" w:type="dxa"/>
              <w:right w:w="80" w:type="dxa"/>
            </w:tcMar>
          </w:tcPr>
          <w:p>
            <w:r>
              <w:rPr>
                <w:sz w:val="15"/>
              </w:rPr>
              <w:t>Onboarding, Implementation &amp; Go-live Readiness</w:t>
            </w:r>
          </w:p>
        </w:tc>
        <w:tc>
          <w:tcPr>
            <w:tcW w:type="dxa" w:w="1531"/>
            <w:tcMar>
              <w:top w:w="70" w:type="dxa"/>
              <w:left w:w="80" w:type="dxa"/>
              <w:bottom w:w="70" w:type="dxa"/>
              <w:right w:w="80" w:type="dxa"/>
            </w:tcMar>
          </w:tcPr>
          <w:p>
            <w:r>
              <w:rPr>
                <w:sz w:val="15"/>
              </w:rPr>
              <w:t>Hypercare period, issue triage, adoption review and transition to customer success.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Pilot</w:t>
            </w:r>
          </w:p>
        </w:tc>
        <w:tc>
          <w:tcPr>
            <w:tcW w:type="dxa" w:w="1531"/>
            <w:tcMar>
              <w:top w:w="70" w:type="dxa"/>
              <w:left w:w="80" w:type="dxa"/>
              <w:bottom w:w="70" w:type="dxa"/>
              <w:right w:w="80" w:type="dxa"/>
            </w:tcMar>
          </w:tcPr>
          <w:p>
            <w:r>
              <w:rPr>
                <w:sz w:val="15"/>
              </w:rPr>
              <w:t>LIF-01</w:t>
            </w:r>
          </w:p>
        </w:tc>
        <w:tc>
          <w:tcPr>
            <w:tcW w:type="dxa" w:w="1531"/>
            <w:tcMar>
              <w:top w:w="70" w:type="dxa"/>
              <w:left w:w="80" w:type="dxa"/>
              <w:bottom w:w="70" w:type="dxa"/>
              <w:right w:w="80" w:type="dxa"/>
            </w:tcMar>
          </w:tcPr>
          <w:p>
            <w:r>
              <w:rPr>
                <w:sz w:val="15"/>
              </w:rPr>
              <w:t>§10.51 LIF-01 Implementation Contract; §25</w:t>
            </w:r>
          </w:p>
        </w:tc>
        <w:tc>
          <w:tcPr>
            <w:tcW w:type="dxa" w:w="1531"/>
            <w:tcMar>
              <w:top w:w="70" w:type="dxa"/>
              <w:left w:w="80" w:type="dxa"/>
              <w:bottom w:w="70" w:type="dxa"/>
              <w:right w:w="80" w:type="dxa"/>
            </w:tcMar>
          </w:tcPr>
          <w:p>
            <w:r>
              <w:rPr>
                <w:sz w:val="15"/>
              </w:rPr>
              <w:t>§27; INV-LIF-01; API/event contract tests; requirement LIF-01-R08</w:t>
            </w:r>
          </w:p>
        </w:tc>
        <w:tc>
          <w:tcPr>
            <w:tcW w:type="dxa" w:w="1531"/>
            <w:tcMar>
              <w:top w:w="70" w:type="dxa"/>
              <w:left w:w="80" w:type="dxa"/>
              <w:bottom w:w="70" w:type="dxa"/>
              <w:right w:w="80" w:type="dxa"/>
            </w:tcMar>
          </w:tcPr>
          <w:p>
            <w:r>
              <w:rPr>
                <w:sz w:val="15"/>
              </w:rPr>
              <w:t>§28; RB-LIF-01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LIF-02-R01</w:t>
            </w:r>
          </w:p>
        </w:tc>
        <w:tc>
          <w:tcPr>
            <w:tcW w:type="dxa" w:w="1531"/>
            <w:tcMar>
              <w:top w:w="70" w:type="dxa"/>
              <w:left w:w="80" w:type="dxa"/>
              <w:bottom w:w="70" w:type="dxa"/>
              <w:right w:w="80" w:type="dxa"/>
            </w:tcMar>
          </w:tcPr>
          <w:p>
            <w:r>
              <w:rPr>
                <w:sz w:val="15"/>
              </w:rPr>
              <w:t>Migration, Import, Validation &amp; Cutover</w:t>
            </w:r>
          </w:p>
        </w:tc>
        <w:tc>
          <w:tcPr>
            <w:tcW w:type="dxa" w:w="1531"/>
            <w:tcMar>
              <w:top w:w="70" w:type="dxa"/>
              <w:left w:w="80" w:type="dxa"/>
              <w:bottom w:w="70" w:type="dxa"/>
              <w:right w:w="80" w:type="dxa"/>
            </w:tcMar>
          </w:tcPr>
          <w:p>
            <w:r>
              <w:rPr>
                <w:sz w:val="15"/>
              </w:rPr>
              <w:t>Source-specific importers for CSV/Excel and prioritized competitors, plus generic API/file framework.</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Pilot</w:t>
            </w:r>
          </w:p>
        </w:tc>
        <w:tc>
          <w:tcPr>
            <w:tcW w:type="dxa" w:w="1531"/>
            <w:tcMar>
              <w:top w:w="70" w:type="dxa"/>
              <w:left w:w="80" w:type="dxa"/>
              <w:bottom w:w="70" w:type="dxa"/>
              <w:right w:w="80" w:type="dxa"/>
            </w:tcMar>
          </w:tcPr>
          <w:p>
            <w:r>
              <w:rPr>
                <w:sz w:val="15"/>
              </w:rPr>
              <w:t>LIF-02</w:t>
            </w:r>
          </w:p>
        </w:tc>
        <w:tc>
          <w:tcPr>
            <w:tcW w:type="dxa" w:w="1531"/>
            <w:tcMar>
              <w:top w:w="70" w:type="dxa"/>
              <w:left w:w="80" w:type="dxa"/>
              <w:bottom w:w="70" w:type="dxa"/>
              <w:right w:w="80" w:type="dxa"/>
            </w:tcMar>
          </w:tcPr>
          <w:p>
            <w:r>
              <w:rPr>
                <w:sz w:val="15"/>
              </w:rPr>
              <w:t>§10.52 LIF-02 Implementation Contract; §25</w:t>
            </w:r>
          </w:p>
        </w:tc>
        <w:tc>
          <w:tcPr>
            <w:tcW w:type="dxa" w:w="1531"/>
            <w:tcMar>
              <w:top w:w="70" w:type="dxa"/>
              <w:left w:w="80" w:type="dxa"/>
              <w:bottom w:w="70" w:type="dxa"/>
              <w:right w:w="80" w:type="dxa"/>
            </w:tcMar>
          </w:tcPr>
          <w:p>
            <w:r>
              <w:rPr>
                <w:sz w:val="15"/>
              </w:rPr>
              <w:t>§27; INV-LIF-02; API/event contract tests; requirement LIF-02-R01</w:t>
            </w:r>
          </w:p>
        </w:tc>
        <w:tc>
          <w:tcPr>
            <w:tcW w:type="dxa" w:w="1531"/>
            <w:tcMar>
              <w:top w:w="70" w:type="dxa"/>
              <w:left w:w="80" w:type="dxa"/>
              <w:bottom w:w="70" w:type="dxa"/>
              <w:right w:w="80" w:type="dxa"/>
            </w:tcMar>
          </w:tcPr>
          <w:p>
            <w:r>
              <w:rPr>
                <w:sz w:val="15"/>
              </w:rPr>
              <w:t>§28; RB-LIF-02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LIF-02-R02</w:t>
            </w:r>
          </w:p>
        </w:tc>
        <w:tc>
          <w:tcPr>
            <w:tcW w:type="dxa" w:w="1531"/>
            <w:tcMar>
              <w:top w:w="70" w:type="dxa"/>
              <w:left w:w="80" w:type="dxa"/>
              <w:bottom w:w="70" w:type="dxa"/>
              <w:right w:w="80" w:type="dxa"/>
            </w:tcMar>
          </w:tcPr>
          <w:p>
            <w:r>
              <w:rPr>
                <w:sz w:val="15"/>
              </w:rPr>
              <w:t>Migration, Import, Validation &amp; Cutover</w:t>
            </w:r>
          </w:p>
        </w:tc>
        <w:tc>
          <w:tcPr>
            <w:tcW w:type="dxa" w:w="1531"/>
            <w:tcMar>
              <w:top w:w="70" w:type="dxa"/>
              <w:left w:w="80" w:type="dxa"/>
              <w:bottom w:w="70" w:type="dxa"/>
              <w:right w:w="80" w:type="dxa"/>
            </w:tcMar>
          </w:tcPr>
          <w:p>
            <w:r>
              <w:rPr>
                <w:sz w:val="15"/>
              </w:rPr>
              <w:t>Mapping workspace for fields, codes, locations, plans, products, statuses, currencies and identities.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Pilot</w:t>
            </w:r>
          </w:p>
        </w:tc>
        <w:tc>
          <w:tcPr>
            <w:tcW w:type="dxa" w:w="1531"/>
            <w:tcMar>
              <w:top w:w="70" w:type="dxa"/>
              <w:left w:w="80" w:type="dxa"/>
              <w:bottom w:w="70" w:type="dxa"/>
              <w:right w:w="80" w:type="dxa"/>
            </w:tcMar>
          </w:tcPr>
          <w:p>
            <w:r>
              <w:rPr>
                <w:sz w:val="15"/>
              </w:rPr>
              <w:t>LIF-02</w:t>
            </w:r>
          </w:p>
        </w:tc>
        <w:tc>
          <w:tcPr>
            <w:tcW w:type="dxa" w:w="1531"/>
            <w:tcMar>
              <w:top w:w="70" w:type="dxa"/>
              <w:left w:w="80" w:type="dxa"/>
              <w:bottom w:w="70" w:type="dxa"/>
              <w:right w:w="80" w:type="dxa"/>
            </w:tcMar>
          </w:tcPr>
          <w:p>
            <w:r>
              <w:rPr>
                <w:sz w:val="15"/>
              </w:rPr>
              <w:t>§10.52 LIF-02 Implementation Contract; §25</w:t>
            </w:r>
          </w:p>
        </w:tc>
        <w:tc>
          <w:tcPr>
            <w:tcW w:type="dxa" w:w="1531"/>
            <w:tcMar>
              <w:top w:w="70" w:type="dxa"/>
              <w:left w:w="80" w:type="dxa"/>
              <w:bottom w:w="70" w:type="dxa"/>
              <w:right w:w="80" w:type="dxa"/>
            </w:tcMar>
          </w:tcPr>
          <w:p>
            <w:r>
              <w:rPr>
                <w:sz w:val="15"/>
              </w:rPr>
              <w:t>§27; INV-LIF-02; API/event contract tests; requirement LIF-02-R02</w:t>
            </w:r>
          </w:p>
        </w:tc>
        <w:tc>
          <w:tcPr>
            <w:tcW w:type="dxa" w:w="1531"/>
            <w:tcMar>
              <w:top w:w="70" w:type="dxa"/>
              <w:left w:w="80" w:type="dxa"/>
              <w:bottom w:w="70" w:type="dxa"/>
              <w:right w:w="80" w:type="dxa"/>
            </w:tcMar>
          </w:tcPr>
          <w:p>
            <w:r>
              <w:rPr>
                <w:sz w:val="15"/>
              </w:rPr>
              <w:t>§28; RB-LIF-02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LIF-02-R03</w:t>
            </w:r>
          </w:p>
        </w:tc>
        <w:tc>
          <w:tcPr>
            <w:tcW w:type="dxa" w:w="1531"/>
            <w:tcMar>
              <w:top w:w="70" w:type="dxa"/>
              <w:left w:w="80" w:type="dxa"/>
              <w:bottom w:w="70" w:type="dxa"/>
              <w:right w:w="80" w:type="dxa"/>
            </w:tcMar>
          </w:tcPr>
          <w:p>
            <w:r>
              <w:rPr>
                <w:sz w:val="15"/>
              </w:rPr>
              <w:t>Migration, Import, Validation &amp; Cutover</w:t>
            </w:r>
          </w:p>
        </w:tc>
        <w:tc>
          <w:tcPr>
            <w:tcW w:type="dxa" w:w="1531"/>
            <w:tcMar>
              <w:top w:w="70" w:type="dxa"/>
              <w:left w:w="80" w:type="dxa"/>
              <w:bottom w:w="70" w:type="dxa"/>
              <w:right w:w="80" w:type="dxa"/>
            </w:tcMar>
          </w:tcPr>
          <w:p>
            <w:r>
              <w:rPr>
                <w:sz w:val="15"/>
              </w:rPr>
              <w:t>Transformations, normalization, deduplication, defaults and exception queues.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Pilot</w:t>
            </w:r>
          </w:p>
        </w:tc>
        <w:tc>
          <w:tcPr>
            <w:tcW w:type="dxa" w:w="1531"/>
            <w:tcMar>
              <w:top w:w="70" w:type="dxa"/>
              <w:left w:w="80" w:type="dxa"/>
              <w:bottom w:w="70" w:type="dxa"/>
              <w:right w:w="80" w:type="dxa"/>
            </w:tcMar>
          </w:tcPr>
          <w:p>
            <w:r>
              <w:rPr>
                <w:sz w:val="15"/>
              </w:rPr>
              <w:t>LIF-02</w:t>
            </w:r>
          </w:p>
        </w:tc>
        <w:tc>
          <w:tcPr>
            <w:tcW w:type="dxa" w:w="1531"/>
            <w:tcMar>
              <w:top w:w="70" w:type="dxa"/>
              <w:left w:w="80" w:type="dxa"/>
              <w:bottom w:w="70" w:type="dxa"/>
              <w:right w:w="80" w:type="dxa"/>
            </w:tcMar>
          </w:tcPr>
          <w:p>
            <w:r>
              <w:rPr>
                <w:sz w:val="15"/>
              </w:rPr>
              <w:t>§10.52 LIF-02 Implementation Contract; §25</w:t>
            </w:r>
          </w:p>
        </w:tc>
        <w:tc>
          <w:tcPr>
            <w:tcW w:type="dxa" w:w="1531"/>
            <w:tcMar>
              <w:top w:w="70" w:type="dxa"/>
              <w:left w:w="80" w:type="dxa"/>
              <w:bottom w:w="70" w:type="dxa"/>
              <w:right w:w="80" w:type="dxa"/>
            </w:tcMar>
          </w:tcPr>
          <w:p>
            <w:r>
              <w:rPr>
                <w:sz w:val="15"/>
              </w:rPr>
              <w:t>§27; INV-LIF-02; API/event contract tests; requirement LIF-02-R03</w:t>
            </w:r>
          </w:p>
        </w:tc>
        <w:tc>
          <w:tcPr>
            <w:tcW w:type="dxa" w:w="1531"/>
            <w:tcMar>
              <w:top w:w="70" w:type="dxa"/>
              <w:left w:w="80" w:type="dxa"/>
              <w:bottom w:w="70" w:type="dxa"/>
              <w:right w:w="80" w:type="dxa"/>
            </w:tcMar>
          </w:tcPr>
          <w:p>
            <w:r>
              <w:rPr>
                <w:sz w:val="15"/>
              </w:rPr>
              <w:t>§28; RB-LIF-02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LIF-02-R04</w:t>
            </w:r>
          </w:p>
        </w:tc>
        <w:tc>
          <w:tcPr>
            <w:tcW w:type="dxa" w:w="1531"/>
            <w:tcMar>
              <w:top w:w="70" w:type="dxa"/>
              <w:left w:w="80" w:type="dxa"/>
              <w:bottom w:w="70" w:type="dxa"/>
              <w:right w:w="80" w:type="dxa"/>
            </w:tcMar>
          </w:tcPr>
          <w:p>
            <w:r>
              <w:rPr>
                <w:sz w:val="15"/>
              </w:rPr>
              <w:t>Migration, Import, Validation &amp; Cutover</w:t>
            </w:r>
          </w:p>
        </w:tc>
        <w:tc>
          <w:tcPr>
            <w:tcW w:type="dxa" w:w="1531"/>
            <w:tcMar>
              <w:top w:w="70" w:type="dxa"/>
              <w:left w:w="80" w:type="dxa"/>
              <w:bottom w:w="70" w:type="dxa"/>
              <w:right w:w="80" w:type="dxa"/>
            </w:tcMar>
          </w:tcPr>
          <w:p>
            <w:r>
              <w:rPr>
                <w:sz w:val="15"/>
              </w:rPr>
              <w:t>Dry run with counts, financial totals, orphan records, conflicts, invalid data and remediation guidance.</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Pilot</w:t>
            </w:r>
          </w:p>
        </w:tc>
        <w:tc>
          <w:tcPr>
            <w:tcW w:type="dxa" w:w="1531"/>
            <w:tcMar>
              <w:top w:w="70" w:type="dxa"/>
              <w:left w:w="80" w:type="dxa"/>
              <w:bottom w:w="70" w:type="dxa"/>
              <w:right w:w="80" w:type="dxa"/>
            </w:tcMar>
          </w:tcPr>
          <w:p>
            <w:r>
              <w:rPr>
                <w:sz w:val="15"/>
              </w:rPr>
              <w:t>LIF-02</w:t>
            </w:r>
          </w:p>
        </w:tc>
        <w:tc>
          <w:tcPr>
            <w:tcW w:type="dxa" w:w="1531"/>
            <w:tcMar>
              <w:top w:w="70" w:type="dxa"/>
              <w:left w:w="80" w:type="dxa"/>
              <w:bottom w:w="70" w:type="dxa"/>
              <w:right w:w="80" w:type="dxa"/>
            </w:tcMar>
          </w:tcPr>
          <w:p>
            <w:r>
              <w:rPr>
                <w:sz w:val="15"/>
              </w:rPr>
              <w:t>§10.52 LIF-02 Implementation Contract; §25</w:t>
            </w:r>
          </w:p>
        </w:tc>
        <w:tc>
          <w:tcPr>
            <w:tcW w:type="dxa" w:w="1531"/>
            <w:tcMar>
              <w:top w:w="70" w:type="dxa"/>
              <w:left w:w="80" w:type="dxa"/>
              <w:bottom w:w="70" w:type="dxa"/>
              <w:right w:w="80" w:type="dxa"/>
            </w:tcMar>
          </w:tcPr>
          <w:p>
            <w:r>
              <w:rPr>
                <w:sz w:val="15"/>
              </w:rPr>
              <w:t>§27; INV-LIF-02; API/event contract tests; requirement LIF-02-R04</w:t>
            </w:r>
          </w:p>
        </w:tc>
        <w:tc>
          <w:tcPr>
            <w:tcW w:type="dxa" w:w="1531"/>
            <w:tcMar>
              <w:top w:w="70" w:type="dxa"/>
              <w:left w:w="80" w:type="dxa"/>
              <w:bottom w:w="70" w:type="dxa"/>
              <w:right w:w="80" w:type="dxa"/>
            </w:tcMar>
          </w:tcPr>
          <w:p>
            <w:r>
              <w:rPr>
                <w:sz w:val="15"/>
              </w:rPr>
              <w:t>§28; RB-LIF-02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LIF-02-R05</w:t>
            </w:r>
          </w:p>
        </w:tc>
        <w:tc>
          <w:tcPr>
            <w:tcW w:type="dxa" w:w="1531"/>
            <w:tcMar>
              <w:top w:w="70" w:type="dxa"/>
              <w:left w:w="80" w:type="dxa"/>
              <w:bottom w:w="70" w:type="dxa"/>
              <w:right w:w="80" w:type="dxa"/>
            </w:tcMar>
          </w:tcPr>
          <w:p>
            <w:r>
              <w:rPr>
                <w:sz w:val="15"/>
              </w:rPr>
              <w:t>Migration, Import, Validation &amp; Cutover</w:t>
            </w:r>
          </w:p>
        </w:tc>
        <w:tc>
          <w:tcPr>
            <w:tcW w:type="dxa" w:w="1531"/>
            <w:tcMar>
              <w:top w:w="70" w:type="dxa"/>
              <w:left w:w="80" w:type="dxa"/>
              <w:bottom w:w="70" w:type="dxa"/>
              <w:right w:w="80" w:type="dxa"/>
            </w:tcMar>
          </w:tcPr>
          <w:p>
            <w:r>
              <w:rPr>
                <w:sz w:val="15"/>
              </w:rPr>
              <w:t>Migration of members, leads, memberships, balances, credits, invoices, payments, bookings, attendance, programs, notes and documents according to scope.</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Pilot</w:t>
            </w:r>
          </w:p>
        </w:tc>
        <w:tc>
          <w:tcPr>
            <w:tcW w:type="dxa" w:w="1531"/>
            <w:tcMar>
              <w:top w:w="70" w:type="dxa"/>
              <w:left w:w="80" w:type="dxa"/>
              <w:bottom w:w="70" w:type="dxa"/>
              <w:right w:w="80" w:type="dxa"/>
            </w:tcMar>
          </w:tcPr>
          <w:p>
            <w:r>
              <w:rPr>
                <w:sz w:val="15"/>
              </w:rPr>
              <w:t>LIF-02</w:t>
            </w:r>
          </w:p>
        </w:tc>
        <w:tc>
          <w:tcPr>
            <w:tcW w:type="dxa" w:w="1531"/>
            <w:tcMar>
              <w:top w:w="70" w:type="dxa"/>
              <w:left w:w="80" w:type="dxa"/>
              <w:bottom w:w="70" w:type="dxa"/>
              <w:right w:w="80" w:type="dxa"/>
            </w:tcMar>
          </w:tcPr>
          <w:p>
            <w:r>
              <w:rPr>
                <w:sz w:val="15"/>
              </w:rPr>
              <w:t>§10.52 LIF-02 Implementation Contract; §25</w:t>
            </w:r>
          </w:p>
        </w:tc>
        <w:tc>
          <w:tcPr>
            <w:tcW w:type="dxa" w:w="1531"/>
            <w:tcMar>
              <w:top w:w="70" w:type="dxa"/>
              <w:left w:w="80" w:type="dxa"/>
              <w:bottom w:w="70" w:type="dxa"/>
              <w:right w:w="80" w:type="dxa"/>
            </w:tcMar>
          </w:tcPr>
          <w:p>
            <w:r>
              <w:rPr>
                <w:sz w:val="15"/>
              </w:rPr>
              <w:t>§27; INV-LIF-02; API/event contract tests; requirement LIF-02-R05</w:t>
            </w:r>
          </w:p>
        </w:tc>
        <w:tc>
          <w:tcPr>
            <w:tcW w:type="dxa" w:w="1531"/>
            <w:tcMar>
              <w:top w:w="70" w:type="dxa"/>
              <w:left w:w="80" w:type="dxa"/>
              <w:bottom w:w="70" w:type="dxa"/>
              <w:right w:w="80" w:type="dxa"/>
            </w:tcMar>
          </w:tcPr>
          <w:p>
            <w:r>
              <w:rPr>
                <w:sz w:val="15"/>
              </w:rPr>
              <w:t>§28; RB-LIF-02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LIF-02-R06</w:t>
            </w:r>
          </w:p>
        </w:tc>
        <w:tc>
          <w:tcPr>
            <w:tcW w:type="dxa" w:w="1531"/>
            <w:tcMar>
              <w:top w:w="70" w:type="dxa"/>
              <w:left w:w="80" w:type="dxa"/>
              <w:bottom w:w="70" w:type="dxa"/>
              <w:right w:w="80" w:type="dxa"/>
            </w:tcMar>
          </w:tcPr>
          <w:p>
            <w:r>
              <w:rPr>
                <w:sz w:val="15"/>
              </w:rPr>
              <w:t>Migration, Import, Validation &amp; Cutover</w:t>
            </w:r>
          </w:p>
        </w:tc>
        <w:tc>
          <w:tcPr>
            <w:tcW w:type="dxa" w:w="1531"/>
            <w:tcMar>
              <w:top w:w="70" w:type="dxa"/>
              <w:left w:w="80" w:type="dxa"/>
              <w:bottom w:w="70" w:type="dxa"/>
              <w:right w:w="80" w:type="dxa"/>
            </w:tcMar>
          </w:tcPr>
          <w:p>
            <w:r>
              <w:rPr>
                <w:sz w:val="15"/>
              </w:rPr>
              <w:t>Incremental/delta imports, freeze window, cutover runbook and post-cutover reconciliation.</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Pilot</w:t>
            </w:r>
          </w:p>
        </w:tc>
        <w:tc>
          <w:tcPr>
            <w:tcW w:type="dxa" w:w="1531"/>
            <w:tcMar>
              <w:top w:w="70" w:type="dxa"/>
              <w:left w:w="80" w:type="dxa"/>
              <w:bottom w:w="70" w:type="dxa"/>
              <w:right w:w="80" w:type="dxa"/>
            </w:tcMar>
          </w:tcPr>
          <w:p>
            <w:r>
              <w:rPr>
                <w:sz w:val="15"/>
              </w:rPr>
              <w:t>LIF-02</w:t>
            </w:r>
          </w:p>
        </w:tc>
        <w:tc>
          <w:tcPr>
            <w:tcW w:type="dxa" w:w="1531"/>
            <w:tcMar>
              <w:top w:w="70" w:type="dxa"/>
              <w:left w:w="80" w:type="dxa"/>
              <w:bottom w:w="70" w:type="dxa"/>
              <w:right w:w="80" w:type="dxa"/>
            </w:tcMar>
          </w:tcPr>
          <w:p>
            <w:r>
              <w:rPr>
                <w:sz w:val="15"/>
              </w:rPr>
              <w:t>§10.52 LIF-02 Implementation Contract; §25</w:t>
            </w:r>
          </w:p>
        </w:tc>
        <w:tc>
          <w:tcPr>
            <w:tcW w:type="dxa" w:w="1531"/>
            <w:tcMar>
              <w:top w:w="70" w:type="dxa"/>
              <w:left w:w="80" w:type="dxa"/>
              <w:bottom w:w="70" w:type="dxa"/>
              <w:right w:w="80" w:type="dxa"/>
            </w:tcMar>
          </w:tcPr>
          <w:p>
            <w:r>
              <w:rPr>
                <w:sz w:val="15"/>
              </w:rPr>
              <w:t>§27; INV-LIF-02; API/event contract tests; requirement LIF-02-R06</w:t>
            </w:r>
          </w:p>
        </w:tc>
        <w:tc>
          <w:tcPr>
            <w:tcW w:type="dxa" w:w="1531"/>
            <w:tcMar>
              <w:top w:w="70" w:type="dxa"/>
              <w:left w:w="80" w:type="dxa"/>
              <w:bottom w:w="70" w:type="dxa"/>
              <w:right w:w="80" w:type="dxa"/>
            </w:tcMar>
          </w:tcPr>
          <w:p>
            <w:r>
              <w:rPr>
                <w:sz w:val="15"/>
              </w:rPr>
              <w:t>§28; RB-LIF-02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LIF-02-R07</w:t>
            </w:r>
          </w:p>
        </w:tc>
        <w:tc>
          <w:tcPr>
            <w:tcW w:type="dxa" w:w="1531"/>
            <w:tcMar>
              <w:top w:w="70" w:type="dxa"/>
              <w:left w:w="80" w:type="dxa"/>
              <w:bottom w:w="70" w:type="dxa"/>
              <w:right w:w="80" w:type="dxa"/>
            </w:tcMar>
          </w:tcPr>
          <w:p>
            <w:r>
              <w:rPr>
                <w:sz w:val="15"/>
              </w:rPr>
              <w:t>Migration, Import, Validation &amp; Cutover</w:t>
            </w:r>
          </w:p>
        </w:tc>
        <w:tc>
          <w:tcPr>
            <w:tcW w:type="dxa" w:w="1531"/>
            <w:tcMar>
              <w:top w:w="70" w:type="dxa"/>
              <w:left w:w="80" w:type="dxa"/>
              <w:bottom w:w="70" w:type="dxa"/>
              <w:right w:w="80" w:type="dxa"/>
            </w:tcMar>
          </w:tcPr>
          <w:p>
            <w:r>
              <w:rPr>
                <w:sz w:val="15"/>
              </w:rPr>
              <w:t>Import lineage, source identifiers, evidence, sign-off and controlled rollback.</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Pilot</w:t>
            </w:r>
          </w:p>
        </w:tc>
        <w:tc>
          <w:tcPr>
            <w:tcW w:type="dxa" w:w="1531"/>
            <w:tcMar>
              <w:top w:w="70" w:type="dxa"/>
              <w:left w:w="80" w:type="dxa"/>
              <w:bottom w:w="70" w:type="dxa"/>
              <w:right w:w="80" w:type="dxa"/>
            </w:tcMar>
          </w:tcPr>
          <w:p>
            <w:r>
              <w:rPr>
                <w:sz w:val="15"/>
              </w:rPr>
              <w:t>LIF-02</w:t>
            </w:r>
          </w:p>
        </w:tc>
        <w:tc>
          <w:tcPr>
            <w:tcW w:type="dxa" w:w="1531"/>
            <w:tcMar>
              <w:top w:w="70" w:type="dxa"/>
              <w:left w:w="80" w:type="dxa"/>
              <w:bottom w:w="70" w:type="dxa"/>
              <w:right w:w="80" w:type="dxa"/>
            </w:tcMar>
          </w:tcPr>
          <w:p>
            <w:r>
              <w:rPr>
                <w:sz w:val="15"/>
              </w:rPr>
              <w:t>§10.52 LIF-02 Implementation Contract; §25</w:t>
            </w:r>
          </w:p>
        </w:tc>
        <w:tc>
          <w:tcPr>
            <w:tcW w:type="dxa" w:w="1531"/>
            <w:tcMar>
              <w:top w:w="70" w:type="dxa"/>
              <w:left w:w="80" w:type="dxa"/>
              <w:bottom w:w="70" w:type="dxa"/>
              <w:right w:w="80" w:type="dxa"/>
            </w:tcMar>
          </w:tcPr>
          <w:p>
            <w:r>
              <w:rPr>
                <w:sz w:val="15"/>
              </w:rPr>
              <w:t>§27; INV-LIF-02; API/event contract tests; requirement LIF-02-R07</w:t>
            </w:r>
          </w:p>
        </w:tc>
        <w:tc>
          <w:tcPr>
            <w:tcW w:type="dxa" w:w="1531"/>
            <w:tcMar>
              <w:top w:w="70" w:type="dxa"/>
              <w:left w:w="80" w:type="dxa"/>
              <w:bottom w:w="70" w:type="dxa"/>
              <w:right w:w="80" w:type="dxa"/>
            </w:tcMar>
          </w:tcPr>
          <w:p>
            <w:r>
              <w:rPr>
                <w:sz w:val="15"/>
              </w:rPr>
              <w:t>§28; RB-LIF-02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LIF-02-R08</w:t>
            </w:r>
          </w:p>
        </w:tc>
        <w:tc>
          <w:tcPr>
            <w:tcW w:type="dxa" w:w="1531"/>
            <w:tcMar>
              <w:top w:w="70" w:type="dxa"/>
              <w:left w:w="80" w:type="dxa"/>
              <w:bottom w:w="70" w:type="dxa"/>
              <w:right w:w="80" w:type="dxa"/>
            </w:tcMar>
          </w:tcPr>
          <w:p>
            <w:r>
              <w:rPr>
                <w:sz w:val="15"/>
              </w:rPr>
              <w:t>Migration, Import, Validation &amp; Cutover</w:t>
            </w:r>
          </w:p>
        </w:tc>
        <w:tc>
          <w:tcPr>
            <w:tcW w:type="dxa" w:w="1531"/>
            <w:tcMar>
              <w:top w:w="70" w:type="dxa"/>
              <w:left w:w="80" w:type="dxa"/>
              <w:bottom w:w="70" w:type="dxa"/>
              <w:right w:w="80" w:type="dxa"/>
            </w:tcMar>
          </w:tcPr>
          <w:p>
            <w:r>
              <w:rPr>
                <w:sz w:val="15"/>
              </w:rPr>
              <w:t>Privacy-safe staging, time-limited source files and secure deletion.</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Pilot</w:t>
            </w:r>
          </w:p>
        </w:tc>
        <w:tc>
          <w:tcPr>
            <w:tcW w:type="dxa" w:w="1531"/>
            <w:tcMar>
              <w:top w:w="70" w:type="dxa"/>
              <w:left w:w="80" w:type="dxa"/>
              <w:bottom w:w="70" w:type="dxa"/>
              <w:right w:w="80" w:type="dxa"/>
            </w:tcMar>
          </w:tcPr>
          <w:p>
            <w:r>
              <w:rPr>
                <w:sz w:val="15"/>
              </w:rPr>
              <w:t>LIF-02</w:t>
            </w:r>
          </w:p>
        </w:tc>
        <w:tc>
          <w:tcPr>
            <w:tcW w:type="dxa" w:w="1531"/>
            <w:tcMar>
              <w:top w:w="70" w:type="dxa"/>
              <w:left w:w="80" w:type="dxa"/>
              <w:bottom w:w="70" w:type="dxa"/>
              <w:right w:w="80" w:type="dxa"/>
            </w:tcMar>
          </w:tcPr>
          <w:p>
            <w:r>
              <w:rPr>
                <w:sz w:val="15"/>
              </w:rPr>
              <w:t>§10.52 LIF-02 Implementation Contract; §25</w:t>
            </w:r>
          </w:p>
        </w:tc>
        <w:tc>
          <w:tcPr>
            <w:tcW w:type="dxa" w:w="1531"/>
            <w:tcMar>
              <w:top w:w="70" w:type="dxa"/>
              <w:left w:w="80" w:type="dxa"/>
              <w:bottom w:w="70" w:type="dxa"/>
              <w:right w:w="80" w:type="dxa"/>
            </w:tcMar>
          </w:tcPr>
          <w:p>
            <w:r>
              <w:rPr>
                <w:sz w:val="15"/>
              </w:rPr>
              <w:t>§27; INV-LIF-02; API/event contract tests; requirement LIF-02-R08</w:t>
            </w:r>
          </w:p>
        </w:tc>
        <w:tc>
          <w:tcPr>
            <w:tcW w:type="dxa" w:w="1531"/>
            <w:tcMar>
              <w:top w:w="70" w:type="dxa"/>
              <w:left w:w="80" w:type="dxa"/>
              <w:bottom w:w="70" w:type="dxa"/>
              <w:right w:w="80" w:type="dxa"/>
            </w:tcMar>
          </w:tcPr>
          <w:p>
            <w:r>
              <w:rPr>
                <w:sz w:val="15"/>
              </w:rPr>
              <w:t>§28; RB-LIF-02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LIF-03-R01</w:t>
            </w:r>
          </w:p>
        </w:tc>
        <w:tc>
          <w:tcPr>
            <w:tcW w:type="dxa" w:w="1531"/>
            <w:tcMar>
              <w:top w:w="70" w:type="dxa"/>
              <w:left w:w="80" w:type="dxa"/>
              <w:bottom w:w="70" w:type="dxa"/>
              <w:right w:w="80" w:type="dxa"/>
            </w:tcMar>
          </w:tcPr>
          <w:p>
            <w:r>
              <w:rPr>
                <w:sz w:val="15"/>
              </w:rPr>
              <w:t>Offboarding, Data Portability, Archival &amp; Deletion</w:t>
            </w:r>
          </w:p>
        </w:tc>
        <w:tc>
          <w:tcPr>
            <w:tcW w:type="dxa" w:w="1531"/>
            <w:tcMar>
              <w:top w:w="70" w:type="dxa"/>
              <w:left w:w="80" w:type="dxa"/>
              <w:bottom w:w="70" w:type="dxa"/>
              <w:right w:w="80" w:type="dxa"/>
            </w:tcMar>
          </w:tcPr>
          <w:p>
            <w:r>
              <w:rPr>
                <w:sz w:val="15"/>
              </w:rPr>
              <w:t>Tenant lifecycle from active to past due, suspended, cancelled, read-only, archived and deleted.</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Enterprise</w:t>
            </w:r>
          </w:p>
        </w:tc>
        <w:tc>
          <w:tcPr>
            <w:tcW w:type="dxa" w:w="1531"/>
            <w:tcMar>
              <w:top w:w="70" w:type="dxa"/>
              <w:left w:w="80" w:type="dxa"/>
              <w:bottom w:w="70" w:type="dxa"/>
              <w:right w:w="80" w:type="dxa"/>
            </w:tcMar>
          </w:tcPr>
          <w:p>
            <w:r>
              <w:rPr>
                <w:sz w:val="15"/>
              </w:rPr>
              <w:t>LIF-03</w:t>
            </w:r>
          </w:p>
        </w:tc>
        <w:tc>
          <w:tcPr>
            <w:tcW w:type="dxa" w:w="1531"/>
            <w:tcMar>
              <w:top w:w="70" w:type="dxa"/>
              <w:left w:w="80" w:type="dxa"/>
              <w:bottom w:w="70" w:type="dxa"/>
              <w:right w:w="80" w:type="dxa"/>
            </w:tcMar>
          </w:tcPr>
          <w:p>
            <w:r>
              <w:rPr>
                <w:sz w:val="15"/>
              </w:rPr>
              <w:t>§10.53 LIF-03 Implementation Contract; §25</w:t>
            </w:r>
          </w:p>
        </w:tc>
        <w:tc>
          <w:tcPr>
            <w:tcW w:type="dxa" w:w="1531"/>
            <w:tcMar>
              <w:top w:w="70" w:type="dxa"/>
              <w:left w:w="80" w:type="dxa"/>
              <w:bottom w:w="70" w:type="dxa"/>
              <w:right w:w="80" w:type="dxa"/>
            </w:tcMar>
          </w:tcPr>
          <w:p>
            <w:r>
              <w:rPr>
                <w:sz w:val="15"/>
              </w:rPr>
              <w:t>§27; INV-LIF-03; API/event contract tests; requirement LIF-03-R01</w:t>
            </w:r>
          </w:p>
        </w:tc>
        <w:tc>
          <w:tcPr>
            <w:tcW w:type="dxa" w:w="1531"/>
            <w:tcMar>
              <w:top w:w="70" w:type="dxa"/>
              <w:left w:w="80" w:type="dxa"/>
              <w:bottom w:w="70" w:type="dxa"/>
              <w:right w:w="80" w:type="dxa"/>
            </w:tcMar>
          </w:tcPr>
          <w:p>
            <w:r>
              <w:rPr>
                <w:sz w:val="15"/>
              </w:rPr>
              <w:t>§28; RB-LIF-03</w:t>
            </w:r>
          </w:p>
        </w:tc>
        <w:tc>
          <w:tcPr>
            <w:tcW w:type="dxa" w:w="1531"/>
            <w:tcMar>
              <w:top w:w="70" w:type="dxa"/>
              <w:left w:w="80" w:type="dxa"/>
              <w:bottom w:w="70" w:type="dxa"/>
              <w:right w:w="80" w:type="dxa"/>
            </w:tcMar>
          </w:tcPr>
          <w:p>
            <w:r>
              <w:rPr>
                <w:sz w:val="15"/>
              </w:rPr>
              <w:t>DEFERRED - Enterprise</w:t>
            </w:r>
          </w:p>
        </w:tc>
      </w:tr>
      <w:tr>
        <w:tc>
          <w:tcPr>
            <w:tcW w:type="dxa" w:w="1531"/>
            <w:tcMar>
              <w:top w:w="70" w:type="dxa"/>
              <w:left w:w="80" w:type="dxa"/>
              <w:bottom w:w="70" w:type="dxa"/>
              <w:right w:w="80" w:type="dxa"/>
            </w:tcMar>
          </w:tcPr>
          <w:p>
            <w:r>
              <w:rPr>
                <w:sz w:val="15"/>
              </w:rPr>
              <w:t>LIF-03-R02</w:t>
            </w:r>
          </w:p>
        </w:tc>
        <w:tc>
          <w:tcPr>
            <w:tcW w:type="dxa" w:w="1531"/>
            <w:tcMar>
              <w:top w:w="70" w:type="dxa"/>
              <w:left w:w="80" w:type="dxa"/>
              <w:bottom w:w="70" w:type="dxa"/>
              <w:right w:w="80" w:type="dxa"/>
            </w:tcMar>
          </w:tcPr>
          <w:p>
            <w:r>
              <w:rPr>
                <w:sz w:val="15"/>
              </w:rPr>
              <w:t>Offboarding, Data Portability, Archival &amp; Deletion</w:t>
            </w:r>
          </w:p>
        </w:tc>
        <w:tc>
          <w:tcPr>
            <w:tcW w:type="dxa" w:w="1531"/>
            <w:tcMar>
              <w:top w:w="70" w:type="dxa"/>
              <w:left w:w="80" w:type="dxa"/>
              <w:bottom w:w="70" w:type="dxa"/>
              <w:right w:w="80" w:type="dxa"/>
            </w:tcMar>
          </w:tcPr>
          <w:p>
            <w:r>
              <w:rPr>
                <w:sz w:val="15"/>
              </w:rPr>
              <w:t>Final billing, settlement, refunds, outstanding obligations, device return and credential revocation.</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Enterprise</w:t>
            </w:r>
          </w:p>
        </w:tc>
        <w:tc>
          <w:tcPr>
            <w:tcW w:type="dxa" w:w="1531"/>
            <w:tcMar>
              <w:top w:w="70" w:type="dxa"/>
              <w:left w:w="80" w:type="dxa"/>
              <w:bottom w:w="70" w:type="dxa"/>
              <w:right w:w="80" w:type="dxa"/>
            </w:tcMar>
          </w:tcPr>
          <w:p>
            <w:r>
              <w:rPr>
                <w:sz w:val="15"/>
              </w:rPr>
              <w:t>LIF-03</w:t>
            </w:r>
          </w:p>
        </w:tc>
        <w:tc>
          <w:tcPr>
            <w:tcW w:type="dxa" w:w="1531"/>
            <w:tcMar>
              <w:top w:w="70" w:type="dxa"/>
              <w:left w:w="80" w:type="dxa"/>
              <w:bottom w:w="70" w:type="dxa"/>
              <w:right w:w="80" w:type="dxa"/>
            </w:tcMar>
          </w:tcPr>
          <w:p>
            <w:r>
              <w:rPr>
                <w:sz w:val="15"/>
              </w:rPr>
              <w:t>§10.53 LIF-03 Implementation Contract; §25</w:t>
            </w:r>
          </w:p>
        </w:tc>
        <w:tc>
          <w:tcPr>
            <w:tcW w:type="dxa" w:w="1531"/>
            <w:tcMar>
              <w:top w:w="70" w:type="dxa"/>
              <w:left w:w="80" w:type="dxa"/>
              <w:bottom w:w="70" w:type="dxa"/>
              <w:right w:w="80" w:type="dxa"/>
            </w:tcMar>
          </w:tcPr>
          <w:p>
            <w:r>
              <w:rPr>
                <w:sz w:val="15"/>
              </w:rPr>
              <w:t>§27; INV-LIF-03; API/event contract tests; requirement LIF-03-R02</w:t>
            </w:r>
          </w:p>
        </w:tc>
        <w:tc>
          <w:tcPr>
            <w:tcW w:type="dxa" w:w="1531"/>
            <w:tcMar>
              <w:top w:w="70" w:type="dxa"/>
              <w:left w:w="80" w:type="dxa"/>
              <w:bottom w:w="70" w:type="dxa"/>
              <w:right w:w="80" w:type="dxa"/>
            </w:tcMar>
          </w:tcPr>
          <w:p>
            <w:r>
              <w:rPr>
                <w:sz w:val="15"/>
              </w:rPr>
              <w:t>§28; RB-LIF-03</w:t>
            </w:r>
          </w:p>
        </w:tc>
        <w:tc>
          <w:tcPr>
            <w:tcW w:type="dxa" w:w="1531"/>
            <w:tcMar>
              <w:top w:w="70" w:type="dxa"/>
              <w:left w:w="80" w:type="dxa"/>
              <w:bottom w:w="70" w:type="dxa"/>
              <w:right w:w="80" w:type="dxa"/>
            </w:tcMar>
          </w:tcPr>
          <w:p>
            <w:r>
              <w:rPr>
                <w:sz w:val="15"/>
              </w:rPr>
              <w:t>DEFERRED - Enterprise</w:t>
            </w:r>
          </w:p>
        </w:tc>
      </w:tr>
      <w:tr>
        <w:tc>
          <w:tcPr>
            <w:tcW w:type="dxa" w:w="1531"/>
            <w:tcMar>
              <w:top w:w="70" w:type="dxa"/>
              <w:left w:w="80" w:type="dxa"/>
              <w:bottom w:w="70" w:type="dxa"/>
              <w:right w:w="80" w:type="dxa"/>
            </w:tcMar>
          </w:tcPr>
          <w:p>
            <w:r>
              <w:rPr>
                <w:sz w:val="15"/>
              </w:rPr>
              <w:t>LIF-03-R03</w:t>
            </w:r>
          </w:p>
        </w:tc>
        <w:tc>
          <w:tcPr>
            <w:tcW w:type="dxa" w:w="1531"/>
            <w:tcMar>
              <w:top w:w="70" w:type="dxa"/>
              <w:left w:w="80" w:type="dxa"/>
              <w:bottom w:w="70" w:type="dxa"/>
              <w:right w:w="80" w:type="dxa"/>
            </w:tcMar>
          </w:tcPr>
          <w:p>
            <w:r>
              <w:rPr>
                <w:sz w:val="15"/>
              </w:rPr>
              <w:t>Offboarding, Data Portability, Archival &amp; Deletion</w:t>
            </w:r>
          </w:p>
        </w:tc>
        <w:tc>
          <w:tcPr>
            <w:tcW w:type="dxa" w:w="1531"/>
            <w:tcMar>
              <w:top w:w="70" w:type="dxa"/>
              <w:left w:w="80" w:type="dxa"/>
              <w:bottom w:w="70" w:type="dxa"/>
              <w:right w:w="80" w:type="dxa"/>
            </w:tcMar>
          </w:tcPr>
          <w:p>
            <w:r>
              <w:rPr>
                <w:sz w:val="15"/>
              </w:rPr>
              <w:t>Structured export for members, contracts, payments, invoices, attendance, bookings, training, nutrition, messages and audit according to rights.</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Enterprise</w:t>
            </w:r>
          </w:p>
        </w:tc>
        <w:tc>
          <w:tcPr>
            <w:tcW w:type="dxa" w:w="1531"/>
            <w:tcMar>
              <w:top w:w="70" w:type="dxa"/>
              <w:left w:w="80" w:type="dxa"/>
              <w:bottom w:w="70" w:type="dxa"/>
              <w:right w:w="80" w:type="dxa"/>
            </w:tcMar>
          </w:tcPr>
          <w:p>
            <w:r>
              <w:rPr>
                <w:sz w:val="15"/>
              </w:rPr>
              <w:t>LIF-03</w:t>
            </w:r>
          </w:p>
        </w:tc>
        <w:tc>
          <w:tcPr>
            <w:tcW w:type="dxa" w:w="1531"/>
            <w:tcMar>
              <w:top w:w="70" w:type="dxa"/>
              <w:left w:w="80" w:type="dxa"/>
              <w:bottom w:w="70" w:type="dxa"/>
              <w:right w:w="80" w:type="dxa"/>
            </w:tcMar>
          </w:tcPr>
          <w:p>
            <w:r>
              <w:rPr>
                <w:sz w:val="15"/>
              </w:rPr>
              <w:t>§10.53 LIF-03 Implementation Contract; §25</w:t>
            </w:r>
          </w:p>
        </w:tc>
        <w:tc>
          <w:tcPr>
            <w:tcW w:type="dxa" w:w="1531"/>
            <w:tcMar>
              <w:top w:w="70" w:type="dxa"/>
              <w:left w:w="80" w:type="dxa"/>
              <w:bottom w:w="70" w:type="dxa"/>
              <w:right w:w="80" w:type="dxa"/>
            </w:tcMar>
          </w:tcPr>
          <w:p>
            <w:r>
              <w:rPr>
                <w:sz w:val="15"/>
              </w:rPr>
              <w:t>§27; INV-LIF-03; API/event contract tests; requirement LIF-03-R03</w:t>
            </w:r>
          </w:p>
        </w:tc>
        <w:tc>
          <w:tcPr>
            <w:tcW w:type="dxa" w:w="1531"/>
            <w:tcMar>
              <w:top w:w="70" w:type="dxa"/>
              <w:left w:w="80" w:type="dxa"/>
              <w:bottom w:w="70" w:type="dxa"/>
              <w:right w:w="80" w:type="dxa"/>
            </w:tcMar>
          </w:tcPr>
          <w:p>
            <w:r>
              <w:rPr>
                <w:sz w:val="15"/>
              </w:rPr>
              <w:t>§28; RB-LIF-03</w:t>
            </w:r>
          </w:p>
        </w:tc>
        <w:tc>
          <w:tcPr>
            <w:tcW w:type="dxa" w:w="1531"/>
            <w:tcMar>
              <w:top w:w="70" w:type="dxa"/>
              <w:left w:w="80" w:type="dxa"/>
              <w:bottom w:w="70" w:type="dxa"/>
              <w:right w:w="80" w:type="dxa"/>
            </w:tcMar>
          </w:tcPr>
          <w:p>
            <w:r>
              <w:rPr>
                <w:sz w:val="15"/>
              </w:rPr>
              <w:t>DEFERRED - Enterprise</w:t>
            </w:r>
          </w:p>
        </w:tc>
      </w:tr>
      <w:tr>
        <w:tc>
          <w:tcPr>
            <w:tcW w:type="dxa" w:w="1531"/>
            <w:tcMar>
              <w:top w:w="70" w:type="dxa"/>
              <w:left w:w="80" w:type="dxa"/>
              <w:bottom w:w="70" w:type="dxa"/>
              <w:right w:w="80" w:type="dxa"/>
            </w:tcMar>
          </w:tcPr>
          <w:p>
            <w:r>
              <w:rPr>
                <w:sz w:val="15"/>
              </w:rPr>
              <w:t>LIF-03-R04</w:t>
            </w:r>
          </w:p>
        </w:tc>
        <w:tc>
          <w:tcPr>
            <w:tcW w:type="dxa" w:w="1531"/>
            <w:tcMar>
              <w:top w:w="70" w:type="dxa"/>
              <w:left w:w="80" w:type="dxa"/>
              <w:bottom w:w="70" w:type="dxa"/>
              <w:right w:w="80" w:type="dxa"/>
            </w:tcMar>
          </w:tcPr>
          <w:p>
            <w:r>
              <w:rPr>
                <w:sz w:val="15"/>
              </w:rPr>
              <w:t>Offboarding, Data Portability, Archival &amp; Deletion</w:t>
            </w:r>
          </w:p>
        </w:tc>
        <w:tc>
          <w:tcPr>
            <w:tcW w:type="dxa" w:w="1531"/>
            <w:tcMar>
              <w:top w:w="70" w:type="dxa"/>
              <w:left w:w="80" w:type="dxa"/>
              <w:bottom w:w="70" w:type="dxa"/>
              <w:right w:w="80" w:type="dxa"/>
            </w:tcMar>
          </w:tcPr>
          <w:p>
            <w:r>
              <w:rPr>
                <w:sz w:val="15"/>
              </w:rPr>
              <w:t>Export manifest, schema, checksums, encryption, expiry and delivery audit.</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Enterprise</w:t>
            </w:r>
          </w:p>
        </w:tc>
        <w:tc>
          <w:tcPr>
            <w:tcW w:type="dxa" w:w="1531"/>
            <w:tcMar>
              <w:top w:w="70" w:type="dxa"/>
              <w:left w:w="80" w:type="dxa"/>
              <w:bottom w:w="70" w:type="dxa"/>
              <w:right w:w="80" w:type="dxa"/>
            </w:tcMar>
          </w:tcPr>
          <w:p>
            <w:r>
              <w:rPr>
                <w:sz w:val="15"/>
              </w:rPr>
              <w:t>LIF-03</w:t>
            </w:r>
          </w:p>
        </w:tc>
        <w:tc>
          <w:tcPr>
            <w:tcW w:type="dxa" w:w="1531"/>
            <w:tcMar>
              <w:top w:w="70" w:type="dxa"/>
              <w:left w:w="80" w:type="dxa"/>
              <w:bottom w:w="70" w:type="dxa"/>
              <w:right w:w="80" w:type="dxa"/>
            </w:tcMar>
          </w:tcPr>
          <w:p>
            <w:r>
              <w:rPr>
                <w:sz w:val="15"/>
              </w:rPr>
              <w:t>§10.53 LIF-03 Implementation Contract; §25</w:t>
            </w:r>
          </w:p>
        </w:tc>
        <w:tc>
          <w:tcPr>
            <w:tcW w:type="dxa" w:w="1531"/>
            <w:tcMar>
              <w:top w:w="70" w:type="dxa"/>
              <w:left w:w="80" w:type="dxa"/>
              <w:bottom w:w="70" w:type="dxa"/>
              <w:right w:w="80" w:type="dxa"/>
            </w:tcMar>
          </w:tcPr>
          <w:p>
            <w:r>
              <w:rPr>
                <w:sz w:val="15"/>
              </w:rPr>
              <w:t>§27; INV-LIF-03; API/event contract tests; requirement LIF-03-R04</w:t>
            </w:r>
          </w:p>
        </w:tc>
        <w:tc>
          <w:tcPr>
            <w:tcW w:type="dxa" w:w="1531"/>
            <w:tcMar>
              <w:top w:w="70" w:type="dxa"/>
              <w:left w:w="80" w:type="dxa"/>
              <w:bottom w:w="70" w:type="dxa"/>
              <w:right w:w="80" w:type="dxa"/>
            </w:tcMar>
          </w:tcPr>
          <w:p>
            <w:r>
              <w:rPr>
                <w:sz w:val="15"/>
              </w:rPr>
              <w:t>§28; RB-LIF-03</w:t>
            </w:r>
          </w:p>
        </w:tc>
        <w:tc>
          <w:tcPr>
            <w:tcW w:type="dxa" w:w="1531"/>
            <w:tcMar>
              <w:top w:w="70" w:type="dxa"/>
              <w:left w:w="80" w:type="dxa"/>
              <w:bottom w:w="70" w:type="dxa"/>
              <w:right w:w="80" w:type="dxa"/>
            </w:tcMar>
          </w:tcPr>
          <w:p>
            <w:r>
              <w:rPr>
                <w:sz w:val="15"/>
              </w:rPr>
              <w:t>DEFERRED - Enterprise</w:t>
            </w:r>
          </w:p>
        </w:tc>
      </w:tr>
      <w:tr>
        <w:tc>
          <w:tcPr>
            <w:tcW w:type="dxa" w:w="1531"/>
            <w:tcMar>
              <w:top w:w="70" w:type="dxa"/>
              <w:left w:w="80" w:type="dxa"/>
              <w:bottom w:w="70" w:type="dxa"/>
              <w:right w:w="80" w:type="dxa"/>
            </w:tcMar>
          </w:tcPr>
          <w:p>
            <w:r>
              <w:rPr>
                <w:sz w:val="15"/>
              </w:rPr>
              <w:t>LIF-03-R05</w:t>
            </w:r>
          </w:p>
        </w:tc>
        <w:tc>
          <w:tcPr>
            <w:tcW w:type="dxa" w:w="1531"/>
            <w:tcMar>
              <w:top w:w="70" w:type="dxa"/>
              <w:left w:w="80" w:type="dxa"/>
              <w:bottom w:w="70" w:type="dxa"/>
              <w:right w:w="80" w:type="dxa"/>
            </w:tcMar>
          </w:tcPr>
          <w:p>
            <w:r>
              <w:rPr>
                <w:sz w:val="15"/>
              </w:rPr>
              <w:t>Offboarding, Data Portability, Archival &amp; Deletion</w:t>
            </w:r>
          </w:p>
        </w:tc>
        <w:tc>
          <w:tcPr>
            <w:tcW w:type="dxa" w:w="1531"/>
            <w:tcMar>
              <w:top w:w="70" w:type="dxa"/>
              <w:left w:w="80" w:type="dxa"/>
              <w:bottom w:w="70" w:type="dxa"/>
              <w:right w:w="80" w:type="dxa"/>
            </w:tcMar>
          </w:tcPr>
          <w:p>
            <w:r>
              <w:rPr>
                <w:sz w:val="15"/>
              </w:rPr>
              <w:t>Retention by data class, legal hold, archive tier, restoration authorization and deletion schedule.</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Enterprise</w:t>
            </w:r>
          </w:p>
        </w:tc>
        <w:tc>
          <w:tcPr>
            <w:tcW w:type="dxa" w:w="1531"/>
            <w:tcMar>
              <w:top w:w="70" w:type="dxa"/>
              <w:left w:w="80" w:type="dxa"/>
              <w:bottom w:w="70" w:type="dxa"/>
              <w:right w:w="80" w:type="dxa"/>
            </w:tcMar>
          </w:tcPr>
          <w:p>
            <w:r>
              <w:rPr>
                <w:sz w:val="15"/>
              </w:rPr>
              <w:t>LIF-03</w:t>
            </w:r>
          </w:p>
        </w:tc>
        <w:tc>
          <w:tcPr>
            <w:tcW w:type="dxa" w:w="1531"/>
            <w:tcMar>
              <w:top w:w="70" w:type="dxa"/>
              <w:left w:w="80" w:type="dxa"/>
              <w:bottom w:w="70" w:type="dxa"/>
              <w:right w:w="80" w:type="dxa"/>
            </w:tcMar>
          </w:tcPr>
          <w:p>
            <w:r>
              <w:rPr>
                <w:sz w:val="15"/>
              </w:rPr>
              <w:t>§10.53 LIF-03 Implementation Contract; §25</w:t>
            </w:r>
          </w:p>
        </w:tc>
        <w:tc>
          <w:tcPr>
            <w:tcW w:type="dxa" w:w="1531"/>
            <w:tcMar>
              <w:top w:w="70" w:type="dxa"/>
              <w:left w:w="80" w:type="dxa"/>
              <w:bottom w:w="70" w:type="dxa"/>
              <w:right w:w="80" w:type="dxa"/>
            </w:tcMar>
          </w:tcPr>
          <w:p>
            <w:r>
              <w:rPr>
                <w:sz w:val="15"/>
              </w:rPr>
              <w:t>§27; INV-LIF-03; API/event contract tests; requirement LIF-03-R05</w:t>
            </w:r>
          </w:p>
        </w:tc>
        <w:tc>
          <w:tcPr>
            <w:tcW w:type="dxa" w:w="1531"/>
            <w:tcMar>
              <w:top w:w="70" w:type="dxa"/>
              <w:left w:w="80" w:type="dxa"/>
              <w:bottom w:w="70" w:type="dxa"/>
              <w:right w:w="80" w:type="dxa"/>
            </w:tcMar>
          </w:tcPr>
          <w:p>
            <w:r>
              <w:rPr>
                <w:sz w:val="15"/>
              </w:rPr>
              <w:t>§28; RB-LIF-03</w:t>
            </w:r>
          </w:p>
        </w:tc>
        <w:tc>
          <w:tcPr>
            <w:tcW w:type="dxa" w:w="1531"/>
            <w:tcMar>
              <w:top w:w="70" w:type="dxa"/>
              <w:left w:w="80" w:type="dxa"/>
              <w:bottom w:w="70" w:type="dxa"/>
              <w:right w:w="80" w:type="dxa"/>
            </w:tcMar>
          </w:tcPr>
          <w:p>
            <w:r>
              <w:rPr>
                <w:sz w:val="15"/>
              </w:rPr>
              <w:t>DEFERRED - Enterprise</w:t>
            </w:r>
          </w:p>
        </w:tc>
      </w:tr>
      <w:tr>
        <w:tc>
          <w:tcPr>
            <w:tcW w:type="dxa" w:w="1531"/>
            <w:tcMar>
              <w:top w:w="70" w:type="dxa"/>
              <w:left w:w="80" w:type="dxa"/>
              <w:bottom w:w="70" w:type="dxa"/>
              <w:right w:w="80" w:type="dxa"/>
            </w:tcMar>
          </w:tcPr>
          <w:p>
            <w:r>
              <w:rPr>
                <w:sz w:val="15"/>
              </w:rPr>
              <w:t>LIF-03-R06</w:t>
            </w:r>
          </w:p>
        </w:tc>
        <w:tc>
          <w:tcPr>
            <w:tcW w:type="dxa" w:w="1531"/>
            <w:tcMar>
              <w:top w:w="70" w:type="dxa"/>
              <w:left w:w="80" w:type="dxa"/>
              <w:bottom w:w="70" w:type="dxa"/>
              <w:right w:w="80" w:type="dxa"/>
            </w:tcMar>
          </w:tcPr>
          <w:p>
            <w:r>
              <w:rPr>
                <w:sz w:val="15"/>
              </w:rPr>
              <w:t>Offboarding, Data Portability, Archival &amp; Deletion</w:t>
            </w:r>
          </w:p>
        </w:tc>
        <w:tc>
          <w:tcPr>
            <w:tcW w:type="dxa" w:w="1531"/>
            <w:tcMar>
              <w:top w:w="70" w:type="dxa"/>
              <w:left w:w="80" w:type="dxa"/>
              <w:bottom w:w="70" w:type="dxa"/>
              <w:right w:w="80" w:type="dxa"/>
            </w:tcMar>
          </w:tcPr>
          <w:p>
            <w:r>
              <w:rPr>
                <w:sz w:val="15"/>
              </w:rPr>
              <w:t>Integration uninstall, webhook shutdown, secret destruction, domain release and app-store transition.</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Enterprise</w:t>
            </w:r>
          </w:p>
        </w:tc>
        <w:tc>
          <w:tcPr>
            <w:tcW w:type="dxa" w:w="1531"/>
            <w:tcMar>
              <w:top w:w="70" w:type="dxa"/>
              <w:left w:w="80" w:type="dxa"/>
              <w:bottom w:w="70" w:type="dxa"/>
              <w:right w:w="80" w:type="dxa"/>
            </w:tcMar>
          </w:tcPr>
          <w:p>
            <w:r>
              <w:rPr>
                <w:sz w:val="15"/>
              </w:rPr>
              <w:t>LIF-03</w:t>
            </w:r>
          </w:p>
        </w:tc>
        <w:tc>
          <w:tcPr>
            <w:tcW w:type="dxa" w:w="1531"/>
            <w:tcMar>
              <w:top w:w="70" w:type="dxa"/>
              <w:left w:w="80" w:type="dxa"/>
              <w:bottom w:w="70" w:type="dxa"/>
              <w:right w:w="80" w:type="dxa"/>
            </w:tcMar>
          </w:tcPr>
          <w:p>
            <w:r>
              <w:rPr>
                <w:sz w:val="15"/>
              </w:rPr>
              <w:t>§10.53 LIF-03 Implementation Contract; §25</w:t>
            </w:r>
          </w:p>
        </w:tc>
        <w:tc>
          <w:tcPr>
            <w:tcW w:type="dxa" w:w="1531"/>
            <w:tcMar>
              <w:top w:w="70" w:type="dxa"/>
              <w:left w:w="80" w:type="dxa"/>
              <w:bottom w:w="70" w:type="dxa"/>
              <w:right w:w="80" w:type="dxa"/>
            </w:tcMar>
          </w:tcPr>
          <w:p>
            <w:r>
              <w:rPr>
                <w:sz w:val="15"/>
              </w:rPr>
              <w:t>§27; INV-LIF-03; API/event contract tests; requirement LIF-03-R06</w:t>
            </w:r>
          </w:p>
        </w:tc>
        <w:tc>
          <w:tcPr>
            <w:tcW w:type="dxa" w:w="1531"/>
            <w:tcMar>
              <w:top w:w="70" w:type="dxa"/>
              <w:left w:w="80" w:type="dxa"/>
              <w:bottom w:w="70" w:type="dxa"/>
              <w:right w:w="80" w:type="dxa"/>
            </w:tcMar>
          </w:tcPr>
          <w:p>
            <w:r>
              <w:rPr>
                <w:sz w:val="15"/>
              </w:rPr>
              <w:t>§28; RB-LIF-03</w:t>
            </w:r>
          </w:p>
        </w:tc>
        <w:tc>
          <w:tcPr>
            <w:tcW w:type="dxa" w:w="1531"/>
            <w:tcMar>
              <w:top w:w="70" w:type="dxa"/>
              <w:left w:w="80" w:type="dxa"/>
              <w:bottom w:w="70" w:type="dxa"/>
              <w:right w:w="80" w:type="dxa"/>
            </w:tcMar>
          </w:tcPr>
          <w:p>
            <w:r>
              <w:rPr>
                <w:sz w:val="15"/>
              </w:rPr>
              <w:t>DEFERRED - Enterprise</w:t>
            </w:r>
          </w:p>
        </w:tc>
      </w:tr>
      <w:tr>
        <w:tc>
          <w:tcPr>
            <w:tcW w:type="dxa" w:w="1531"/>
            <w:tcMar>
              <w:top w:w="70" w:type="dxa"/>
              <w:left w:w="80" w:type="dxa"/>
              <w:bottom w:w="70" w:type="dxa"/>
              <w:right w:w="80" w:type="dxa"/>
            </w:tcMar>
          </w:tcPr>
          <w:p>
            <w:r>
              <w:rPr>
                <w:sz w:val="15"/>
              </w:rPr>
              <w:t>LIF-03-R07</w:t>
            </w:r>
          </w:p>
        </w:tc>
        <w:tc>
          <w:tcPr>
            <w:tcW w:type="dxa" w:w="1531"/>
            <w:tcMar>
              <w:top w:w="70" w:type="dxa"/>
              <w:left w:w="80" w:type="dxa"/>
              <w:bottom w:w="70" w:type="dxa"/>
              <w:right w:w="80" w:type="dxa"/>
            </w:tcMar>
          </w:tcPr>
          <w:p>
            <w:r>
              <w:rPr>
                <w:sz w:val="15"/>
              </w:rPr>
              <w:t>Offboarding, Data Portability, Archival &amp; Deletion</w:t>
            </w:r>
          </w:p>
        </w:tc>
        <w:tc>
          <w:tcPr>
            <w:tcW w:type="dxa" w:w="1531"/>
            <w:tcMar>
              <w:top w:w="70" w:type="dxa"/>
              <w:left w:w="80" w:type="dxa"/>
              <w:bottom w:w="70" w:type="dxa"/>
              <w:right w:w="80" w:type="dxa"/>
            </w:tcMar>
          </w:tcPr>
          <w:p>
            <w:r>
              <w:rPr>
                <w:sz w:val="15"/>
              </w:rPr>
              <w:t>Member-level account deletion/export coordinated across tenant and platform obligations.</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Enterprise</w:t>
            </w:r>
          </w:p>
        </w:tc>
        <w:tc>
          <w:tcPr>
            <w:tcW w:type="dxa" w:w="1531"/>
            <w:tcMar>
              <w:top w:w="70" w:type="dxa"/>
              <w:left w:w="80" w:type="dxa"/>
              <w:bottom w:w="70" w:type="dxa"/>
              <w:right w:w="80" w:type="dxa"/>
            </w:tcMar>
          </w:tcPr>
          <w:p>
            <w:r>
              <w:rPr>
                <w:sz w:val="15"/>
              </w:rPr>
              <w:t>LIF-03</w:t>
            </w:r>
          </w:p>
        </w:tc>
        <w:tc>
          <w:tcPr>
            <w:tcW w:type="dxa" w:w="1531"/>
            <w:tcMar>
              <w:top w:w="70" w:type="dxa"/>
              <w:left w:w="80" w:type="dxa"/>
              <w:bottom w:w="70" w:type="dxa"/>
              <w:right w:w="80" w:type="dxa"/>
            </w:tcMar>
          </w:tcPr>
          <w:p>
            <w:r>
              <w:rPr>
                <w:sz w:val="15"/>
              </w:rPr>
              <w:t>§10.53 LIF-03 Implementation Contract; §25</w:t>
            </w:r>
          </w:p>
        </w:tc>
        <w:tc>
          <w:tcPr>
            <w:tcW w:type="dxa" w:w="1531"/>
            <w:tcMar>
              <w:top w:w="70" w:type="dxa"/>
              <w:left w:w="80" w:type="dxa"/>
              <w:bottom w:w="70" w:type="dxa"/>
              <w:right w:w="80" w:type="dxa"/>
            </w:tcMar>
          </w:tcPr>
          <w:p>
            <w:r>
              <w:rPr>
                <w:sz w:val="15"/>
              </w:rPr>
              <w:t>§27; INV-LIF-03; API/event contract tests; requirement LIF-03-R07</w:t>
            </w:r>
          </w:p>
        </w:tc>
        <w:tc>
          <w:tcPr>
            <w:tcW w:type="dxa" w:w="1531"/>
            <w:tcMar>
              <w:top w:w="70" w:type="dxa"/>
              <w:left w:w="80" w:type="dxa"/>
              <w:bottom w:w="70" w:type="dxa"/>
              <w:right w:w="80" w:type="dxa"/>
            </w:tcMar>
          </w:tcPr>
          <w:p>
            <w:r>
              <w:rPr>
                <w:sz w:val="15"/>
              </w:rPr>
              <w:t>§28; RB-LIF-03</w:t>
            </w:r>
          </w:p>
        </w:tc>
        <w:tc>
          <w:tcPr>
            <w:tcW w:type="dxa" w:w="1531"/>
            <w:tcMar>
              <w:top w:w="70" w:type="dxa"/>
              <w:left w:w="80" w:type="dxa"/>
              <w:bottom w:w="70" w:type="dxa"/>
              <w:right w:w="80" w:type="dxa"/>
            </w:tcMar>
          </w:tcPr>
          <w:p>
            <w:r>
              <w:rPr>
                <w:sz w:val="15"/>
              </w:rPr>
              <w:t>DEFERRED - Enterprise</w:t>
            </w:r>
          </w:p>
        </w:tc>
      </w:tr>
      <w:tr>
        <w:tc>
          <w:tcPr>
            <w:tcW w:type="dxa" w:w="1531"/>
            <w:tcMar>
              <w:top w:w="70" w:type="dxa"/>
              <w:left w:w="80" w:type="dxa"/>
              <w:bottom w:w="70" w:type="dxa"/>
              <w:right w:w="80" w:type="dxa"/>
            </w:tcMar>
          </w:tcPr>
          <w:p>
            <w:r>
              <w:rPr>
                <w:sz w:val="15"/>
              </w:rPr>
              <w:t>LIF-03-R08</w:t>
            </w:r>
          </w:p>
        </w:tc>
        <w:tc>
          <w:tcPr>
            <w:tcW w:type="dxa" w:w="1531"/>
            <w:tcMar>
              <w:top w:w="70" w:type="dxa"/>
              <w:left w:w="80" w:type="dxa"/>
              <w:bottom w:w="70" w:type="dxa"/>
              <w:right w:w="80" w:type="dxa"/>
            </w:tcMar>
          </w:tcPr>
          <w:p>
            <w:r>
              <w:rPr>
                <w:sz w:val="15"/>
              </w:rPr>
              <w:t>Offboarding, Data Portability, Archival &amp; Deletion</w:t>
            </w:r>
          </w:p>
        </w:tc>
        <w:tc>
          <w:tcPr>
            <w:tcW w:type="dxa" w:w="1531"/>
            <w:tcMar>
              <w:top w:w="70" w:type="dxa"/>
              <w:left w:w="80" w:type="dxa"/>
              <w:bottom w:w="70" w:type="dxa"/>
              <w:right w:w="80" w:type="dxa"/>
            </w:tcMar>
          </w:tcPr>
          <w:p>
            <w:r>
              <w:rPr>
                <w:sz w:val="15"/>
              </w:rPr>
              <w:t>Deletion evidence and tombstones preventing unintended recreation or orphaned references.</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Enterprise</w:t>
            </w:r>
          </w:p>
        </w:tc>
        <w:tc>
          <w:tcPr>
            <w:tcW w:type="dxa" w:w="1531"/>
            <w:tcMar>
              <w:top w:w="70" w:type="dxa"/>
              <w:left w:w="80" w:type="dxa"/>
              <w:bottom w:w="70" w:type="dxa"/>
              <w:right w:w="80" w:type="dxa"/>
            </w:tcMar>
          </w:tcPr>
          <w:p>
            <w:r>
              <w:rPr>
                <w:sz w:val="15"/>
              </w:rPr>
              <w:t>LIF-03</w:t>
            </w:r>
          </w:p>
        </w:tc>
        <w:tc>
          <w:tcPr>
            <w:tcW w:type="dxa" w:w="1531"/>
            <w:tcMar>
              <w:top w:w="70" w:type="dxa"/>
              <w:left w:w="80" w:type="dxa"/>
              <w:bottom w:w="70" w:type="dxa"/>
              <w:right w:w="80" w:type="dxa"/>
            </w:tcMar>
          </w:tcPr>
          <w:p>
            <w:r>
              <w:rPr>
                <w:sz w:val="15"/>
              </w:rPr>
              <w:t>§10.53 LIF-03 Implementation Contract; §25</w:t>
            </w:r>
          </w:p>
        </w:tc>
        <w:tc>
          <w:tcPr>
            <w:tcW w:type="dxa" w:w="1531"/>
            <w:tcMar>
              <w:top w:w="70" w:type="dxa"/>
              <w:left w:w="80" w:type="dxa"/>
              <w:bottom w:w="70" w:type="dxa"/>
              <w:right w:w="80" w:type="dxa"/>
            </w:tcMar>
          </w:tcPr>
          <w:p>
            <w:r>
              <w:rPr>
                <w:sz w:val="15"/>
              </w:rPr>
              <w:t>§27; INV-LIF-03; API/event contract tests; requirement LIF-03-R08</w:t>
            </w:r>
          </w:p>
        </w:tc>
        <w:tc>
          <w:tcPr>
            <w:tcW w:type="dxa" w:w="1531"/>
            <w:tcMar>
              <w:top w:w="70" w:type="dxa"/>
              <w:left w:w="80" w:type="dxa"/>
              <w:bottom w:w="70" w:type="dxa"/>
              <w:right w:w="80" w:type="dxa"/>
            </w:tcMar>
          </w:tcPr>
          <w:p>
            <w:r>
              <w:rPr>
                <w:sz w:val="15"/>
              </w:rPr>
              <w:t>§28; RB-LIF-03</w:t>
            </w:r>
          </w:p>
        </w:tc>
        <w:tc>
          <w:tcPr>
            <w:tcW w:type="dxa" w:w="1531"/>
            <w:tcMar>
              <w:top w:w="70" w:type="dxa"/>
              <w:left w:w="80" w:type="dxa"/>
              <w:bottom w:w="70" w:type="dxa"/>
              <w:right w:w="80" w:type="dxa"/>
            </w:tcMar>
          </w:tcPr>
          <w:p>
            <w:r>
              <w:rPr>
                <w:sz w:val="15"/>
              </w:rPr>
              <w:t>DEFERRED - Enterprise</w:t>
            </w:r>
          </w:p>
        </w:tc>
      </w:tr>
      <w:tr>
        <w:tc>
          <w:tcPr>
            <w:tcW w:type="dxa" w:w="1531"/>
            <w:tcMar>
              <w:top w:w="70" w:type="dxa"/>
              <w:left w:w="80" w:type="dxa"/>
              <w:bottom w:w="70" w:type="dxa"/>
              <w:right w:w="80" w:type="dxa"/>
            </w:tcMar>
          </w:tcPr>
          <w:p>
            <w:r>
              <w:rPr>
                <w:sz w:val="15"/>
              </w:rPr>
              <w:t>GOV-01-R01</w:t>
            </w:r>
          </w:p>
        </w:tc>
        <w:tc>
          <w:tcPr>
            <w:tcW w:type="dxa" w:w="1531"/>
            <w:tcMar>
              <w:top w:w="70" w:type="dxa"/>
              <w:left w:w="80" w:type="dxa"/>
              <w:bottom w:w="70" w:type="dxa"/>
              <w:right w:w="80" w:type="dxa"/>
            </w:tcMar>
          </w:tcPr>
          <w:p>
            <w:r>
              <w:rPr>
                <w:sz w:val="15"/>
              </w:rPr>
              <w:t>Quality Engineering, CI/CD, Release &amp; Schema Management</w:t>
            </w:r>
          </w:p>
        </w:tc>
        <w:tc>
          <w:tcPr>
            <w:tcW w:type="dxa" w:w="1531"/>
            <w:tcMar>
              <w:top w:w="70" w:type="dxa"/>
              <w:left w:w="80" w:type="dxa"/>
              <w:bottom w:w="70" w:type="dxa"/>
              <w:right w:w="80" w:type="dxa"/>
            </w:tcMar>
          </w:tcPr>
          <w:p>
            <w:r>
              <w:rPr>
                <w:sz w:val="15"/>
              </w:rPr>
              <w:t>Test pyramid covering unit, component, integration, contract, end-to-end, mobile UI and exploratory testing.</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GOV-01</w:t>
            </w:r>
          </w:p>
        </w:tc>
        <w:tc>
          <w:tcPr>
            <w:tcW w:type="dxa" w:w="1531"/>
            <w:tcMar>
              <w:top w:w="70" w:type="dxa"/>
              <w:left w:w="80" w:type="dxa"/>
              <w:bottom w:w="70" w:type="dxa"/>
              <w:right w:w="80" w:type="dxa"/>
            </w:tcMar>
          </w:tcPr>
          <w:p>
            <w:r>
              <w:rPr>
                <w:sz w:val="15"/>
              </w:rPr>
              <w:t>§10.54 GOV-01 Implementation Contract; §24/§29/§30</w:t>
            </w:r>
          </w:p>
        </w:tc>
        <w:tc>
          <w:tcPr>
            <w:tcW w:type="dxa" w:w="1531"/>
            <w:tcMar>
              <w:top w:w="70" w:type="dxa"/>
              <w:left w:w="80" w:type="dxa"/>
              <w:bottom w:w="70" w:type="dxa"/>
              <w:right w:w="80" w:type="dxa"/>
            </w:tcMar>
          </w:tcPr>
          <w:p>
            <w:r>
              <w:rPr>
                <w:sz w:val="15"/>
              </w:rPr>
              <w:t>§27; INV-GOV-01; API/event contract tests; requirement GOV-01-R01</w:t>
            </w:r>
          </w:p>
        </w:tc>
        <w:tc>
          <w:tcPr>
            <w:tcW w:type="dxa" w:w="1531"/>
            <w:tcMar>
              <w:top w:w="70" w:type="dxa"/>
              <w:left w:w="80" w:type="dxa"/>
              <w:bottom w:w="70" w:type="dxa"/>
              <w:right w:w="80" w:type="dxa"/>
            </w:tcMar>
          </w:tcPr>
          <w:p>
            <w:r>
              <w:rPr>
                <w:sz w:val="15"/>
              </w:rPr>
              <w:t>§28; RB-GOV-01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GOV-01-R02</w:t>
            </w:r>
          </w:p>
        </w:tc>
        <w:tc>
          <w:tcPr>
            <w:tcW w:type="dxa" w:w="1531"/>
            <w:tcMar>
              <w:top w:w="70" w:type="dxa"/>
              <w:left w:w="80" w:type="dxa"/>
              <w:bottom w:w="70" w:type="dxa"/>
              <w:right w:w="80" w:type="dxa"/>
            </w:tcMar>
          </w:tcPr>
          <w:p>
            <w:r>
              <w:rPr>
                <w:sz w:val="15"/>
              </w:rPr>
              <w:t>Quality Engineering, CI/CD, Release &amp; Schema Management</w:t>
            </w:r>
          </w:p>
        </w:tc>
        <w:tc>
          <w:tcPr>
            <w:tcW w:type="dxa" w:w="1531"/>
            <w:tcMar>
              <w:top w:w="70" w:type="dxa"/>
              <w:left w:w="80" w:type="dxa"/>
              <w:bottom w:w="70" w:type="dxa"/>
              <w:right w:w="80" w:type="dxa"/>
            </w:tcMar>
          </w:tcPr>
          <w:p>
            <w:r>
              <w:rPr>
                <w:sz w:val="15"/>
              </w:rPr>
              <w:t>Critical workflow suites for authentication, tenant isolation, membership, booking, payment, ledger, POS, access and migration.</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GOV-01</w:t>
            </w:r>
          </w:p>
        </w:tc>
        <w:tc>
          <w:tcPr>
            <w:tcW w:type="dxa" w:w="1531"/>
            <w:tcMar>
              <w:top w:w="70" w:type="dxa"/>
              <w:left w:w="80" w:type="dxa"/>
              <w:bottom w:w="70" w:type="dxa"/>
              <w:right w:w="80" w:type="dxa"/>
            </w:tcMar>
          </w:tcPr>
          <w:p>
            <w:r>
              <w:rPr>
                <w:sz w:val="15"/>
              </w:rPr>
              <w:t>§10.54 GOV-01 Implementation Contract; §24/§29/§30</w:t>
            </w:r>
          </w:p>
        </w:tc>
        <w:tc>
          <w:tcPr>
            <w:tcW w:type="dxa" w:w="1531"/>
            <w:tcMar>
              <w:top w:w="70" w:type="dxa"/>
              <w:left w:w="80" w:type="dxa"/>
              <w:bottom w:w="70" w:type="dxa"/>
              <w:right w:w="80" w:type="dxa"/>
            </w:tcMar>
          </w:tcPr>
          <w:p>
            <w:r>
              <w:rPr>
                <w:sz w:val="15"/>
              </w:rPr>
              <w:t>§27; INV-GOV-01; API/event contract tests; requirement GOV-01-R02</w:t>
            </w:r>
          </w:p>
        </w:tc>
        <w:tc>
          <w:tcPr>
            <w:tcW w:type="dxa" w:w="1531"/>
            <w:tcMar>
              <w:top w:w="70" w:type="dxa"/>
              <w:left w:w="80" w:type="dxa"/>
              <w:bottom w:w="70" w:type="dxa"/>
              <w:right w:w="80" w:type="dxa"/>
            </w:tcMar>
          </w:tcPr>
          <w:p>
            <w:r>
              <w:rPr>
                <w:sz w:val="15"/>
              </w:rPr>
              <w:t>§28; RB-GOV-01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GOV-01-R03</w:t>
            </w:r>
          </w:p>
        </w:tc>
        <w:tc>
          <w:tcPr>
            <w:tcW w:type="dxa" w:w="1531"/>
            <w:tcMar>
              <w:top w:w="70" w:type="dxa"/>
              <w:left w:w="80" w:type="dxa"/>
              <w:bottom w:w="70" w:type="dxa"/>
              <w:right w:w="80" w:type="dxa"/>
            </w:tcMar>
          </w:tcPr>
          <w:p>
            <w:r>
              <w:rPr>
                <w:sz w:val="15"/>
              </w:rPr>
              <w:t>Quality Engineering, CI/CD, Release &amp; Schema Management</w:t>
            </w:r>
          </w:p>
        </w:tc>
        <w:tc>
          <w:tcPr>
            <w:tcW w:type="dxa" w:w="1531"/>
            <w:tcMar>
              <w:top w:w="70" w:type="dxa"/>
              <w:left w:w="80" w:type="dxa"/>
              <w:bottom w:w="70" w:type="dxa"/>
              <w:right w:w="80" w:type="dxa"/>
            </w:tcMar>
          </w:tcPr>
          <w:p>
            <w:r>
              <w:rPr>
                <w:sz w:val="15"/>
              </w:rPr>
              <w:t>Load, performance, security, accessibility, localization, offline and failure testing.</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GOV-01</w:t>
            </w:r>
          </w:p>
        </w:tc>
        <w:tc>
          <w:tcPr>
            <w:tcW w:type="dxa" w:w="1531"/>
            <w:tcMar>
              <w:top w:w="70" w:type="dxa"/>
              <w:left w:w="80" w:type="dxa"/>
              <w:bottom w:w="70" w:type="dxa"/>
              <w:right w:w="80" w:type="dxa"/>
            </w:tcMar>
          </w:tcPr>
          <w:p>
            <w:r>
              <w:rPr>
                <w:sz w:val="15"/>
              </w:rPr>
              <w:t>§10.54 GOV-01 Implementation Contract; §24/§29/§30</w:t>
            </w:r>
          </w:p>
        </w:tc>
        <w:tc>
          <w:tcPr>
            <w:tcW w:type="dxa" w:w="1531"/>
            <w:tcMar>
              <w:top w:w="70" w:type="dxa"/>
              <w:left w:w="80" w:type="dxa"/>
              <w:bottom w:w="70" w:type="dxa"/>
              <w:right w:w="80" w:type="dxa"/>
            </w:tcMar>
          </w:tcPr>
          <w:p>
            <w:r>
              <w:rPr>
                <w:sz w:val="15"/>
              </w:rPr>
              <w:t>§27; INV-GOV-01; API/event contract tests; requirement GOV-01-R03</w:t>
            </w:r>
          </w:p>
        </w:tc>
        <w:tc>
          <w:tcPr>
            <w:tcW w:type="dxa" w:w="1531"/>
            <w:tcMar>
              <w:top w:w="70" w:type="dxa"/>
              <w:left w:w="80" w:type="dxa"/>
              <w:bottom w:w="70" w:type="dxa"/>
              <w:right w:w="80" w:type="dxa"/>
            </w:tcMar>
          </w:tcPr>
          <w:p>
            <w:r>
              <w:rPr>
                <w:sz w:val="15"/>
              </w:rPr>
              <w:t>§28; RB-GOV-01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GOV-01-R04</w:t>
            </w:r>
          </w:p>
        </w:tc>
        <w:tc>
          <w:tcPr>
            <w:tcW w:type="dxa" w:w="1531"/>
            <w:tcMar>
              <w:top w:w="70" w:type="dxa"/>
              <w:left w:w="80" w:type="dxa"/>
              <w:bottom w:w="70" w:type="dxa"/>
              <w:right w:w="80" w:type="dxa"/>
            </w:tcMar>
          </w:tcPr>
          <w:p>
            <w:r>
              <w:rPr>
                <w:sz w:val="15"/>
              </w:rPr>
              <w:t>Quality Engineering, CI/CD, Release &amp; Schema Management</w:t>
            </w:r>
          </w:p>
        </w:tc>
        <w:tc>
          <w:tcPr>
            <w:tcW w:type="dxa" w:w="1531"/>
            <w:tcMar>
              <w:top w:w="70" w:type="dxa"/>
              <w:left w:w="80" w:type="dxa"/>
              <w:bottom w:w="70" w:type="dxa"/>
              <w:right w:w="80" w:type="dxa"/>
            </w:tcMar>
          </w:tcPr>
          <w:p>
            <w:r>
              <w:rPr>
                <w:sz w:val="15"/>
              </w:rPr>
              <w:t>CI gates for lint, test, vulnerability, schema compatibility, migration safety and artifact signing.</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GOV-01</w:t>
            </w:r>
          </w:p>
        </w:tc>
        <w:tc>
          <w:tcPr>
            <w:tcW w:type="dxa" w:w="1531"/>
            <w:tcMar>
              <w:top w:w="70" w:type="dxa"/>
              <w:left w:w="80" w:type="dxa"/>
              <w:bottom w:w="70" w:type="dxa"/>
              <w:right w:w="80" w:type="dxa"/>
            </w:tcMar>
          </w:tcPr>
          <w:p>
            <w:r>
              <w:rPr>
                <w:sz w:val="15"/>
              </w:rPr>
              <w:t>§10.54 GOV-01 Implementation Contract; §24/§29/§30</w:t>
            </w:r>
          </w:p>
        </w:tc>
        <w:tc>
          <w:tcPr>
            <w:tcW w:type="dxa" w:w="1531"/>
            <w:tcMar>
              <w:top w:w="70" w:type="dxa"/>
              <w:left w:w="80" w:type="dxa"/>
              <w:bottom w:w="70" w:type="dxa"/>
              <w:right w:w="80" w:type="dxa"/>
            </w:tcMar>
          </w:tcPr>
          <w:p>
            <w:r>
              <w:rPr>
                <w:sz w:val="15"/>
              </w:rPr>
              <w:t>§27; INV-GOV-01; API/event contract tests; requirement GOV-01-R04</w:t>
            </w:r>
          </w:p>
        </w:tc>
        <w:tc>
          <w:tcPr>
            <w:tcW w:type="dxa" w:w="1531"/>
            <w:tcMar>
              <w:top w:w="70" w:type="dxa"/>
              <w:left w:w="80" w:type="dxa"/>
              <w:bottom w:w="70" w:type="dxa"/>
              <w:right w:w="80" w:type="dxa"/>
            </w:tcMar>
          </w:tcPr>
          <w:p>
            <w:r>
              <w:rPr>
                <w:sz w:val="15"/>
              </w:rPr>
              <w:t>§28; RB-GOV-01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GOV-01-R05</w:t>
            </w:r>
          </w:p>
        </w:tc>
        <w:tc>
          <w:tcPr>
            <w:tcW w:type="dxa" w:w="1531"/>
            <w:tcMar>
              <w:top w:w="70" w:type="dxa"/>
              <w:left w:w="80" w:type="dxa"/>
              <w:bottom w:w="70" w:type="dxa"/>
              <w:right w:w="80" w:type="dxa"/>
            </w:tcMar>
          </w:tcPr>
          <w:p>
            <w:r>
              <w:rPr>
                <w:sz w:val="15"/>
              </w:rPr>
              <w:t>Quality Engineering, CI/CD, Release &amp; Schema Management</w:t>
            </w:r>
          </w:p>
        </w:tc>
        <w:tc>
          <w:tcPr>
            <w:tcW w:type="dxa" w:w="1531"/>
            <w:tcMar>
              <w:top w:w="70" w:type="dxa"/>
              <w:left w:w="80" w:type="dxa"/>
              <w:bottom w:w="70" w:type="dxa"/>
              <w:right w:w="80" w:type="dxa"/>
            </w:tcMar>
          </w:tcPr>
          <w:p>
            <w:r>
              <w:rPr>
                <w:sz w:val="15"/>
              </w:rPr>
              <w:t>Progressive delivery, canary, feature flags, automated rollback and release evidence.</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GOV-01</w:t>
            </w:r>
          </w:p>
        </w:tc>
        <w:tc>
          <w:tcPr>
            <w:tcW w:type="dxa" w:w="1531"/>
            <w:tcMar>
              <w:top w:w="70" w:type="dxa"/>
              <w:left w:w="80" w:type="dxa"/>
              <w:bottom w:w="70" w:type="dxa"/>
              <w:right w:w="80" w:type="dxa"/>
            </w:tcMar>
          </w:tcPr>
          <w:p>
            <w:r>
              <w:rPr>
                <w:sz w:val="15"/>
              </w:rPr>
              <w:t>§10.54 GOV-01 Implementation Contract; §24/§29/§30</w:t>
            </w:r>
          </w:p>
        </w:tc>
        <w:tc>
          <w:tcPr>
            <w:tcW w:type="dxa" w:w="1531"/>
            <w:tcMar>
              <w:top w:w="70" w:type="dxa"/>
              <w:left w:w="80" w:type="dxa"/>
              <w:bottom w:w="70" w:type="dxa"/>
              <w:right w:w="80" w:type="dxa"/>
            </w:tcMar>
          </w:tcPr>
          <w:p>
            <w:r>
              <w:rPr>
                <w:sz w:val="15"/>
              </w:rPr>
              <w:t>§27; INV-GOV-01; API/event contract tests; requirement GOV-01-R05</w:t>
            </w:r>
          </w:p>
        </w:tc>
        <w:tc>
          <w:tcPr>
            <w:tcW w:type="dxa" w:w="1531"/>
            <w:tcMar>
              <w:top w:w="70" w:type="dxa"/>
              <w:left w:w="80" w:type="dxa"/>
              <w:bottom w:w="70" w:type="dxa"/>
              <w:right w:w="80" w:type="dxa"/>
            </w:tcMar>
          </w:tcPr>
          <w:p>
            <w:r>
              <w:rPr>
                <w:sz w:val="15"/>
              </w:rPr>
              <w:t>§28; RB-GOV-01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GOV-01-R06</w:t>
            </w:r>
          </w:p>
        </w:tc>
        <w:tc>
          <w:tcPr>
            <w:tcW w:type="dxa" w:w="1531"/>
            <w:tcMar>
              <w:top w:w="70" w:type="dxa"/>
              <w:left w:w="80" w:type="dxa"/>
              <w:bottom w:w="70" w:type="dxa"/>
              <w:right w:w="80" w:type="dxa"/>
            </w:tcMar>
          </w:tcPr>
          <w:p>
            <w:r>
              <w:rPr>
                <w:sz w:val="15"/>
              </w:rPr>
              <w:t>Quality Engineering, CI/CD, Release &amp; Schema Management</w:t>
            </w:r>
          </w:p>
        </w:tc>
        <w:tc>
          <w:tcPr>
            <w:tcW w:type="dxa" w:w="1531"/>
            <w:tcMar>
              <w:top w:w="70" w:type="dxa"/>
              <w:left w:w="80" w:type="dxa"/>
              <w:bottom w:w="70" w:type="dxa"/>
              <w:right w:w="80" w:type="dxa"/>
            </w:tcMar>
          </w:tcPr>
          <w:p>
            <w:r>
              <w:rPr>
                <w:sz w:val="15"/>
              </w:rPr>
              <w:t>Backward-compatible database changes, expand-contract pattern, zero-downtime migration and rollback strategy.</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GOV-01</w:t>
            </w:r>
          </w:p>
        </w:tc>
        <w:tc>
          <w:tcPr>
            <w:tcW w:type="dxa" w:w="1531"/>
            <w:tcMar>
              <w:top w:w="70" w:type="dxa"/>
              <w:left w:w="80" w:type="dxa"/>
              <w:bottom w:w="70" w:type="dxa"/>
              <w:right w:w="80" w:type="dxa"/>
            </w:tcMar>
          </w:tcPr>
          <w:p>
            <w:r>
              <w:rPr>
                <w:sz w:val="15"/>
              </w:rPr>
              <w:t>§10.54 GOV-01 Implementation Contract; §24/§29/§30</w:t>
            </w:r>
          </w:p>
        </w:tc>
        <w:tc>
          <w:tcPr>
            <w:tcW w:type="dxa" w:w="1531"/>
            <w:tcMar>
              <w:top w:w="70" w:type="dxa"/>
              <w:left w:w="80" w:type="dxa"/>
              <w:bottom w:w="70" w:type="dxa"/>
              <w:right w:w="80" w:type="dxa"/>
            </w:tcMar>
          </w:tcPr>
          <w:p>
            <w:r>
              <w:rPr>
                <w:sz w:val="15"/>
              </w:rPr>
              <w:t>§27; INV-GOV-01; API/event contract tests; requirement GOV-01-R06</w:t>
            </w:r>
          </w:p>
        </w:tc>
        <w:tc>
          <w:tcPr>
            <w:tcW w:type="dxa" w:w="1531"/>
            <w:tcMar>
              <w:top w:w="70" w:type="dxa"/>
              <w:left w:w="80" w:type="dxa"/>
              <w:bottom w:w="70" w:type="dxa"/>
              <w:right w:w="80" w:type="dxa"/>
            </w:tcMar>
          </w:tcPr>
          <w:p>
            <w:r>
              <w:rPr>
                <w:sz w:val="15"/>
              </w:rPr>
              <w:t>§28; RB-GOV-01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GOV-01-R07</w:t>
            </w:r>
          </w:p>
        </w:tc>
        <w:tc>
          <w:tcPr>
            <w:tcW w:type="dxa" w:w="1531"/>
            <w:tcMar>
              <w:top w:w="70" w:type="dxa"/>
              <w:left w:w="80" w:type="dxa"/>
              <w:bottom w:w="70" w:type="dxa"/>
              <w:right w:w="80" w:type="dxa"/>
            </w:tcMar>
          </w:tcPr>
          <w:p>
            <w:r>
              <w:rPr>
                <w:sz w:val="15"/>
              </w:rPr>
              <w:t>Quality Engineering, CI/CD, Release &amp; Schema Management</w:t>
            </w:r>
          </w:p>
        </w:tc>
        <w:tc>
          <w:tcPr>
            <w:tcW w:type="dxa" w:w="1531"/>
            <w:tcMar>
              <w:top w:w="70" w:type="dxa"/>
              <w:left w:w="80" w:type="dxa"/>
              <w:bottom w:w="70" w:type="dxa"/>
              <w:right w:w="80" w:type="dxa"/>
            </w:tcMar>
          </w:tcPr>
          <w:p>
            <w:r>
              <w:rPr>
                <w:sz w:val="15"/>
              </w:rPr>
              <w:t>Mobile version support policy, store rollout, crash monitoring and remote configuration.</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GOV-01</w:t>
            </w:r>
          </w:p>
        </w:tc>
        <w:tc>
          <w:tcPr>
            <w:tcW w:type="dxa" w:w="1531"/>
            <w:tcMar>
              <w:top w:w="70" w:type="dxa"/>
              <w:left w:w="80" w:type="dxa"/>
              <w:bottom w:w="70" w:type="dxa"/>
              <w:right w:w="80" w:type="dxa"/>
            </w:tcMar>
          </w:tcPr>
          <w:p>
            <w:r>
              <w:rPr>
                <w:sz w:val="15"/>
              </w:rPr>
              <w:t>§10.54 GOV-01 Implementation Contract; §24/§29/§30</w:t>
            </w:r>
          </w:p>
        </w:tc>
        <w:tc>
          <w:tcPr>
            <w:tcW w:type="dxa" w:w="1531"/>
            <w:tcMar>
              <w:top w:w="70" w:type="dxa"/>
              <w:left w:w="80" w:type="dxa"/>
              <w:bottom w:w="70" w:type="dxa"/>
              <w:right w:w="80" w:type="dxa"/>
            </w:tcMar>
          </w:tcPr>
          <w:p>
            <w:r>
              <w:rPr>
                <w:sz w:val="15"/>
              </w:rPr>
              <w:t>§27; INV-GOV-01; API/event contract tests; requirement GOV-01-R07</w:t>
            </w:r>
          </w:p>
        </w:tc>
        <w:tc>
          <w:tcPr>
            <w:tcW w:type="dxa" w:w="1531"/>
            <w:tcMar>
              <w:top w:w="70" w:type="dxa"/>
              <w:left w:w="80" w:type="dxa"/>
              <w:bottom w:w="70" w:type="dxa"/>
              <w:right w:w="80" w:type="dxa"/>
            </w:tcMar>
          </w:tcPr>
          <w:p>
            <w:r>
              <w:rPr>
                <w:sz w:val="15"/>
              </w:rPr>
              <w:t>§28; RB-GOV-01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GOV-01-R08</w:t>
            </w:r>
          </w:p>
        </w:tc>
        <w:tc>
          <w:tcPr>
            <w:tcW w:type="dxa" w:w="1531"/>
            <w:tcMar>
              <w:top w:w="70" w:type="dxa"/>
              <w:left w:w="80" w:type="dxa"/>
              <w:bottom w:w="70" w:type="dxa"/>
              <w:right w:w="80" w:type="dxa"/>
            </w:tcMar>
          </w:tcPr>
          <w:p>
            <w:r>
              <w:rPr>
                <w:sz w:val="15"/>
              </w:rPr>
              <w:t>Quality Engineering, CI/CD, Release &amp; Schema Management</w:t>
            </w:r>
          </w:p>
        </w:tc>
        <w:tc>
          <w:tcPr>
            <w:tcW w:type="dxa" w:w="1531"/>
            <w:tcMar>
              <w:top w:w="70" w:type="dxa"/>
              <w:left w:w="80" w:type="dxa"/>
              <w:bottom w:w="70" w:type="dxa"/>
              <w:right w:w="80" w:type="dxa"/>
            </w:tcMar>
          </w:tcPr>
          <w:p>
            <w:r>
              <w:rPr>
                <w:sz w:val="15"/>
              </w:rPr>
              <w:t>Release train, changelog, maintenance, beta/GA/deprecation lifecycle and customer communication.</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GOV-01</w:t>
            </w:r>
          </w:p>
        </w:tc>
        <w:tc>
          <w:tcPr>
            <w:tcW w:type="dxa" w:w="1531"/>
            <w:tcMar>
              <w:top w:w="70" w:type="dxa"/>
              <w:left w:w="80" w:type="dxa"/>
              <w:bottom w:w="70" w:type="dxa"/>
              <w:right w:w="80" w:type="dxa"/>
            </w:tcMar>
          </w:tcPr>
          <w:p>
            <w:r>
              <w:rPr>
                <w:sz w:val="15"/>
              </w:rPr>
              <w:t>§10.54 GOV-01 Implementation Contract; §24/§29/§30</w:t>
            </w:r>
          </w:p>
        </w:tc>
        <w:tc>
          <w:tcPr>
            <w:tcW w:type="dxa" w:w="1531"/>
            <w:tcMar>
              <w:top w:w="70" w:type="dxa"/>
              <w:left w:w="80" w:type="dxa"/>
              <w:bottom w:w="70" w:type="dxa"/>
              <w:right w:w="80" w:type="dxa"/>
            </w:tcMar>
          </w:tcPr>
          <w:p>
            <w:r>
              <w:rPr>
                <w:sz w:val="15"/>
              </w:rPr>
              <w:t>§27; INV-GOV-01; API/event contract tests; requirement GOV-01-R08</w:t>
            </w:r>
          </w:p>
        </w:tc>
        <w:tc>
          <w:tcPr>
            <w:tcW w:type="dxa" w:w="1531"/>
            <w:tcMar>
              <w:top w:w="70" w:type="dxa"/>
              <w:left w:w="80" w:type="dxa"/>
              <w:bottom w:w="70" w:type="dxa"/>
              <w:right w:w="80" w:type="dxa"/>
            </w:tcMar>
          </w:tcPr>
          <w:p>
            <w:r>
              <w:rPr>
                <w:sz w:val="15"/>
              </w:rPr>
              <w:t>§28; RB-GOV-01</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GOV-02-R01</w:t>
            </w:r>
          </w:p>
        </w:tc>
        <w:tc>
          <w:tcPr>
            <w:tcW w:type="dxa" w:w="1531"/>
            <w:tcMar>
              <w:top w:w="70" w:type="dxa"/>
              <w:left w:w="80" w:type="dxa"/>
              <w:bottom w:w="70" w:type="dxa"/>
              <w:right w:w="80" w:type="dxa"/>
            </w:tcMar>
          </w:tcPr>
          <w:p>
            <w:r>
              <w:rPr>
                <w:sz w:val="15"/>
              </w:rPr>
              <w:t>Product, Architecture, Data &amp; AI Governance</w:t>
            </w:r>
          </w:p>
        </w:tc>
        <w:tc>
          <w:tcPr>
            <w:tcW w:type="dxa" w:w="1531"/>
            <w:tcMar>
              <w:top w:w="70" w:type="dxa"/>
              <w:left w:w="80" w:type="dxa"/>
              <w:bottom w:w="70" w:type="dxa"/>
              <w:right w:w="80" w:type="dxa"/>
            </w:tcMar>
          </w:tcPr>
          <w:p>
            <w:r>
              <w:rPr>
                <w:sz w:val="15"/>
              </w:rPr>
              <w:t>Domain ownership with product, design, engineering, data and operations accountable leaders.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GOV-02</w:t>
            </w:r>
          </w:p>
        </w:tc>
        <w:tc>
          <w:tcPr>
            <w:tcW w:type="dxa" w:w="1531"/>
            <w:tcMar>
              <w:top w:w="70" w:type="dxa"/>
              <w:left w:w="80" w:type="dxa"/>
              <w:bottom w:w="70" w:type="dxa"/>
              <w:right w:w="80" w:type="dxa"/>
            </w:tcMar>
          </w:tcPr>
          <w:p>
            <w:r>
              <w:rPr>
                <w:sz w:val="15"/>
              </w:rPr>
              <w:t>§10.55 GOV-02 Implementation Contract; §24/§29/§30</w:t>
            </w:r>
          </w:p>
        </w:tc>
        <w:tc>
          <w:tcPr>
            <w:tcW w:type="dxa" w:w="1531"/>
            <w:tcMar>
              <w:top w:w="70" w:type="dxa"/>
              <w:left w:w="80" w:type="dxa"/>
              <w:bottom w:w="70" w:type="dxa"/>
              <w:right w:w="80" w:type="dxa"/>
            </w:tcMar>
          </w:tcPr>
          <w:p>
            <w:r>
              <w:rPr>
                <w:sz w:val="15"/>
              </w:rPr>
              <w:t>§27; INV-GOV-02; API/event contract tests; requirement GOV-02-R01</w:t>
            </w:r>
          </w:p>
        </w:tc>
        <w:tc>
          <w:tcPr>
            <w:tcW w:type="dxa" w:w="1531"/>
            <w:tcMar>
              <w:top w:w="70" w:type="dxa"/>
              <w:left w:w="80" w:type="dxa"/>
              <w:bottom w:w="70" w:type="dxa"/>
              <w:right w:w="80" w:type="dxa"/>
            </w:tcMar>
          </w:tcPr>
          <w:p>
            <w:r>
              <w:rPr>
                <w:sz w:val="15"/>
              </w:rPr>
              <w:t>§28; RB-GOV-02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GOV-02-R02</w:t>
            </w:r>
          </w:p>
        </w:tc>
        <w:tc>
          <w:tcPr>
            <w:tcW w:type="dxa" w:w="1531"/>
            <w:tcMar>
              <w:top w:w="70" w:type="dxa"/>
              <w:left w:w="80" w:type="dxa"/>
              <w:bottom w:w="70" w:type="dxa"/>
              <w:right w:w="80" w:type="dxa"/>
            </w:tcMar>
          </w:tcPr>
          <w:p>
            <w:r>
              <w:rPr>
                <w:sz w:val="15"/>
              </w:rPr>
              <w:t>Product, Architecture, Data &amp; AI Governance</w:t>
            </w:r>
          </w:p>
        </w:tc>
        <w:tc>
          <w:tcPr>
            <w:tcW w:type="dxa" w:w="1531"/>
            <w:tcMar>
              <w:top w:w="70" w:type="dxa"/>
              <w:left w:w="80" w:type="dxa"/>
              <w:bottom w:w="70" w:type="dxa"/>
              <w:right w:w="80" w:type="dxa"/>
            </w:tcMar>
          </w:tcPr>
          <w:p>
            <w:r>
              <w:rPr>
                <w:sz w:val="15"/>
              </w:rPr>
              <w:t>Architecture decision records, service boundaries, invariants, dependency rules and review forum.</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GOV-02</w:t>
            </w:r>
          </w:p>
        </w:tc>
        <w:tc>
          <w:tcPr>
            <w:tcW w:type="dxa" w:w="1531"/>
            <w:tcMar>
              <w:top w:w="70" w:type="dxa"/>
              <w:left w:w="80" w:type="dxa"/>
              <w:bottom w:w="70" w:type="dxa"/>
              <w:right w:w="80" w:type="dxa"/>
            </w:tcMar>
          </w:tcPr>
          <w:p>
            <w:r>
              <w:rPr>
                <w:sz w:val="15"/>
              </w:rPr>
              <w:t>§10.55 GOV-02 Implementation Contract; §24/§29/§30</w:t>
            </w:r>
          </w:p>
        </w:tc>
        <w:tc>
          <w:tcPr>
            <w:tcW w:type="dxa" w:w="1531"/>
            <w:tcMar>
              <w:top w:w="70" w:type="dxa"/>
              <w:left w:w="80" w:type="dxa"/>
              <w:bottom w:w="70" w:type="dxa"/>
              <w:right w:w="80" w:type="dxa"/>
            </w:tcMar>
          </w:tcPr>
          <w:p>
            <w:r>
              <w:rPr>
                <w:sz w:val="15"/>
              </w:rPr>
              <w:t>§27; INV-GOV-02; API/event contract tests; requirement GOV-02-R02</w:t>
            </w:r>
          </w:p>
        </w:tc>
        <w:tc>
          <w:tcPr>
            <w:tcW w:type="dxa" w:w="1531"/>
            <w:tcMar>
              <w:top w:w="70" w:type="dxa"/>
              <w:left w:w="80" w:type="dxa"/>
              <w:bottom w:w="70" w:type="dxa"/>
              <w:right w:w="80" w:type="dxa"/>
            </w:tcMar>
          </w:tcPr>
          <w:p>
            <w:r>
              <w:rPr>
                <w:sz w:val="15"/>
              </w:rPr>
              <w:t>§28; RB-GOV-02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GOV-02-R03</w:t>
            </w:r>
          </w:p>
        </w:tc>
        <w:tc>
          <w:tcPr>
            <w:tcW w:type="dxa" w:w="1531"/>
            <w:tcMar>
              <w:top w:w="70" w:type="dxa"/>
              <w:left w:w="80" w:type="dxa"/>
              <w:bottom w:w="70" w:type="dxa"/>
              <w:right w:w="80" w:type="dxa"/>
            </w:tcMar>
          </w:tcPr>
          <w:p>
            <w:r>
              <w:rPr>
                <w:sz w:val="15"/>
              </w:rPr>
              <w:t>Product, Architecture, Data &amp; AI Governance</w:t>
            </w:r>
          </w:p>
        </w:tc>
        <w:tc>
          <w:tcPr>
            <w:tcW w:type="dxa" w:w="1531"/>
            <w:tcMar>
              <w:top w:w="70" w:type="dxa"/>
              <w:left w:w="80" w:type="dxa"/>
              <w:bottom w:w="70" w:type="dxa"/>
              <w:right w:w="80" w:type="dxa"/>
            </w:tcMar>
          </w:tcPr>
          <w:p>
            <w:r>
              <w:rPr>
                <w:sz w:val="15"/>
              </w:rPr>
              <w:t>Product lifecycle from discovery to beta, GA, deprecation and removal with evidence gates.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GOV-02</w:t>
            </w:r>
          </w:p>
        </w:tc>
        <w:tc>
          <w:tcPr>
            <w:tcW w:type="dxa" w:w="1531"/>
            <w:tcMar>
              <w:top w:w="70" w:type="dxa"/>
              <w:left w:w="80" w:type="dxa"/>
              <w:bottom w:w="70" w:type="dxa"/>
              <w:right w:w="80" w:type="dxa"/>
            </w:tcMar>
          </w:tcPr>
          <w:p>
            <w:r>
              <w:rPr>
                <w:sz w:val="15"/>
              </w:rPr>
              <w:t>§10.55 GOV-02 Implementation Contract; §24/§29/§30</w:t>
            </w:r>
          </w:p>
        </w:tc>
        <w:tc>
          <w:tcPr>
            <w:tcW w:type="dxa" w:w="1531"/>
            <w:tcMar>
              <w:top w:w="70" w:type="dxa"/>
              <w:left w:w="80" w:type="dxa"/>
              <w:bottom w:w="70" w:type="dxa"/>
              <w:right w:w="80" w:type="dxa"/>
            </w:tcMar>
          </w:tcPr>
          <w:p>
            <w:r>
              <w:rPr>
                <w:sz w:val="15"/>
              </w:rPr>
              <w:t>§27; INV-GOV-02; API/event contract tests; requirement GOV-02-R03</w:t>
            </w:r>
          </w:p>
        </w:tc>
        <w:tc>
          <w:tcPr>
            <w:tcW w:type="dxa" w:w="1531"/>
            <w:tcMar>
              <w:top w:w="70" w:type="dxa"/>
              <w:left w:w="80" w:type="dxa"/>
              <w:bottom w:w="70" w:type="dxa"/>
              <w:right w:w="80" w:type="dxa"/>
            </w:tcMar>
          </w:tcPr>
          <w:p>
            <w:r>
              <w:rPr>
                <w:sz w:val="15"/>
              </w:rPr>
              <w:t>§28; RB-GOV-02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GOV-02-R04</w:t>
            </w:r>
          </w:p>
        </w:tc>
        <w:tc>
          <w:tcPr>
            <w:tcW w:type="dxa" w:w="1531"/>
            <w:tcMar>
              <w:top w:w="70" w:type="dxa"/>
              <w:left w:w="80" w:type="dxa"/>
              <w:bottom w:w="70" w:type="dxa"/>
              <w:right w:w="80" w:type="dxa"/>
            </w:tcMar>
          </w:tcPr>
          <w:p>
            <w:r>
              <w:rPr>
                <w:sz w:val="15"/>
              </w:rPr>
              <w:t>Product, Architecture, Data &amp; AI Governance</w:t>
            </w:r>
          </w:p>
        </w:tc>
        <w:tc>
          <w:tcPr>
            <w:tcW w:type="dxa" w:w="1531"/>
            <w:tcMar>
              <w:top w:w="70" w:type="dxa"/>
              <w:left w:w="80" w:type="dxa"/>
              <w:bottom w:w="70" w:type="dxa"/>
              <w:right w:w="80" w:type="dxa"/>
            </w:tcMar>
          </w:tcPr>
          <w:p>
            <w:r>
              <w:rPr>
                <w:sz w:val="15"/>
              </w:rPr>
              <w:t>Design system governance for components, interaction patterns, accessibility, RTL and white-label tokens.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GOV-02</w:t>
            </w:r>
          </w:p>
        </w:tc>
        <w:tc>
          <w:tcPr>
            <w:tcW w:type="dxa" w:w="1531"/>
            <w:tcMar>
              <w:top w:w="70" w:type="dxa"/>
              <w:left w:w="80" w:type="dxa"/>
              <w:bottom w:w="70" w:type="dxa"/>
              <w:right w:w="80" w:type="dxa"/>
            </w:tcMar>
          </w:tcPr>
          <w:p>
            <w:r>
              <w:rPr>
                <w:sz w:val="15"/>
              </w:rPr>
              <w:t>§10.55 GOV-02 Implementation Contract; §24/§29/§30</w:t>
            </w:r>
          </w:p>
        </w:tc>
        <w:tc>
          <w:tcPr>
            <w:tcW w:type="dxa" w:w="1531"/>
            <w:tcMar>
              <w:top w:w="70" w:type="dxa"/>
              <w:left w:w="80" w:type="dxa"/>
              <w:bottom w:w="70" w:type="dxa"/>
              <w:right w:w="80" w:type="dxa"/>
            </w:tcMar>
          </w:tcPr>
          <w:p>
            <w:r>
              <w:rPr>
                <w:sz w:val="15"/>
              </w:rPr>
              <w:t>§27; INV-GOV-02; API/event contract tests; requirement GOV-02-R04</w:t>
            </w:r>
          </w:p>
        </w:tc>
        <w:tc>
          <w:tcPr>
            <w:tcW w:type="dxa" w:w="1531"/>
            <w:tcMar>
              <w:top w:w="70" w:type="dxa"/>
              <w:left w:w="80" w:type="dxa"/>
              <w:bottom w:w="70" w:type="dxa"/>
              <w:right w:w="80" w:type="dxa"/>
            </w:tcMar>
          </w:tcPr>
          <w:p>
            <w:r>
              <w:rPr>
                <w:sz w:val="15"/>
              </w:rPr>
              <w:t>§28; RB-GOV-02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GOV-02-R05</w:t>
            </w:r>
          </w:p>
        </w:tc>
        <w:tc>
          <w:tcPr>
            <w:tcW w:type="dxa" w:w="1531"/>
            <w:tcMar>
              <w:top w:w="70" w:type="dxa"/>
              <w:left w:w="80" w:type="dxa"/>
              <w:bottom w:w="70" w:type="dxa"/>
              <w:right w:w="80" w:type="dxa"/>
            </w:tcMar>
          </w:tcPr>
          <w:p>
            <w:r>
              <w:rPr>
                <w:sz w:val="15"/>
              </w:rPr>
              <w:t>Product, Architecture, Data &amp; AI Governance</w:t>
            </w:r>
          </w:p>
        </w:tc>
        <w:tc>
          <w:tcPr>
            <w:tcW w:type="dxa" w:w="1531"/>
            <w:tcMar>
              <w:top w:w="70" w:type="dxa"/>
              <w:left w:w="80" w:type="dxa"/>
              <w:bottom w:w="70" w:type="dxa"/>
              <w:right w:w="80" w:type="dxa"/>
            </w:tcMar>
          </w:tcPr>
          <w:p>
            <w:r>
              <w:rPr>
                <w:sz w:val="15"/>
              </w:rPr>
              <w:t>Data governance council for ownership, metrics, quality, classification, lineage and access.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GOV-02</w:t>
            </w:r>
          </w:p>
        </w:tc>
        <w:tc>
          <w:tcPr>
            <w:tcW w:type="dxa" w:w="1531"/>
            <w:tcMar>
              <w:top w:w="70" w:type="dxa"/>
              <w:left w:w="80" w:type="dxa"/>
              <w:bottom w:w="70" w:type="dxa"/>
              <w:right w:w="80" w:type="dxa"/>
            </w:tcMar>
          </w:tcPr>
          <w:p>
            <w:r>
              <w:rPr>
                <w:sz w:val="15"/>
              </w:rPr>
              <w:t>§10.55 GOV-02 Implementation Contract; §24/§29/§30</w:t>
            </w:r>
          </w:p>
        </w:tc>
        <w:tc>
          <w:tcPr>
            <w:tcW w:type="dxa" w:w="1531"/>
            <w:tcMar>
              <w:top w:w="70" w:type="dxa"/>
              <w:left w:w="80" w:type="dxa"/>
              <w:bottom w:w="70" w:type="dxa"/>
              <w:right w:w="80" w:type="dxa"/>
            </w:tcMar>
          </w:tcPr>
          <w:p>
            <w:r>
              <w:rPr>
                <w:sz w:val="15"/>
              </w:rPr>
              <w:t>§27; INV-GOV-02; API/event contract tests; requirement GOV-02-R05</w:t>
            </w:r>
          </w:p>
        </w:tc>
        <w:tc>
          <w:tcPr>
            <w:tcW w:type="dxa" w:w="1531"/>
            <w:tcMar>
              <w:top w:w="70" w:type="dxa"/>
              <w:left w:w="80" w:type="dxa"/>
              <w:bottom w:w="70" w:type="dxa"/>
              <w:right w:w="80" w:type="dxa"/>
            </w:tcMar>
          </w:tcPr>
          <w:p>
            <w:r>
              <w:rPr>
                <w:sz w:val="15"/>
              </w:rPr>
              <w:t>§28; RB-GOV-02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GOV-02-R06</w:t>
            </w:r>
          </w:p>
        </w:tc>
        <w:tc>
          <w:tcPr>
            <w:tcW w:type="dxa" w:w="1531"/>
            <w:tcMar>
              <w:top w:w="70" w:type="dxa"/>
              <w:left w:w="80" w:type="dxa"/>
              <w:bottom w:w="70" w:type="dxa"/>
              <w:right w:w="80" w:type="dxa"/>
            </w:tcMar>
          </w:tcPr>
          <w:p>
            <w:r>
              <w:rPr>
                <w:sz w:val="15"/>
              </w:rPr>
              <w:t>Product, Architecture, Data &amp; AI Governance</w:t>
            </w:r>
          </w:p>
        </w:tc>
        <w:tc>
          <w:tcPr>
            <w:tcW w:type="dxa" w:w="1531"/>
            <w:tcMar>
              <w:top w:w="70" w:type="dxa"/>
              <w:left w:w="80" w:type="dxa"/>
              <w:bottom w:w="70" w:type="dxa"/>
              <w:right w:w="80" w:type="dxa"/>
            </w:tcMar>
          </w:tcPr>
          <w:p>
            <w:r>
              <w:rPr>
                <w:sz w:val="15"/>
              </w:rPr>
              <w:t>AI governance for use-case approval, risk tier, evaluation, model change, human oversight and incident response.</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GOV-02</w:t>
            </w:r>
          </w:p>
        </w:tc>
        <w:tc>
          <w:tcPr>
            <w:tcW w:type="dxa" w:w="1531"/>
            <w:tcMar>
              <w:top w:w="70" w:type="dxa"/>
              <w:left w:w="80" w:type="dxa"/>
              <w:bottom w:w="70" w:type="dxa"/>
              <w:right w:w="80" w:type="dxa"/>
            </w:tcMar>
          </w:tcPr>
          <w:p>
            <w:r>
              <w:rPr>
                <w:sz w:val="15"/>
              </w:rPr>
              <w:t>§10.55 GOV-02 Implementation Contract; §24/§29/§30</w:t>
            </w:r>
          </w:p>
        </w:tc>
        <w:tc>
          <w:tcPr>
            <w:tcW w:type="dxa" w:w="1531"/>
            <w:tcMar>
              <w:top w:w="70" w:type="dxa"/>
              <w:left w:w="80" w:type="dxa"/>
              <w:bottom w:w="70" w:type="dxa"/>
              <w:right w:w="80" w:type="dxa"/>
            </w:tcMar>
          </w:tcPr>
          <w:p>
            <w:r>
              <w:rPr>
                <w:sz w:val="15"/>
              </w:rPr>
              <w:t>§27; INV-GOV-02; API/event contract tests; requirement GOV-02-R06</w:t>
            </w:r>
          </w:p>
        </w:tc>
        <w:tc>
          <w:tcPr>
            <w:tcW w:type="dxa" w:w="1531"/>
            <w:tcMar>
              <w:top w:w="70" w:type="dxa"/>
              <w:left w:w="80" w:type="dxa"/>
              <w:bottom w:w="70" w:type="dxa"/>
              <w:right w:w="80" w:type="dxa"/>
            </w:tcMar>
          </w:tcPr>
          <w:p>
            <w:r>
              <w:rPr>
                <w:sz w:val="15"/>
              </w:rPr>
              <w:t>§28; RB-GOV-02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GOV-02-R07</w:t>
            </w:r>
          </w:p>
        </w:tc>
        <w:tc>
          <w:tcPr>
            <w:tcW w:type="dxa" w:w="1531"/>
            <w:tcMar>
              <w:top w:w="70" w:type="dxa"/>
              <w:left w:w="80" w:type="dxa"/>
              <w:bottom w:w="70" w:type="dxa"/>
              <w:right w:w="80" w:type="dxa"/>
            </w:tcMar>
          </w:tcPr>
          <w:p>
            <w:r>
              <w:rPr>
                <w:sz w:val="15"/>
              </w:rPr>
              <w:t>Product, Architecture, Data &amp; AI Governance</w:t>
            </w:r>
          </w:p>
        </w:tc>
        <w:tc>
          <w:tcPr>
            <w:tcW w:type="dxa" w:w="1531"/>
            <w:tcMar>
              <w:top w:w="70" w:type="dxa"/>
              <w:left w:w="80" w:type="dxa"/>
              <w:bottom w:w="70" w:type="dxa"/>
              <w:right w:w="80" w:type="dxa"/>
            </w:tcMar>
          </w:tcPr>
          <w:p>
            <w:r>
              <w:rPr>
                <w:sz w:val="15"/>
              </w:rPr>
              <w:t>Requirement traceability from strategy through domain, flow, screen, event, test and metric.</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GOV-02</w:t>
            </w:r>
          </w:p>
        </w:tc>
        <w:tc>
          <w:tcPr>
            <w:tcW w:type="dxa" w:w="1531"/>
            <w:tcMar>
              <w:top w:w="70" w:type="dxa"/>
              <w:left w:w="80" w:type="dxa"/>
              <w:bottom w:w="70" w:type="dxa"/>
              <w:right w:w="80" w:type="dxa"/>
            </w:tcMar>
          </w:tcPr>
          <w:p>
            <w:r>
              <w:rPr>
                <w:sz w:val="15"/>
              </w:rPr>
              <w:t>§10.55 GOV-02 Implementation Contract; §24/§29/§30</w:t>
            </w:r>
          </w:p>
        </w:tc>
        <w:tc>
          <w:tcPr>
            <w:tcW w:type="dxa" w:w="1531"/>
            <w:tcMar>
              <w:top w:w="70" w:type="dxa"/>
              <w:left w:w="80" w:type="dxa"/>
              <w:bottom w:w="70" w:type="dxa"/>
              <w:right w:w="80" w:type="dxa"/>
            </w:tcMar>
          </w:tcPr>
          <w:p>
            <w:r>
              <w:rPr>
                <w:sz w:val="15"/>
              </w:rPr>
              <w:t>§27; INV-GOV-02; API/event contract tests; requirement GOV-02-R07</w:t>
            </w:r>
          </w:p>
        </w:tc>
        <w:tc>
          <w:tcPr>
            <w:tcW w:type="dxa" w:w="1531"/>
            <w:tcMar>
              <w:top w:w="70" w:type="dxa"/>
              <w:left w:w="80" w:type="dxa"/>
              <w:bottom w:w="70" w:type="dxa"/>
              <w:right w:w="80" w:type="dxa"/>
            </w:tcMar>
          </w:tcPr>
          <w:p>
            <w:r>
              <w:rPr>
                <w:sz w:val="15"/>
              </w:rPr>
              <w:t>§28; RB-GOV-02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GOV-02-R08</w:t>
            </w:r>
          </w:p>
        </w:tc>
        <w:tc>
          <w:tcPr>
            <w:tcW w:type="dxa" w:w="1531"/>
            <w:tcMar>
              <w:top w:w="70" w:type="dxa"/>
              <w:left w:w="80" w:type="dxa"/>
              <w:bottom w:w="70" w:type="dxa"/>
              <w:right w:w="80" w:type="dxa"/>
            </w:tcMar>
          </w:tcPr>
          <w:p>
            <w:r>
              <w:rPr>
                <w:sz w:val="15"/>
              </w:rPr>
              <w:t>Product, Architecture, Data &amp; AI Governance</w:t>
            </w:r>
          </w:p>
        </w:tc>
        <w:tc>
          <w:tcPr>
            <w:tcW w:type="dxa" w:w="1531"/>
            <w:tcMar>
              <w:top w:w="70" w:type="dxa"/>
              <w:left w:w="80" w:type="dxa"/>
              <w:bottom w:w="70" w:type="dxa"/>
              <w:right w:w="80" w:type="dxa"/>
            </w:tcMar>
          </w:tcPr>
          <w:p>
            <w:r>
              <w:rPr>
                <w:sz w:val="15"/>
              </w:rPr>
              <w:t>Portfolio prioritization using value, urgency, dependency, risk, revenue, cost and learning.</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Foundation</w:t>
            </w:r>
          </w:p>
        </w:tc>
        <w:tc>
          <w:tcPr>
            <w:tcW w:type="dxa" w:w="1531"/>
            <w:tcMar>
              <w:top w:w="70" w:type="dxa"/>
              <w:left w:w="80" w:type="dxa"/>
              <w:bottom w:w="70" w:type="dxa"/>
              <w:right w:w="80" w:type="dxa"/>
            </w:tcMar>
          </w:tcPr>
          <w:p>
            <w:r>
              <w:rPr>
                <w:sz w:val="15"/>
              </w:rPr>
              <w:t>GOV-02</w:t>
            </w:r>
          </w:p>
        </w:tc>
        <w:tc>
          <w:tcPr>
            <w:tcW w:type="dxa" w:w="1531"/>
            <w:tcMar>
              <w:top w:w="70" w:type="dxa"/>
              <w:left w:w="80" w:type="dxa"/>
              <w:bottom w:w="70" w:type="dxa"/>
              <w:right w:w="80" w:type="dxa"/>
            </w:tcMar>
          </w:tcPr>
          <w:p>
            <w:r>
              <w:rPr>
                <w:sz w:val="15"/>
              </w:rPr>
              <w:t>§10.55 GOV-02 Implementation Contract; §24/§29/§30</w:t>
            </w:r>
          </w:p>
        </w:tc>
        <w:tc>
          <w:tcPr>
            <w:tcW w:type="dxa" w:w="1531"/>
            <w:tcMar>
              <w:top w:w="70" w:type="dxa"/>
              <w:left w:w="80" w:type="dxa"/>
              <w:bottom w:w="70" w:type="dxa"/>
              <w:right w:w="80" w:type="dxa"/>
            </w:tcMar>
          </w:tcPr>
          <w:p>
            <w:r>
              <w:rPr>
                <w:sz w:val="15"/>
              </w:rPr>
              <w:t>§27; INV-GOV-02; API/event contract tests; requirement GOV-02-R08</w:t>
            </w:r>
          </w:p>
        </w:tc>
        <w:tc>
          <w:tcPr>
            <w:tcW w:type="dxa" w:w="1531"/>
            <w:tcMar>
              <w:top w:w="70" w:type="dxa"/>
              <w:left w:w="80" w:type="dxa"/>
              <w:bottom w:w="70" w:type="dxa"/>
              <w:right w:w="80" w:type="dxa"/>
            </w:tcMar>
          </w:tcPr>
          <w:p>
            <w:r>
              <w:rPr>
                <w:sz w:val="15"/>
              </w:rPr>
              <w:t>§28; RB-GOV-02</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GOV-03-R01</w:t>
            </w:r>
          </w:p>
        </w:tc>
        <w:tc>
          <w:tcPr>
            <w:tcW w:type="dxa" w:w="1531"/>
            <w:tcMar>
              <w:top w:w="70" w:type="dxa"/>
              <w:left w:w="80" w:type="dxa"/>
              <w:bottom w:w="70" w:type="dxa"/>
              <w:right w:w="80" w:type="dxa"/>
            </w:tcMar>
          </w:tcPr>
          <w:p>
            <w:r>
              <w:rPr>
                <w:sz w:val="15"/>
              </w:rPr>
              <w:t>Legal, Procurement, Vendor, Partner &amp; Compliance Operations</w:t>
            </w:r>
          </w:p>
        </w:tc>
        <w:tc>
          <w:tcPr>
            <w:tcW w:type="dxa" w:w="1531"/>
            <w:tcMar>
              <w:top w:w="70" w:type="dxa"/>
              <w:left w:w="80" w:type="dxa"/>
              <w:bottom w:w="70" w:type="dxa"/>
              <w:right w:w="80" w:type="dxa"/>
            </w:tcMar>
          </w:tcPr>
          <w:p>
            <w:r>
              <w:rPr>
                <w:sz w:val="15"/>
              </w:rPr>
              <w:t>Terms, privacy notice, DPA, SLA, acceptable-use, biometric, AI, marketplace and partner policies with versioning.</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Enterprise</w:t>
            </w:r>
          </w:p>
        </w:tc>
        <w:tc>
          <w:tcPr>
            <w:tcW w:type="dxa" w:w="1531"/>
            <w:tcMar>
              <w:top w:w="70" w:type="dxa"/>
              <w:left w:w="80" w:type="dxa"/>
              <w:bottom w:w="70" w:type="dxa"/>
              <w:right w:w="80" w:type="dxa"/>
            </w:tcMar>
          </w:tcPr>
          <w:p>
            <w:r>
              <w:rPr>
                <w:sz w:val="15"/>
              </w:rPr>
              <w:t>GOV-03</w:t>
            </w:r>
          </w:p>
        </w:tc>
        <w:tc>
          <w:tcPr>
            <w:tcW w:type="dxa" w:w="1531"/>
            <w:tcMar>
              <w:top w:w="70" w:type="dxa"/>
              <w:left w:w="80" w:type="dxa"/>
              <w:bottom w:w="70" w:type="dxa"/>
              <w:right w:w="80" w:type="dxa"/>
            </w:tcMar>
          </w:tcPr>
          <w:p>
            <w:r>
              <w:rPr>
                <w:sz w:val="15"/>
              </w:rPr>
              <w:t>§10.56 GOV-03 Implementation Contract; §24/§29/§30</w:t>
            </w:r>
          </w:p>
        </w:tc>
        <w:tc>
          <w:tcPr>
            <w:tcW w:type="dxa" w:w="1531"/>
            <w:tcMar>
              <w:top w:w="70" w:type="dxa"/>
              <w:left w:w="80" w:type="dxa"/>
              <w:bottom w:w="70" w:type="dxa"/>
              <w:right w:w="80" w:type="dxa"/>
            </w:tcMar>
          </w:tcPr>
          <w:p>
            <w:r>
              <w:rPr>
                <w:sz w:val="15"/>
              </w:rPr>
              <w:t>§27; INV-GOV-03; API/event contract tests; requirement GOV-03-R01</w:t>
            </w:r>
          </w:p>
        </w:tc>
        <w:tc>
          <w:tcPr>
            <w:tcW w:type="dxa" w:w="1531"/>
            <w:tcMar>
              <w:top w:w="70" w:type="dxa"/>
              <w:left w:w="80" w:type="dxa"/>
              <w:bottom w:w="70" w:type="dxa"/>
              <w:right w:w="80" w:type="dxa"/>
            </w:tcMar>
          </w:tcPr>
          <w:p>
            <w:r>
              <w:rPr>
                <w:sz w:val="15"/>
              </w:rPr>
              <w:t>§28; RB-GOV-03</w:t>
            </w:r>
          </w:p>
        </w:tc>
        <w:tc>
          <w:tcPr>
            <w:tcW w:type="dxa" w:w="1531"/>
            <w:tcMar>
              <w:top w:w="70" w:type="dxa"/>
              <w:left w:w="80" w:type="dxa"/>
              <w:bottom w:w="70" w:type="dxa"/>
              <w:right w:w="80" w:type="dxa"/>
            </w:tcMar>
          </w:tcPr>
          <w:p>
            <w:r>
              <w:rPr>
                <w:sz w:val="15"/>
              </w:rPr>
              <w:t>DEFERRED - Enterprise</w:t>
            </w:r>
          </w:p>
        </w:tc>
      </w:tr>
      <w:tr>
        <w:tc>
          <w:tcPr>
            <w:tcW w:type="dxa" w:w="1531"/>
            <w:tcMar>
              <w:top w:w="70" w:type="dxa"/>
              <w:left w:w="80" w:type="dxa"/>
              <w:bottom w:w="70" w:type="dxa"/>
              <w:right w:w="80" w:type="dxa"/>
            </w:tcMar>
          </w:tcPr>
          <w:p>
            <w:r>
              <w:rPr>
                <w:sz w:val="15"/>
              </w:rPr>
              <w:t>GOV-03-R02</w:t>
            </w:r>
          </w:p>
        </w:tc>
        <w:tc>
          <w:tcPr>
            <w:tcW w:type="dxa" w:w="1531"/>
            <w:tcMar>
              <w:top w:w="70" w:type="dxa"/>
              <w:left w:w="80" w:type="dxa"/>
              <w:bottom w:w="70" w:type="dxa"/>
              <w:right w:w="80" w:type="dxa"/>
            </w:tcMar>
          </w:tcPr>
          <w:p>
            <w:r>
              <w:rPr>
                <w:sz w:val="15"/>
              </w:rPr>
              <w:t>Legal, Procurement, Vendor, Partner &amp; Compliance Operations</w:t>
            </w:r>
          </w:p>
        </w:tc>
        <w:tc>
          <w:tcPr>
            <w:tcW w:type="dxa" w:w="1531"/>
            <w:tcMar>
              <w:top w:w="70" w:type="dxa"/>
              <w:left w:w="80" w:type="dxa"/>
              <w:bottom w:w="70" w:type="dxa"/>
              <w:right w:w="80" w:type="dxa"/>
            </w:tcMar>
          </w:tcPr>
          <w:p>
            <w:r>
              <w:rPr>
                <w:sz w:val="15"/>
              </w:rPr>
              <w:t>Contract repository, obligations, renewal, notice periods, security addenda and approval workflow.</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Enterprise</w:t>
            </w:r>
          </w:p>
        </w:tc>
        <w:tc>
          <w:tcPr>
            <w:tcW w:type="dxa" w:w="1531"/>
            <w:tcMar>
              <w:top w:w="70" w:type="dxa"/>
              <w:left w:w="80" w:type="dxa"/>
              <w:bottom w:w="70" w:type="dxa"/>
              <w:right w:w="80" w:type="dxa"/>
            </w:tcMar>
          </w:tcPr>
          <w:p>
            <w:r>
              <w:rPr>
                <w:sz w:val="15"/>
              </w:rPr>
              <w:t>GOV-03</w:t>
            </w:r>
          </w:p>
        </w:tc>
        <w:tc>
          <w:tcPr>
            <w:tcW w:type="dxa" w:w="1531"/>
            <w:tcMar>
              <w:top w:w="70" w:type="dxa"/>
              <w:left w:w="80" w:type="dxa"/>
              <w:bottom w:w="70" w:type="dxa"/>
              <w:right w:w="80" w:type="dxa"/>
            </w:tcMar>
          </w:tcPr>
          <w:p>
            <w:r>
              <w:rPr>
                <w:sz w:val="15"/>
              </w:rPr>
              <w:t>§10.56 GOV-03 Implementation Contract; §24/§29/§30</w:t>
            </w:r>
          </w:p>
        </w:tc>
        <w:tc>
          <w:tcPr>
            <w:tcW w:type="dxa" w:w="1531"/>
            <w:tcMar>
              <w:top w:w="70" w:type="dxa"/>
              <w:left w:w="80" w:type="dxa"/>
              <w:bottom w:w="70" w:type="dxa"/>
              <w:right w:w="80" w:type="dxa"/>
            </w:tcMar>
          </w:tcPr>
          <w:p>
            <w:r>
              <w:rPr>
                <w:sz w:val="15"/>
              </w:rPr>
              <w:t>§27; INV-GOV-03; API/event contract tests; requirement GOV-03-R02</w:t>
            </w:r>
          </w:p>
        </w:tc>
        <w:tc>
          <w:tcPr>
            <w:tcW w:type="dxa" w:w="1531"/>
            <w:tcMar>
              <w:top w:w="70" w:type="dxa"/>
              <w:left w:w="80" w:type="dxa"/>
              <w:bottom w:w="70" w:type="dxa"/>
              <w:right w:w="80" w:type="dxa"/>
            </w:tcMar>
          </w:tcPr>
          <w:p>
            <w:r>
              <w:rPr>
                <w:sz w:val="15"/>
              </w:rPr>
              <w:t>§28; RB-GOV-03</w:t>
            </w:r>
          </w:p>
        </w:tc>
        <w:tc>
          <w:tcPr>
            <w:tcW w:type="dxa" w:w="1531"/>
            <w:tcMar>
              <w:top w:w="70" w:type="dxa"/>
              <w:left w:w="80" w:type="dxa"/>
              <w:bottom w:w="70" w:type="dxa"/>
              <w:right w:w="80" w:type="dxa"/>
            </w:tcMar>
          </w:tcPr>
          <w:p>
            <w:r>
              <w:rPr>
                <w:sz w:val="15"/>
              </w:rPr>
              <w:t>DEFERRED - Enterprise</w:t>
            </w:r>
          </w:p>
        </w:tc>
      </w:tr>
      <w:tr>
        <w:tc>
          <w:tcPr>
            <w:tcW w:type="dxa" w:w="1531"/>
            <w:tcMar>
              <w:top w:w="70" w:type="dxa"/>
              <w:left w:w="80" w:type="dxa"/>
              <w:bottom w:w="70" w:type="dxa"/>
              <w:right w:w="80" w:type="dxa"/>
            </w:tcMar>
          </w:tcPr>
          <w:p>
            <w:r>
              <w:rPr>
                <w:sz w:val="15"/>
              </w:rPr>
              <w:t>GOV-03-R03</w:t>
            </w:r>
          </w:p>
        </w:tc>
        <w:tc>
          <w:tcPr>
            <w:tcW w:type="dxa" w:w="1531"/>
            <w:tcMar>
              <w:top w:w="70" w:type="dxa"/>
              <w:left w:w="80" w:type="dxa"/>
              <w:bottom w:w="70" w:type="dxa"/>
              <w:right w:w="80" w:type="dxa"/>
            </w:tcMar>
          </w:tcPr>
          <w:p>
            <w:r>
              <w:rPr>
                <w:sz w:val="15"/>
              </w:rPr>
              <w:t>Legal, Procurement, Vendor, Partner &amp; Compliance Operations</w:t>
            </w:r>
          </w:p>
        </w:tc>
        <w:tc>
          <w:tcPr>
            <w:tcW w:type="dxa" w:w="1531"/>
            <w:tcMar>
              <w:top w:w="70" w:type="dxa"/>
              <w:left w:w="80" w:type="dxa"/>
              <w:bottom w:w="70" w:type="dxa"/>
              <w:right w:w="80" w:type="dxa"/>
            </w:tcMar>
          </w:tcPr>
          <w:p>
            <w:r>
              <w:rPr>
                <w:sz w:val="15"/>
              </w:rPr>
              <w:t>Enterprise procurement pack, security questionnaires, architecture diagrams and evidence library.</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Enterprise</w:t>
            </w:r>
          </w:p>
        </w:tc>
        <w:tc>
          <w:tcPr>
            <w:tcW w:type="dxa" w:w="1531"/>
            <w:tcMar>
              <w:top w:w="70" w:type="dxa"/>
              <w:left w:w="80" w:type="dxa"/>
              <w:bottom w:w="70" w:type="dxa"/>
              <w:right w:w="80" w:type="dxa"/>
            </w:tcMar>
          </w:tcPr>
          <w:p>
            <w:r>
              <w:rPr>
                <w:sz w:val="15"/>
              </w:rPr>
              <w:t>GOV-03</w:t>
            </w:r>
          </w:p>
        </w:tc>
        <w:tc>
          <w:tcPr>
            <w:tcW w:type="dxa" w:w="1531"/>
            <w:tcMar>
              <w:top w:w="70" w:type="dxa"/>
              <w:left w:w="80" w:type="dxa"/>
              <w:bottom w:w="70" w:type="dxa"/>
              <w:right w:w="80" w:type="dxa"/>
            </w:tcMar>
          </w:tcPr>
          <w:p>
            <w:r>
              <w:rPr>
                <w:sz w:val="15"/>
              </w:rPr>
              <w:t>§10.56 GOV-03 Implementation Contract; §24/§29/§30</w:t>
            </w:r>
          </w:p>
        </w:tc>
        <w:tc>
          <w:tcPr>
            <w:tcW w:type="dxa" w:w="1531"/>
            <w:tcMar>
              <w:top w:w="70" w:type="dxa"/>
              <w:left w:w="80" w:type="dxa"/>
              <w:bottom w:w="70" w:type="dxa"/>
              <w:right w:w="80" w:type="dxa"/>
            </w:tcMar>
          </w:tcPr>
          <w:p>
            <w:r>
              <w:rPr>
                <w:sz w:val="15"/>
              </w:rPr>
              <w:t>§27; INV-GOV-03; API/event contract tests; requirement GOV-03-R03</w:t>
            </w:r>
          </w:p>
        </w:tc>
        <w:tc>
          <w:tcPr>
            <w:tcW w:type="dxa" w:w="1531"/>
            <w:tcMar>
              <w:top w:w="70" w:type="dxa"/>
              <w:left w:w="80" w:type="dxa"/>
              <w:bottom w:w="70" w:type="dxa"/>
              <w:right w:w="80" w:type="dxa"/>
            </w:tcMar>
          </w:tcPr>
          <w:p>
            <w:r>
              <w:rPr>
                <w:sz w:val="15"/>
              </w:rPr>
              <w:t>§28; RB-GOV-03</w:t>
            </w:r>
          </w:p>
        </w:tc>
        <w:tc>
          <w:tcPr>
            <w:tcW w:type="dxa" w:w="1531"/>
            <w:tcMar>
              <w:top w:w="70" w:type="dxa"/>
              <w:left w:w="80" w:type="dxa"/>
              <w:bottom w:w="70" w:type="dxa"/>
              <w:right w:w="80" w:type="dxa"/>
            </w:tcMar>
          </w:tcPr>
          <w:p>
            <w:r>
              <w:rPr>
                <w:sz w:val="15"/>
              </w:rPr>
              <w:t>DEFERRED - Enterprise</w:t>
            </w:r>
          </w:p>
        </w:tc>
      </w:tr>
      <w:tr>
        <w:tc>
          <w:tcPr>
            <w:tcW w:type="dxa" w:w="1531"/>
            <w:tcMar>
              <w:top w:w="70" w:type="dxa"/>
              <w:left w:w="80" w:type="dxa"/>
              <w:bottom w:w="70" w:type="dxa"/>
              <w:right w:w="80" w:type="dxa"/>
            </w:tcMar>
          </w:tcPr>
          <w:p>
            <w:r>
              <w:rPr>
                <w:sz w:val="15"/>
              </w:rPr>
              <w:t>GOV-03-R04</w:t>
            </w:r>
          </w:p>
        </w:tc>
        <w:tc>
          <w:tcPr>
            <w:tcW w:type="dxa" w:w="1531"/>
            <w:tcMar>
              <w:top w:w="70" w:type="dxa"/>
              <w:left w:w="80" w:type="dxa"/>
              <w:bottom w:w="70" w:type="dxa"/>
              <w:right w:w="80" w:type="dxa"/>
            </w:tcMar>
          </w:tcPr>
          <w:p>
            <w:r>
              <w:rPr>
                <w:sz w:val="15"/>
              </w:rPr>
              <w:t>Legal, Procurement, Vendor, Partner &amp; Compliance Operations</w:t>
            </w:r>
          </w:p>
        </w:tc>
        <w:tc>
          <w:tcPr>
            <w:tcW w:type="dxa" w:w="1531"/>
            <w:tcMar>
              <w:top w:w="70" w:type="dxa"/>
              <w:left w:w="80" w:type="dxa"/>
              <w:bottom w:w="70" w:type="dxa"/>
              <w:right w:w="80" w:type="dxa"/>
            </w:tcMar>
          </w:tcPr>
          <w:p>
            <w:r>
              <w:rPr>
                <w:sz w:val="15"/>
              </w:rPr>
              <w:t>Vendor inventory, risk tier, due diligence, DPA, subprocessor, SLA, cost, performance and exit plan.</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Enterprise</w:t>
            </w:r>
          </w:p>
        </w:tc>
        <w:tc>
          <w:tcPr>
            <w:tcW w:type="dxa" w:w="1531"/>
            <w:tcMar>
              <w:top w:w="70" w:type="dxa"/>
              <w:left w:w="80" w:type="dxa"/>
              <w:bottom w:w="70" w:type="dxa"/>
              <w:right w:w="80" w:type="dxa"/>
            </w:tcMar>
          </w:tcPr>
          <w:p>
            <w:r>
              <w:rPr>
                <w:sz w:val="15"/>
              </w:rPr>
              <w:t>GOV-03</w:t>
            </w:r>
          </w:p>
        </w:tc>
        <w:tc>
          <w:tcPr>
            <w:tcW w:type="dxa" w:w="1531"/>
            <w:tcMar>
              <w:top w:w="70" w:type="dxa"/>
              <w:left w:w="80" w:type="dxa"/>
              <w:bottom w:w="70" w:type="dxa"/>
              <w:right w:w="80" w:type="dxa"/>
            </w:tcMar>
          </w:tcPr>
          <w:p>
            <w:r>
              <w:rPr>
                <w:sz w:val="15"/>
              </w:rPr>
              <w:t>§10.56 GOV-03 Implementation Contract; §24/§29/§30</w:t>
            </w:r>
          </w:p>
        </w:tc>
        <w:tc>
          <w:tcPr>
            <w:tcW w:type="dxa" w:w="1531"/>
            <w:tcMar>
              <w:top w:w="70" w:type="dxa"/>
              <w:left w:w="80" w:type="dxa"/>
              <w:bottom w:w="70" w:type="dxa"/>
              <w:right w:w="80" w:type="dxa"/>
            </w:tcMar>
          </w:tcPr>
          <w:p>
            <w:r>
              <w:rPr>
                <w:sz w:val="15"/>
              </w:rPr>
              <w:t>§27; INV-GOV-03; API/event contract tests; requirement GOV-03-R04</w:t>
            </w:r>
          </w:p>
        </w:tc>
        <w:tc>
          <w:tcPr>
            <w:tcW w:type="dxa" w:w="1531"/>
            <w:tcMar>
              <w:top w:w="70" w:type="dxa"/>
              <w:left w:w="80" w:type="dxa"/>
              <w:bottom w:w="70" w:type="dxa"/>
              <w:right w:w="80" w:type="dxa"/>
            </w:tcMar>
          </w:tcPr>
          <w:p>
            <w:r>
              <w:rPr>
                <w:sz w:val="15"/>
              </w:rPr>
              <w:t>§28; RB-GOV-03</w:t>
            </w:r>
          </w:p>
        </w:tc>
        <w:tc>
          <w:tcPr>
            <w:tcW w:type="dxa" w:w="1531"/>
            <w:tcMar>
              <w:top w:w="70" w:type="dxa"/>
              <w:left w:w="80" w:type="dxa"/>
              <w:bottom w:w="70" w:type="dxa"/>
              <w:right w:w="80" w:type="dxa"/>
            </w:tcMar>
          </w:tcPr>
          <w:p>
            <w:r>
              <w:rPr>
                <w:sz w:val="15"/>
              </w:rPr>
              <w:t>DEFERRED - Enterprise</w:t>
            </w:r>
          </w:p>
        </w:tc>
      </w:tr>
      <w:tr>
        <w:tc>
          <w:tcPr>
            <w:tcW w:type="dxa" w:w="1531"/>
            <w:tcMar>
              <w:top w:w="70" w:type="dxa"/>
              <w:left w:w="80" w:type="dxa"/>
              <w:bottom w:w="70" w:type="dxa"/>
              <w:right w:w="80" w:type="dxa"/>
            </w:tcMar>
          </w:tcPr>
          <w:p>
            <w:r>
              <w:rPr>
                <w:sz w:val="15"/>
              </w:rPr>
              <w:t>GOV-03-R05</w:t>
            </w:r>
          </w:p>
        </w:tc>
        <w:tc>
          <w:tcPr>
            <w:tcW w:type="dxa" w:w="1531"/>
            <w:tcMar>
              <w:top w:w="70" w:type="dxa"/>
              <w:left w:w="80" w:type="dxa"/>
              <w:bottom w:w="70" w:type="dxa"/>
              <w:right w:w="80" w:type="dxa"/>
            </w:tcMar>
          </w:tcPr>
          <w:p>
            <w:r>
              <w:rPr>
                <w:sz w:val="15"/>
              </w:rPr>
              <w:t>Legal, Procurement, Vendor, Partner &amp; Compliance Operations</w:t>
            </w:r>
          </w:p>
        </w:tc>
        <w:tc>
          <w:tcPr>
            <w:tcW w:type="dxa" w:w="1531"/>
            <w:tcMar>
              <w:top w:w="70" w:type="dxa"/>
              <w:left w:w="80" w:type="dxa"/>
              <w:bottom w:w="70" w:type="dxa"/>
              <w:right w:w="80" w:type="dxa"/>
            </w:tcMar>
          </w:tcPr>
          <w:p>
            <w:r>
              <w:rPr>
                <w:sz w:val="15"/>
              </w:rPr>
              <w:t>Partner/reseller onboarding, certification, territory, deal registration, commission, conduct and termination.</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Enterprise</w:t>
            </w:r>
          </w:p>
        </w:tc>
        <w:tc>
          <w:tcPr>
            <w:tcW w:type="dxa" w:w="1531"/>
            <w:tcMar>
              <w:top w:w="70" w:type="dxa"/>
              <w:left w:w="80" w:type="dxa"/>
              <w:bottom w:w="70" w:type="dxa"/>
              <w:right w:w="80" w:type="dxa"/>
            </w:tcMar>
          </w:tcPr>
          <w:p>
            <w:r>
              <w:rPr>
                <w:sz w:val="15"/>
              </w:rPr>
              <w:t>GOV-03</w:t>
            </w:r>
          </w:p>
        </w:tc>
        <w:tc>
          <w:tcPr>
            <w:tcW w:type="dxa" w:w="1531"/>
            <w:tcMar>
              <w:top w:w="70" w:type="dxa"/>
              <w:left w:w="80" w:type="dxa"/>
              <w:bottom w:w="70" w:type="dxa"/>
              <w:right w:w="80" w:type="dxa"/>
            </w:tcMar>
          </w:tcPr>
          <w:p>
            <w:r>
              <w:rPr>
                <w:sz w:val="15"/>
              </w:rPr>
              <w:t>§10.56 GOV-03 Implementation Contract; §24/§29/§30</w:t>
            </w:r>
          </w:p>
        </w:tc>
        <w:tc>
          <w:tcPr>
            <w:tcW w:type="dxa" w:w="1531"/>
            <w:tcMar>
              <w:top w:w="70" w:type="dxa"/>
              <w:left w:w="80" w:type="dxa"/>
              <w:bottom w:w="70" w:type="dxa"/>
              <w:right w:w="80" w:type="dxa"/>
            </w:tcMar>
          </w:tcPr>
          <w:p>
            <w:r>
              <w:rPr>
                <w:sz w:val="15"/>
              </w:rPr>
              <w:t>§27; INV-GOV-03; API/event contract tests; requirement GOV-03-R05</w:t>
            </w:r>
          </w:p>
        </w:tc>
        <w:tc>
          <w:tcPr>
            <w:tcW w:type="dxa" w:w="1531"/>
            <w:tcMar>
              <w:top w:w="70" w:type="dxa"/>
              <w:left w:w="80" w:type="dxa"/>
              <w:bottom w:w="70" w:type="dxa"/>
              <w:right w:w="80" w:type="dxa"/>
            </w:tcMar>
          </w:tcPr>
          <w:p>
            <w:r>
              <w:rPr>
                <w:sz w:val="15"/>
              </w:rPr>
              <w:t>§28; RB-GOV-03</w:t>
            </w:r>
          </w:p>
        </w:tc>
        <w:tc>
          <w:tcPr>
            <w:tcW w:type="dxa" w:w="1531"/>
            <w:tcMar>
              <w:top w:w="70" w:type="dxa"/>
              <w:left w:w="80" w:type="dxa"/>
              <w:bottom w:w="70" w:type="dxa"/>
              <w:right w:w="80" w:type="dxa"/>
            </w:tcMar>
          </w:tcPr>
          <w:p>
            <w:r>
              <w:rPr>
                <w:sz w:val="15"/>
              </w:rPr>
              <w:t>DEFERRED - Enterprise</w:t>
            </w:r>
          </w:p>
        </w:tc>
      </w:tr>
      <w:tr>
        <w:tc>
          <w:tcPr>
            <w:tcW w:type="dxa" w:w="1531"/>
            <w:tcMar>
              <w:top w:w="70" w:type="dxa"/>
              <w:left w:w="80" w:type="dxa"/>
              <w:bottom w:w="70" w:type="dxa"/>
              <w:right w:w="80" w:type="dxa"/>
            </w:tcMar>
          </w:tcPr>
          <w:p>
            <w:r>
              <w:rPr>
                <w:sz w:val="15"/>
              </w:rPr>
              <w:t>GOV-03-R06</w:t>
            </w:r>
          </w:p>
        </w:tc>
        <w:tc>
          <w:tcPr>
            <w:tcW w:type="dxa" w:w="1531"/>
            <w:tcMar>
              <w:top w:w="70" w:type="dxa"/>
              <w:left w:w="80" w:type="dxa"/>
              <w:bottom w:w="70" w:type="dxa"/>
              <w:right w:w="80" w:type="dxa"/>
            </w:tcMar>
          </w:tcPr>
          <w:p>
            <w:r>
              <w:rPr>
                <w:sz w:val="15"/>
              </w:rPr>
              <w:t>Legal, Procurement, Vendor, Partner &amp; Compliance Operations</w:t>
            </w:r>
          </w:p>
        </w:tc>
        <w:tc>
          <w:tcPr>
            <w:tcW w:type="dxa" w:w="1531"/>
            <w:tcMar>
              <w:top w:w="70" w:type="dxa"/>
              <w:left w:w="80" w:type="dxa"/>
              <w:bottom w:w="70" w:type="dxa"/>
              <w:right w:w="80" w:type="dxa"/>
            </w:tcMar>
          </w:tcPr>
          <w:p>
            <w:r>
              <w:rPr>
                <w:sz w:val="15"/>
              </w:rPr>
              <w:t>Compliance control mapping, evidence collection, audit calendar, remediation and continuous monitoring.</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Enterprise</w:t>
            </w:r>
          </w:p>
        </w:tc>
        <w:tc>
          <w:tcPr>
            <w:tcW w:type="dxa" w:w="1531"/>
            <w:tcMar>
              <w:top w:w="70" w:type="dxa"/>
              <w:left w:w="80" w:type="dxa"/>
              <w:bottom w:w="70" w:type="dxa"/>
              <w:right w:w="80" w:type="dxa"/>
            </w:tcMar>
          </w:tcPr>
          <w:p>
            <w:r>
              <w:rPr>
                <w:sz w:val="15"/>
              </w:rPr>
              <w:t>GOV-03</w:t>
            </w:r>
          </w:p>
        </w:tc>
        <w:tc>
          <w:tcPr>
            <w:tcW w:type="dxa" w:w="1531"/>
            <w:tcMar>
              <w:top w:w="70" w:type="dxa"/>
              <w:left w:w="80" w:type="dxa"/>
              <w:bottom w:w="70" w:type="dxa"/>
              <w:right w:w="80" w:type="dxa"/>
            </w:tcMar>
          </w:tcPr>
          <w:p>
            <w:r>
              <w:rPr>
                <w:sz w:val="15"/>
              </w:rPr>
              <w:t>§10.56 GOV-03 Implementation Contract; §24/§29/§30</w:t>
            </w:r>
          </w:p>
        </w:tc>
        <w:tc>
          <w:tcPr>
            <w:tcW w:type="dxa" w:w="1531"/>
            <w:tcMar>
              <w:top w:w="70" w:type="dxa"/>
              <w:left w:w="80" w:type="dxa"/>
              <w:bottom w:w="70" w:type="dxa"/>
              <w:right w:w="80" w:type="dxa"/>
            </w:tcMar>
          </w:tcPr>
          <w:p>
            <w:r>
              <w:rPr>
                <w:sz w:val="15"/>
              </w:rPr>
              <w:t>§27; INV-GOV-03; API/event contract tests; requirement GOV-03-R06</w:t>
            </w:r>
          </w:p>
        </w:tc>
        <w:tc>
          <w:tcPr>
            <w:tcW w:type="dxa" w:w="1531"/>
            <w:tcMar>
              <w:top w:w="70" w:type="dxa"/>
              <w:left w:w="80" w:type="dxa"/>
              <w:bottom w:w="70" w:type="dxa"/>
              <w:right w:w="80" w:type="dxa"/>
            </w:tcMar>
          </w:tcPr>
          <w:p>
            <w:r>
              <w:rPr>
                <w:sz w:val="15"/>
              </w:rPr>
              <w:t>§28; RB-GOV-03</w:t>
            </w:r>
          </w:p>
        </w:tc>
        <w:tc>
          <w:tcPr>
            <w:tcW w:type="dxa" w:w="1531"/>
            <w:tcMar>
              <w:top w:w="70" w:type="dxa"/>
              <w:left w:w="80" w:type="dxa"/>
              <w:bottom w:w="70" w:type="dxa"/>
              <w:right w:w="80" w:type="dxa"/>
            </w:tcMar>
          </w:tcPr>
          <w:p>
            <w:r>
              <w:rPr>
                <w:sz w:val="15"/>
              </w:rPr>
              <w:t>DEFERRED - Enterprise</w:t>
            </w:r>
          </w:p>
        </w:tc>
      </w:tr>
      <w:tr>
        <w:tc>
          <w:tcPr>
            <w:tcW w:type="dxa" w:w="1531"/>
            <w:tcMar>
              <w:top w:w="70" w:type="dxa"/>
              <w:left w:w="80" w:type="dxa"/>
              <w:bottom w:w="70" w:type="dxa"/>
              <w:right w:w="80" w:type="dxa"/>
            </w:tcMar>
          </w:tcPr>
          <w:p>
            <w:r>
              <w:rPr>
                <w:sz w:val="15"/>
              </w:rPr>
              <w:t>GOV-03-R07</w:t>
            </w:r>
          </w:p>
        </w:tc>
        <w:tc>
          <w:tcPr>
            <w:tcW w:type="dxa" w:w="1531"/>
            <w:tcMar>
              <w:top w:w="70" w:type="dxa"/>
              <w:left w:w="80" w:type="dxa"/>
              <w:bottom w:w="70" w:type="dxa"/>
              <w:right w:w="80" w:type="dxa"/>
            </w:tcMar>
          </w:tcPr>
          <w:p>
            <w:r>
              <w:rPr>
                <w:sz w:val="15"/>
              </w:rPr>
              <w:t>Legal, Procurement, Vendor, Partner &amp; Compliance Operations</w:t>
            </w:r>
          </w:p>
        </w:tc>
        <w:tc>
          <w:tcPr>
            <w:tcW w:type="dxa" w:w="1531"/>
            <w:tcMar>
              <w:top w:w="70" w:type="dxa"/>
              <w:left w:w="80" w:type="dxa"/>
              <w:bottom w:w="70" w:type="dxa"/>
              <w:right w:w="80" w:type="dxa"/>
            </w:tcMar>
          </w:tcPr>
          <w:p>
            <w:r>
              <w:rPr>
                <w:sz w:val="15"/>
              </w:rPr>
              <w:t>Insurance, business continuity, intellectual property and open-source license governance.</w:t>
            </w:r>
          </w:p>
        </w:tc>
        <w:tc>
          <w:tcPr>
            <w:tcW w:type="dxa" w:w="1531"/>
            <w:tcMar>
              <w:top w:w="70" w:type="dxa"/>
              <w:left w:w="80" w:type="dxa"/>
              <w:bottom w:w="70" w:type="dxa"/>
              <w:right w:w="80" w:type="dxa"/>
            </w:tcMar>
          </w:tcPr>
          <w:p>
            <w:r>
              <w:rPr>
                <w:sz w:val="15"/>
              </w:rPr>
              <w:t>High</w:t>
            </w:r>
          </w:p>
        </w:tc>
        <w:tc>
          <w:tcPr>
            <w:tcW w:type="dxa" w:w="1531"/>
            <w:tcMar>
              <w:top w:w="70" w:type="dxa"/>
              <w:left w:w="80" w:type="dxa"/>
              <w:bottom w:w="70" w:type="dxa"/>
              <w:right w:w="80" w:type="dxa"/>
            </w:tcMar>
          </w:tcPr>
          <w:p>
            <w:r>
              <w:rPr>
                <w:sz w:val="15"/>
              </w:rPr>
              <w:t>Enterprise</w:t>
            </w:r>
          </w:p>
        </w:tc>
        <w:tc>
          <w:tcPr>
            <w:tcW w:type="dxa" w:w="1531"/>
            <w:tcMar>
              <w:top w:w="70" w:type="dxa"/>
              <w:left w:w="80" w:type="dxa"/>
              <w:bottom w:w="70" w:type="dxa"/>
              <w:right w:w="80" w:type="dxa"/>
            </w:tcMar>
          </w:tcPr>
          <w:p>
            <w:r>
              <w:rPr>
                <w:sz w:val="15"/>
              </w:rPr>
              <w:t>GOV-03</w:t>
            </w:r>
          </w:p>
        </w:tc>
        <w:tc>
          <w:tcPr>
            <w:tcW w:type="dxa" w:w="1531"/>
            <w:tcMar>
              <w:top w:w="70" w:type="dxa"/>
              <w:left w:w="80" w:type="dxa"/>
              <w:bottom w:w="70" w:type="dxa"/>
              <w:right w:w="80" w:type="dxa"/>
            </w:tcMar>
          </w:tcPr>
          <w:p>
            <w:r>
              <w:rPr>
                <w:sz w:val="15"/>
              </w:rPr>
              <w:t>§10.56 GOV-03 Implementation Contract; §24/§29/§30</w:t>
            </w:r>
          </w:p>
        </w:tc>
        <w:tc>
          <w:tcPr>
            <w:tcW w:type="dxa" w:w="1531"/>
            <w:tcMar>
              <w:top w:w="70" w:type="dxa"/>
              <w:left w:w="80" w:type="dxa"/>
              <w:bottom w:w="70" w:type="dxa"/>
              <w:right w:w="80" w:type="dxa"/>
            </w:tcMar>
          </w:tcPr>
          <w:p>
            <w:r>
              <w:rPr>
                <w:sz w:val="15"/>
              </w:rPr>
              <w:t>§27; INV-GOV-03; API/event contract tests; requirement GOV-03-R07</w:t>
            </w:r>
          </w:p>
        </w:tc>
        <w:tc>
          <w:tcPr>
            <w:tcW w:type="dxa" w:w="1531"/>
            <w:tcMar>
              <w:top w:w="70" w:type="dxa"/>
              <w:left w:w="80" w:type="dxa"/>
              <w:bottom w:w="70" w:type="dxa"/>
              <w:right w:w="80" w:type="dxa"/>
            </w:tcMar>
          </w:tcPr>
          <w:p>
            <w:r>
              <w:rPr>
                <w:sz w:val="15"/>
              </w:rPr>
              <w:t>§28; RB-GOV-03</w:t>
            </w:r>
          </w:p>
        </w:tc>
        <w:tc>
          <w:tcPr>
            <w:tcW w:type="dxa" w:w="1531"/>
            <w:tcMar>
              <w:top w:w="70" w:type="dxa"/>
              <w:left w:w="80" w:type="dxa"/>
              <w:bottom w:w="70" w:type="dxa"/>
              <w:right w:w="80" w:type="dxa"/>
            </w:tcMar>
          </w:tcPr>
          <w:p>
            <w:r>
              <w:rPr>
                <w:sz w:val="15"/>
              </w:rPr>
              <w:t>DEFERRED - Enterprise</w:t>
            </w:r>
          </w:p>
        </w:tc>
      </w:tr>
      <w:tr>
        <w:tc>
          <w:tcPr>
            <w:tcW w:type="dxa" w:w="1531"/>
            <w:tcMar>
              <w:top w:w="70" w:type="dxa"/>
              <w:left w:w="80" w:type="dxa"/>
              <w:bottom w:w="70" w:type="dxa"/>
              <w:right w:w="80" w:type="dxa"/>
            </w:tcMar>
          </w:tcPr>
          <w:p>
            <w:r>
              <w:rPr>
                <w:sz w:val="15"/>
              </w:rPr>
              <w:t>GOV-04-R01</w:t>
            </w:r>
          </w:p>
        </w:tc>
        <w:tc>
          <w:tcPr>
            <w:tcW w:type="dxa" w:w="1531"/>
            <w:tcMar>
              <w:top w:w="70" w:type="dxa"/>
              <w:left w:w="80" w:type="dxa"/>
              <w:bottom w:w="70" w:type="dxa"/>
              <w:right w:w="80" w:type="dxa"/>
            </w:tcMar>
          </w:tcPr>
          <w:p>
            <w:r>
              <w:rPr>
                <w:sz w:val="15"/>
              </w:rPr>
              <w:t>GTM Operations, Knowledge, Training, Feedback &amp; Product Education</w:t>
            </w:r>
          </w:p>
        </w:tc>
        <w:tc>
          <w:tcPr>
            <w:tcW w:type="dxa" w:w="1531"/>
            <w:tcMar>
              <w:top w:w="70" w:type="dxa"/>
              <w:left w:w="80" w:type="dxa"/>
              <w:bottom w:w="70" w:type="dxa"/>
              <w:right w:w="80" w:type="dxa"/>
            </w:tcMar>
          </w:tcPr>
          <w:p>
            <w:r>
              <w:rPr>
                <w:sz w:val="15"/>
              </w:rPr>
              <w:t>Internal sales pipeline for Gym OS leads, demos, trials, proposals, procurement, contracts and handoff.</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Pilot</w:t>
            </w:r>
          </w:p>
        </w:tc>
        <w:tc>
          <w:tcPr>
            <w:tcW w:type="dxa" w:w="1531"/>
            <w:tcMar>
              <w:top w:w="70" w:type="dxa"/>
              <w:left w:w="80" w:type="dxa"/>
              <w:bottom w:w="70" w:type="dxa"/>
              <w:right w:w="80" w:type="dxa"/>
            </w:tcMar>
          </w:tcPr>
          <w:p>
            <w:r>
              <w:rPr>
                <w:sz w:val="15"/>
              </w:rPr>
              <w:t>GOV-04</w:t>
            </w:r>
          </w:p>
        </w:tc>
        <w:tc>
          <w:tcPr>
            <w:tcW w:type="dxa" w:w="1531"/>
            <w:tcMar>
              <w:top w:w="70" w:type="dxa"/>
              <w:left w:w="80" w:type="dxa"/>
              <w:bottom w:w="70" w:type="dxa"/>
              <w:right w:w="80" w:type="dxa"/>
            </w:tcMar>
          </w:tcPr>
          <w:p>
            <w:r>
              <w:rPr>
                <w:sz w:val="15"/>
              </w:rPr>
              <w:t>§10.57 GOV-04 Implementation Contract; §24/§29/§30</w:t>
            </w:r>
          </w:p>
        </w:tc>
        <w:tc>
          <w:tcPr>
            <w:tcW w:type="dxa" w:w="1531"/>
            <w:tcMar>
              <w:top w:w="70" w:type="dxa"/>
              <w:left w:w="80" w:type="dxa"/>
              <w:bottom w:w="70" w:type="dxa"/>
              <w:right w:w="80" w:type="dxa"/>
            </w:tcMar>
          </w:tcPr>
          <w:p>
            <w:r>
              <w:rPr>
                <w:sz w:val="15"/>
              </w:rPr>
              <w:t>§27; INV-GOV-04; API/event contract tests; requirement GOV-04-R01</w:t>
            </w:r>
          </w:p>
        </w:tc>
        <w:tc>
          <w:tcPr>
            <w:tcW w:type="dxa" w:w="1531"/>
            <w:tcMar>
              <w:top w:w="70" w:type="dxa"/>
              <w:left w:w="80" w:type="dxa"/>
              <w:bottom w:w="70" w:type="dxa"/>
              <w:right w:w="80" w:type="dxa"/>
            </w:tcMar>
          </w:tcPr>
          <w:p>
            <w:r>
              <w:rPr>
                <w:sz w:val="15"/>
              </w:rPr>
              <w:t>§28; RB-GOV-04</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GOV-04-R02</w:t>
            </w:r>
          </w:p>
        </w:tc>
        <w:tc>
          <w:tcPr>
            <w:tcW w:type="dxa" w:w="1531"/>
            <w:tcMar>
              <w:top w:w="70" w:type="dxa"/>
              <w:left w:w="80" w:type="dxa"/>
              <w:bottom w:w="70" w:type="dxa"/>
              <w:right w:w="80" w:type="dxa"/>
            </w:tcMar>
          </w:tcPr>
          <w:p>
            <w:r>
              <w:rPr>
                <w:sz w:val="15"/>
              </w:rPr>
              <w:t>GTM Operations, Knowledge, Training, Feedback &amp; Product Education</w:t>
            </w:r>
          </w:p>
        </w:tc>
        <w:tc>
          <w:tcPr>
            <w:tcW w:type="dxa" w:w="1531"/>
            <w:tcMar>
              <w:top w:w="70" w:type="dxa"/>
              <w:left w:w="80" w:type="dxa"/>
              <w:bottom w:w="70" w:type="dxa"/>
              <w:right w:w="80" w:type="dxa"/>
            </w:tcMar>
          </w:tcPr>
          <w:p>
            <w:r>
              <w:rPr>
                <w:sz w:val="15"/>
              </w:rPr>
              <w:t>Demo tenants, scenario data, role-based demo scripts and resettable environments.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Pilot</w:t>
            </w:r>
          </w:p>
        </w:tc>
        <w:tc>
          <w:tcPr>
            <w:tcW w:type="dxa" w:w="1531"/>
            <w:tcMar>
              <w:top w:w="70" w:type="dxa"/>
              <w:left w:w="80" w:type="dxa"/>
              <w:bottom w:w="70" w:type="dxa"/>
              <w:right w:w="80" w:type="dxa"/>
            </w:tcMar>
          </w:tcPr>
          <w:p>
            <w:r>
              <w:rPr>
                <w:sz w:val="15"/>
              </w:rPr>
              <w:t>GOV-04</w:t>
            </w:r>
          </w:p>
        </w:tc>
        <w:tc>
          <w:tcPr>
            <w:tcW w:type="dxa" w:w="1531"/>
            <w:tcMar>
              <w:top w:w="70" w:type="dxa"/>
              <w:left w:w="80" w:type="dxa"/>
              <w:bottom w:w="70" w:type="dxa"/>
              <w:right w:w="80" w:type="dxa"/>
            </w:tcMar>
          </w:tcPr>
          <w:p>
            <w:r>
              <w:rPr>
                <w:sz w:val="15"/>
              </w:rPr>
              <w:t>§10.57 GOV-04 Implementation Contract; §24/§29/§30</w:t>
            </w:r>
          </w:p>
        </w:tc>
        <w:tc>
          <w:tcPr>
            <w:tcW w:type="dxa" w:w="1531"/>
            <w:tcMar>
              <w:top w:w="70" w:type="dxa"/>
              <w:left w:w="80" w:type="dxa"/>
              <w:bottom w:w="70" w:type="dxa"/>
              <w:right w:w="80" w:type="dxa"/>
            </w:tcMar>
          </w:tcPr>
          <w:p>
            <w:r>
              <w:rPr>
                <w:sz w:val="15"/>
              </w:rPr>
              <w:t>§27; INV-GOV-04; API/event contract tests; requirement GOV-04-R02</w:t>
            </w:r>
          </w:p>
        </w:tc>
        <w:tc>
          <w:tcPr>
            <w:tcW w:type="dxa" w:w="1531"/>
            <w:tcMar>
              <w:top w:w="70" w:type="dxa"/>
              <w:left w:w="80" w:type="dxa"/>
              <w:bottom w:w="70" w:type="dxa"/>
              <w:right w:w="80" w:type="dxa"/>
            </w:tcMar>
          </w:tcPr>
          <w:p>
            <w:r>
              <w:rPr>
                <w:sz w:val="15"/>
              </w:rPr>
              <w:t>§28; RB-GOV-04</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GOV-04-R03</w:t>
            </w:r>
          </w:p>
        </w:tc>
        <w:tc>
          <w:tcPr>
            <w:tcW w:type="dxa" w:w="1531"/>
            <w:tcMar>
              <w:top w:w="70" w:type="dxa"/>
              <w:left w:w="80" w:type="dxa"/>
              <w:bottom w:w="70" w:type="dxa"/>
              <w:right w:w="80" w:type="dxa"/>
            </w:tcMar>
          </w:tcPr>
          <w:p>
            <w:r>
              <w:rPr>
                <w:sz w:val="15"/>
              </w:rPr>
              <w:t>GTM Operations, Knowledge, Training, Feedback &amp; Product Education</w:t>
            </w:r>
          </w:p>
        </w:tc>
        <w:tc>
          <w:tcPr>
            <w:tcW w:type="dxa" w:w="1531"/>
            <w:tcMar>
              <w:top w:w="70" w:type="dxa"/>
              <w:left w:w="80" w:type="dxa"/>
              <w:bottom w:w="70" w:type="dxa"/>
              <w:right w:w="80" w:type="dxa"/>
            </w:tcMar>
          </w:tcPr>
          <w:p>
            <w:r>
              <w:rPr>
                <w:sz w:val="15"/>
              </w:rPr>
              <w:t>Knowledge base, contextual help, guided tours, release notes and troubleshooting trees.</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Pilot</w:t>
            </w:r>
          </w:p>
        </w:tc>
        <w:tc>
          <w:tcPr>
            <w:tcW w:type="dxa" w:w="1531"/>
            <w:tcMar>
              <w:top w:w="70" w:type="dxa"/>
              <w:left w:w="80" w:type="dxa"/>
              <w:bottom w:w="70" w:type="dxa"/>
              <w:right w:w="80" w:type="dxa"/>
            </w:tcMar>
          </w:tcPr>
          <w:p>
            <w:r>
              <w:rPr>
                <w:sz w:val="15"/>
              </w:rPr>
              <w:t>GOV-04</w:t>
            </w:r>
          </w:p>
        </w:tc>
        <w:tc>
          <w:tcPr>
            <w:tcW w:type="dxa" w:w="1531"/>
            <w:tcMar>
              <w:top w:w="70" w:type="dxa"/>
              <w:left w:w="80" w:type="dxa"/>
              <w:bottom w:w="70" w:type="dxa"/>
              <w:right w:w="80" w:type="dxa"/>
            </w:tcMar>
          </w:tcPr>
          <w:p>
            <w:r>
              <w:rPr>
                <w:sz w:val="15"/>
              </w:rPr>
              <w:t>§10.57 GOV-04 Implementation Contract; §24/§29/§30</w:t>
            </w:r>
          </w:p>
        </w:tc>
        <w:tc>
          <w:tcPr>
            <w:tcW w:type="dxa" w:w="1531"/>
            <w:tcMar>
              <w:top w:w="70" w:type="dxa"/>
              <w:left w:w="80" w:type="dxa"/>
              <w:bottom w:w="70" w:type="dxa"/>
              <w:right w:w="80" w:type="dxa"/>
            </w:tcMar>
          </w:tcPr>
          <w:p>
            <w:r>
              <w:rPr>
                <w:sz w:val="15"/>
              </w:rPr>
              <w:t>§27; INV-GOV-04; API/event contract tests; requirement GOV-04-R03</w:t>
            </w:r>
          </w:p>
        </w:tc>
        <w:tc>
          <w:tcPr>
            <w:tcW w:type="dxa" w:w="1531"/>
            <w:tcMar>
              <w:top w:w="70" w:type="dxa"/>
              <w:left w:w="80" w:type="dxa"/>
              <w:bottom w:w="70" w:type="dxa"/>
              <w:right w:w="80" w:type="dxa"/>
            </w:tcMar>
          </w:tcPr>
          <w:p>
            <w:r>
              <w:rPr>
                <w:sz w:val="15"/>
              </w:rPr>
              <w:t>§28; RB-GOV-04</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GOV-04-R04</w:t>
            </w:r>
          </w:p>
        </w:tc>
        <w:tc>
          <w:tcPr>
            <w:tcW w:type="dxa" w:w="1531"/>
            <w:tcMar>
              <w:top w:w="70" w:type="dxa"/>
              <w:left w:w="80" w:type="dxa"/>
              <w:bottom w:w="70" w:type="dxa"/>
              <w:right w:w="80" w:type="dxa"/>
            </w:tcMar>
          </w:tcPr>
          <w:p>
            <w:r>
              <w:rPr>
                <w:sz w:val="15"/>
              </w:rPr>
              <w:t>GTM Operations, Knowledge, Training, Feedback &amp; Product Education</w:t>
            </w:r>
          </w:p>
        </w:tc>
        <w:tc>
          <w:tcPr>
            <w:tcW w:type="dxa" w:w="1531"/>
            <w:tcMar>
              <w:top w:w="70" w:type="dxa"/>
              <w:left w:w="80" w:type="dxa"/>
              <w:bottom w:w="70" w:type="dxa"/>
              <w:right w:w="80" w:type="dxa"/>
            </w:tcMar>
          </w:tcPr>
          <w:p>
            <w:r>
              <w:rPr>
                <w:sz w:val="15"/>
              </w:rPr>
              <w:t>Admin Academy, Coach Academy, implementation training and partner certification.</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Pilot</w:t>
            </w:r>
          </w:p>
        </w:tc>
        <w:tc>
          <w:tcPr>
            <w:tcW w:type="dxa" w:w="1531"/>
            <w:tcMar>
              <w:top w:w="70" w:type="dxa"/>
              <w:left w:w="80" w:type="dxa"/>
              <w:bottom w:w="70" w:type="dxa"/>
              <w:right w:w="80" w:type="dxa"/>
            </w:tcMar>
          </w:tcPr>
          <w:p>
            <w:r>
              <w:rPr>
                <w:sz w:val="15"/>
              </w:rPr>
              <w:t>GOV-04</w:t>
            </w:r>
          </w:p>
        </w:tc>
        <w:tc>
          <w:tcPr>
            <w:tcW w:type="dxa" w:w="1531"/>
            <w:tcMar>
              <w:top w:w="70" w:type="dxa"/>
              <w:left w:w="80" w:type="dxa"/>
              <w:bottom w:w="70" w:type="dxa"/>
              <w:right w:w="80" w:type="dxa"/>
            </w:tcMar>
          </w:tcPr>
          <w:p>
            <w:r>
              <w:rPr>
                <w:sz w:val="15"/>
              </w:rPr>
              <w:t>§10.57 GOV-04 Implementation Contract; §24/§29/§30</w:t>
            </w:r>
          </w:p>
        </w:tc>
        <w:tc>
          <w:tcPr>
            <w:tcW w:type="dxa" w:w="1531"/>
            <w:tcMar>
              <w:top w:w="70" w:type="dxa"/>
              <w:left w:w="80" w:type="dxa"/>
              <w:bottom w:w="70" w:type="dxa"/>
              <w:right w:w="80" w:type="dxa"/>
            </w:tcMar>
          </w:tcPr>
          <w:p>
            <w:r>
              <w:rPr>
                <w:sz w:val="15"/>
              </w:rPr>
              <w:t>§27; INV-GOV-04; API/event contract tests; requirement GOV-04-R04</w:t>
            </w:r>
          </w:p>
        </w:tc>
        <w:tc>
          <w:tcPr>
            <w:tcW w:type="dxa" w:w="1531"/>
            <w:tcMar>
              <w:top w:w="70" w:type="dxa"/>
              <w:left w:w="80" w:type="dxa"/>
              <w:bottom w:w="70" w:type="dxa"/>
              <w:right w:w="80" w:type="dxa"/>
            </w:tcMar>
          </w:tcPr>
          <w:p>
            <w:r>
              <w:rPr>
                <w:sz w:val="15"/>
              </w:rPr>
              <w:t>§28; RB-GOV-04</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GOV-04-R05</w:t>
            </w:r>
          </w:p>
        </w:tc>
        <w:tc>
          <w:tcPr>
            <w:tcW w:type="dxa" w:w="1531"/>
            <w:tcMar>
              <w:top w:w="70" w:type="dxa"/>
              <w:left w:w="80" w:type="dxa"/>
              <w:bottom w:w="70" w:type="dxa"/>
              <w:right w:w="80" w:type="dxa"/>
            </w:tcMar>
          </w:tcPr>
          <w:p>
            <w:r>
              <w:rPr>
                <w:sz w:val="15"/>
              </w:rPr>
              <w:t>GTM Operations, Knowledge, Training, Feedback &amp; Product Education</w:t>
            </w:r>
          </w:p>
        </w:tc>
        <w:tc>
          <w:tcPr>
            <w:tcW w:type="dxa" w:w="1531"/>
            <w:tcMar>
              <w:top w:w="70" w:type="dxa"/>
              <w:left w:w="80" w:type="dxa"/>
              <w:bottom w:w="70" w:type="dxa"/>
              <w:right w:w="80" w:type="dxa"/>
            </w:tcMar>
          </w:tcPr>
          <w:p>
            <w:r>
              <w:rPr>
                <w:sz w:val="15"/>
              </w:rPr>
              <w:t>Feedback intake from support, NPS, interviews, in-product prompts, sales and partners with deduplication.</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Pilot</w:t>
            </w:r>
          </w:p>
        </w:tc>
        <w:tc>
          <w:tcPr>
            <w:tcW w:type="dxa" w:w="1531"/>
            <w:tcMar>
              <w:top w:w="70" w:type="dxa"/>
              <w:left w:w="80" w:type="dxa"/>
              <w:bottom w:w="70" w:type="dxa"/>
              <w:right w:w="80" w:type="dxa"/>
            </w:tcMar>
          </w:tcPr>
          <w:p>
            <w:r>
              <w:rPr>
                <w:sz w:val="15"/>
              </w:rPr>
              <w:t>GOV-04</w:t>
            </w:r>
          </w:p>
        </w:tc>
        <w:tc>
          <w:tcPr>
            <w:tcW w:type="dxa" w:w="1531"/>
            <w:tcMar>
              <w:top w:w="70" w:type="dxa"/>
              <w:left w:w="80" w:type="dxa"/>
              <w:bottom w:w="70" w:type="dxa"/>
              <w:right w:w="80" w:type="dxa"/>
            </w:tcMar>
          </w:tcPr>
          <w:p>
            <w:r>
              <w:rPr>
                <w:sz w:val="15"/>
              </w:rPr>
              <w:t>§10.57 GOV-04 Implementation Contract; §24/§29/§30</w:t>
            </w:r>
          </w:p>
        </w:tc>
        <w:tc>
          <w:tcPr>
            <w:tcW w:type="dxa" w:w="1531"/>
            <w:tcMar>
              <w:top w:w="70" w:type="dxa"/>
              <w:left w:w="80" w:type="dxa"/>
              <w:bottom w:w="70" w:type="dxa"/>
              <w:right w:w="80" w:type="dxa"/>
            </w:tcMar>
          </w:tcPr>
          <w:p>
            <w:r>
              <w:rPr>
                <w:sz w:val="15"/>
              </w:rPr>
              <w:t>§27; INV-GOV-04; API/event contract tests; requirement GOV-04-R05</w:t>
            </w:r>
          </w:p>
        </w:tc>
        <w:tc>
          <w:tcPr>
            <w:tcW w:type="dxa" w:w="1531"/>
            <w:tcMar>
              <w:top w:w="70" w:type="dxa"/>
              <w:left w:w="80" w:type="dxa"/>
              <w:bottom w:w="70" w:type="dxa"/>
              <w:right w:w="80" w:type="dxa"/>
            </w:tcMar>
          </w:tcPr>
          <w:p>
            <w:r>
              <w:rPr>
                <w:sz w:val="15"/>
              </w:rPr>
              <w:t>§28; RB-GOV-04</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GOV-04-R06</w:t>
            </w:r>
          </w:p>
        </w:tc>
        <w:tc>
          <w:tcPr>
            <w:tcW w:type="dxa" w:w="1531"/>
            <w:tcMar>
              <w:top w:w="70" w:type="dxa"/>
              <w:left w:w="80" w:type="dxa"/>
              <w:bottom w:w="70" w:type="dxa"/>
              <w:right w:w="80" w:type="dxa"/>
            </w:tcMar>
          </w:tcPr>
          <w:p>
            <w:r>
              <w:rPr>
                <w:sz w:val="15"/>
              </w:rPr>
              <w:t>GTM Operations, Knowledge, Training, Feedback &amp; Product Education</w:t>
            </w:r>
          </w:p>
        </w:tc>
        <w:tc>
          <w:tcPr>
            <w:tcW w:type="dxa" w:w="1531"/>
            <w:tcMar>
              <w:top w:w="70" w:type="dxa"/>
              <w:left w:w="80" w:type="dxa"/>
              <w:bottom w:w="70" w:type="dxa"/>
              <w:right w:w="80" w:type="dxa"/>
            </w:tcMar>
          </w:tcPr>
          <w:p>
            <w:r>
              <w:rPr>
                <w:sz w:val="15"/>
              </w:rPr>
              <w:t>Opportunity repository linking problem evidence, affected segment, value, risk and decision.</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Pilot</w:t>
            </w:r>
          </w:p>
        </w:tc>
        <w:tc>
          <w:tcPr>
            <w:tcW w:type="dxa" w:w="1531"/>
            <w:tcMar>
              <w:top w:w="70" w:type="dxa"/>
              <w:left w:w="80" w:type="dxa"/>
              <w:bottom w:w="70" w:type="dxa"/>
              <w:right w:w="80" w:type="dxa"/>
            </w:tcMar>
          </w:tcPr>
          <w:p>
            <w:r>
              <w:rPr>
                <w:sz w:val="15"/>
              </w:rPr>
              <w:t>GOV-04</w:t>
            </w:r>
          </w:p>
        </w:tc>
        <w:tc>
          <w:tcPr>
            <w:tcW w:type="dxa" w:w="1531"/>
            <w:tcMar>
              <w:top w:w="70" w:type="dxa"/>
              <w:left w:w="80" w:type="dxa"/>
              <w:bottom w:w="70" w:type="dxa"/>
              <w:right w:w="80" w:type="dxa"/>
            </w:tcMar>
          </w:tcPr>
          <w:p>
            <w:r>
              <w:rPr>
                <w:sz w:val="15"/>
              </w:rPr>
              <w:t>§10.57 GOV-04 Implementation Contract; §24/§29/§30</w:t>
            </w:r>
          </w:p>
        </w:tc>
        <w:tc>
          <w:tcPr>
            <w:tcW w:type="dxa" w:w="1531"/>
            <w:tcMar>
              <w:top w:w="70" w:type="dxa"/>
              <w:left w:w="80" w:type="dxa"/>
              <w:bottom w:w="70" w:type="dxa"/>
              <w:right w:w="80" w:type="dxa"/>
            </w:tcMar>
          </w:tcPr>
          <w:p>
            <w:r>
              <w:rPr>
                <w:sz w:val="15"/>
              </w:rPr>
              <w:t>§27; INV-GOV-04; API/event contract tests; requirement GOV-04-R06</w:t>
            </w:r>
          </w:p>
        </w:tc>
        <w:tc>
          <w:tcPr>
            <w:tcW w:type="dxa" w:w="1531"/>
            <w:tcMar>
              <w:top w:w="70" w:type="dxa"/>
              <w:left w:w="80" w:type="dxa"/>
              <w:bottom w:w="70" w:type="dxa"/>
              <w:right w:w="80" w:type="dxa"/>
            </w:tcMar>
          </w:tcPr>
          <w:p>
            <w:r>
              <w:rPr>
                <w:sz w:val="15"/>
              </w:rPr>
              <w:t>§28; RB-GOV-04</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GOV-04-R07</w:t>
            </w:r>
          </w:p>
        </w:tc>
        <w:tc>
          <w:tcPr>
            <w:tcW w:type="dxa" w:w="1531"/>
            <w:tcMar>
              <w:top w:w="70" w:type="dxa"/>
              <w:left w:w="80" w:type="dxa"/>
              <w:bottom w:w="70" w:type="dxa"/>
              <w:right w:w="80" w:type="dxa"/>
            </w:tcMar>
          </w:tcPr>
          <w:p>
            <w:r>
              <w:rPr>
                <w:sz w:val="15"/>
              </w:rPr>
              <w:t>GTM Operations, Knowledge, Training, Feedback &amp; Product Education</w:t>
            </w:r>
          </w:p>
        </w:tc>
        <w:tc>
          <w:tcPr>
            <w:tcW w:type="dxa" w:w="1531"/>
            <w:tcMar>
              <w:top w:w="70" w:type="dxa"/>
              <w:left w:w="80" w:type="dxa"/>
              <w:bottom w:w="70" w:type="dxa"/>
              <w:right w:w="80" w:type="dxa"/>
            </w:tcMar>
          </w:tcPr>
          <w:p>
            <w:r>
              <w:rPr>
                <w:sz w:val="15"/>
              </w:rPr>
              <w:t>Adoption campaigns and capability education targeted by tenant configuration and behavior.</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Pilot</w:t>
            </w:r>
          </w:p>
        </w:tc>
        <w:tc>
          <w:tcPr>
            <w:tcW w:type="dxa" w:w="1531"/>
            <w:tcMar>
              <w:top w:w="70" w:type="dxa"/>
              <w:left w:w="80" w:type="dxa"/>
              <w:bottom w:w="70" w:type="dxa"/>
              <w:right w:w="80" w:type="dxa"/>
            </w:tcMar>
          </w:tcPr>
          <w:p>
            <w:r>
              <w:rPr>
                <w:sz w:val="15"/>
              </w:rPr>
              <w:t>GOV-04</w:t>
            </w:r>
          </w:p>
        </w:tc>
        <w:tc>
          <w:tcPr>
            <w:tcW w:type="dxa" w:w="1531"/>
            <w:tcMar>
              <w:top w:w="70" w:type="dxa"/>
              <w:left w:w="80" w:type="dxa"/>
              <w:bottom w:w="70" w:type="dxa"/>
              <w:right w:w="80" w:type="dxa"/>
            </w:tcMar>
          </w:tcPr>
          <w:p>
            <w:r>
              <w:rPr>
                <w:sz w:val="15"/>
              </w:rPr>
              <w:t>§10.57 GOV-04 Implementation Contract; §24/§29/§30</w:t>
            </w:r>
          </w:p>
        </w:tc>
        <w:tc>
          <w:tcPr>
            <w:tcW w:type="dxa" w:w="1531"/>
            <w:tcMar>
              <w:top w:w="70" w:type="dxa"/>
              <w:left w:w="80" w:type="dxa"/>
              <w:bottom w:w="70" w:type="dxa"/>
              <w:right w:w="80" w:type="dxa"/>
            </w:tcMar>
          </w:tcPr>
          <w:p>
            <w:r>
              <w:rPr>
                <w:sz w:val="15"/>
              </w:rPr>
              <w:t>§27; INV-GOV-04; API/event contract tests; requirement GOV-04-R07</w:t>
            </w:r>
          </w:p>
        </w:tc>
        <w:tc>
          <w:tcPr>
            <w:tcW w:type="dxa" w:w="1531"/>
            <w:tcMar>
              <w:top w:w="70" w:type="dxa"/>
              <w:left w:w="80" w:type="dxa"/>
              <w:bottom w:w="70" w:type="dxa"/>
              <w:right w:w="80" w:type="dxa"/>
            </w:tcMar>
          </w:tcPr>
          <w:p>
            <w:r>
              <w:rPr>
                <w:sz w:val="15"/>
              </w:rPr>
              <w:t>§28; RB-GOV-04</w:t>
            </w:r>
          </w:p>
        </w:tc>
        <w:tc>
          <w:tcPr>
            <w:tcW w:type="dxa" w:w="1531"/>
            <w:tcMar>
              <w:top w:w="70" w:type="dxa"/>
              <w:left w:w="80" w:type="dxa"/>
              <w:bottom w:w="70" w:type="dxa"/>
              <w:right w:w="80" w:type="dxa"/>
            </w:tcMar>
          </w:tcPr>
          <w:p>
            <w:r>
              <w:rPr>
                <w:sz w:val="15"/>
              </w:rPr>
              <w:t>DESIGNED - re-audit required</w:t>
            </w:r>
          </w:p>
        </w:tc>
      </w:tr>
      <w:tr>
        <w:tc>
          <w:tcPr>
            <w:tcW w:type="dxa" w:w="1531"/>
            <w:tcMar>
              <w:top w:w="70" w:type="dxa"/>
              <w:left w:w="80" w:type="dxa"/>
              <w:bottom w:w="70" w:type="dxa"/>
              <w:right w:w="80" w:type="dxa"/>
            </w:tcMar>
          </w:tcPr>
          <w:p>
            <w:r>
              <w:rPr>
                <w:sz w:val="15"/>
              </w:rPr>
              <w:t>GOV-04-R08</w:t>
            </w:r>
          </w:p>
        </w:tc>
        <w:tc>
          <w:tcPr>
            <w:tcW w:type="dxa" w:w="1531"/>
            <w:tcMar>
              <w:top w:w="70" w:type="dxa"/>
              <w:left w:w="80" w:type="dxa"/>
              <w:bottom w:w="70" w:type="dxa"/>
              <w:right w:w="80" w:type="dxa"/>
            </w:tcMar>
          </w:tcPr>
          <w:p>
            <w:r>
              <w:rPr>
                <w:sz w:val="15"/>
              </w:rPr>
              <w:t>GTM Operations, Knowledge, Training, Feedback &amp; Product Education</w:t>
            </w:r>
          </w:p>
        </w:tc>
        <w:tc>
          <w:tcPr>
            <w:tcW w:type="dxa" w:w="1531"/>
            <w:tcMar>
              <w:top w:w="70" w:type="dxa"/>
              <w:left w:w="80" w:type="dxa"/>
              <w:bottom w:w="70" w:type="dxa"/>
              <w:right w:w="80" w:type="dxa"/>
            </w:tcMar>
          </w:tcPr>
          <w:p>
            <w:r>
              <w:rPr>
                <w:sz w:val="15"/>
              </w:rPr>
              <w:t>Release and deprecation communication by impacted tenant, role and integration.</w:t>
            </w:r>
          </w:p>
        </w:tc>
        <w:tc>
          <w:tcPr>
            <w:tcW w:type="dxa" w:w="1531"/>
            <w:tcMar>
              <w:top w:w="70" w:type="dxa"/>
              <w:left w:w="80" w:type="dxa"/>
              <w:bottom w:w="70" w:type="dxa"/>
              <w:right w:w="80" w:type="dxa"/>
            </w:tcMar>
          </w:tcPr>
          <w:p>
            <w:r>
              <w:rPr>
                <w:sz w:val="15"/>
              </w:rPr>
              <w:t>Critical</w:t>
            </w:r>
          </w:p>
        </w:tc>
        <w:tc>
          <w:tcPr>
            <w:tcW w:type="dxa" w:w="1531"/>
            <w:tcMar>
              <w:top w:w="70" w:type="dxa"/>
              <w:left w:w="80" w:type="dxa"/>
              <w:bottom w:w="70" w:type="dxa"/>
              <w:right w:w="80" w:type="dxa"/>
            </w:tcMar>
          </w:tcPr>
          <w:p>
            <w:r>
              <w:rPr>
                <w:sz w:val="15"/>
              </w:rPr>
              <w:t>Pilot</w:t>
            </w:r>
          </w:p>
        </w:tc>
        <w:tc>
          <w:tcPr>
            <w:tcW w:type="dxa" w:w="1531"/>
            <w:tcMar>
              <w:top w:w="70" w:type="dxa"/>
              <w:left w:w="80" w:type="dxa"/>
              <w:bottom w:w="70" w:type="dxa"/>
              <w:right w:w="80" w:type="dxa"/>
            </w:tcMar>
          </w:tcPr>
          <w:p>
            <w:r>
              <w:rPr>
                <w:sz w:val="15"/>
              </w:rPr>
              <w:t>GOV-04</w:t>
            </w:r>
          </w:p>
        </w:tc>
        <w:tc>
          <w:tcPr>
            <w:tcW w:type="dxa" w:w="1531"/>
            <w:tcMar>
              <w:top w:w="70" w:type="dxa"/>
              <w:left w:w="80" w:type="dxa"/>
              <w:bottom w:w="70" w:type="dxa"/>
              <w:right w:w="80" w:type="dxa"/>
            </w:tcMar>
          </w:tcPr>
          <w:p>
            <w:r>
              <w:rPr>
                <w:sz w:val="15"/>
              </w:rPr>
              <w:t>§10.57 GOV-04 Implementation Contract; §24/§29/§30</w:t>
            </w:r>
          </w:p>
        </w:tc>
        <w:tc>
          <w:tcPr>
            <w:tcW w:type="dxa" w:w="1531"/>
            <w:tcMar>
              <w:top w:w="70" w:type="dxa"/>
              <w:left w:w="80" w:type="dxa"/>
              <w:bottom w:w="70" w:type="dxa"/>
              <w:right w:w="80" w:type="dxa"/>
            </w:tcMar>
          </w:tcPr>
          <w:p>
            <w:r>
              <w:rPr>
                <w:sz w:val="15"/>
              </w:rPr>
              <w:t>§27; INV-GOV-04; API/event contract tests; requirement GOV-04-R08</w:t>
            </w:r>
          </w:p>
        </w:tc>
        <w:tc>
          <w:tcPr>
            <w:tcW w:type="dxa" w:w="1531"/>
            <w:tcMar>
              <w:top w:w="70" w:type="dxa"/>
              <w:left w:w="80" w:type="dxa"/>
              <w:bottom w:w="70" w:type="dxa"/>
              <w:right w:w="80" w:type="dxa"/>
            </w:tcMar>
          </w:tcPr>
          <w:p>
            <w:r>
              <w:rPr>
                <w:sz w:val="15"/>
              </w:rPr>
              <w:t>§28; RB-GOV-04</w:t>
            </w:r>
          </w:p>
        </w:tc>
        <w:tc>
          <w:tcPr>
            <w:tcW w:type="dxa" w:w="1531"/>
            <w:tcMar>
              <w:top w:w="70" w:type="dxa"/>
              <w:left w:w="80" w:type="dxa"/>
              <w:bottom w:w="70" w:type="dxa"/>
              <w:right w:w="80" w:type="dxa"/>
            </w:tcMar>
          </w:tcPr>
          <w:p>
            <w:r>
              <w:rPr>
                <w:sz w:val="15"/>
              </w:rPr>
              <w:t>DESIGNED - re-audit required</w:t>
            </w:r>
          </w:p>
        </w:tc>
      </w:tr>
    </w:tbl>
    <w:p>
      <w:pPr>
        <w:spacing w:after="40"/>
      </w:pPr>
    </w:p>
    <w:p>
      <w:pPr>
        <w:pStyle w:val="Heading1"/>
        <w:keepNext/>
      </w:pPr>
      <w:r>
        <w:t>Appendix C. Domain Event Catalog</w:t>
      </w:r>
    </w:p>
    <w:p>
      <w:pPr>
        <w:spacing w:after="100" w:line="259" w:lineRule="auto"/>
      </w:pPr>
      <w:r>
        <w:rPr>
          <w:rFonts w:ascii="Noto Sans" w:hAnsi="Noto Sans"/>
        </w:rPr>
        <w:t>This catalog is the initial business-event vocabulary. Event payloads must follow Section 12 envelope, schema compatibility, minimization and ownership rules.</w:t>
      </w:r>
    </w:p>
    <w:tbl>
      <w:tblPr>
        <w:tblStyle w:val="TableGrid"/>
        <w:tblW w:type="dxa" w:w="15308"/>
        <w:jc w:val="center"/>
        <w:tblLayout w:type="autofit"/>
        <w:tblLook w:firstColumn="1" w:firstRow="1" w:lastColumn="0" w:lastRow="0" w:noHBand="0" w:noVBand="1" w:val="04A0"/>
      </w:tblPr>
      <w:tblGrid>
        <w:gridCol w:w="3279"/>
        <w:gridCol w:w="3280"/>
        <w:gridCol w:w="3280"/>
        <w:gridCol w:w="3280"/>
        <w:gridCol w:w="973"/>
        <w:gridCol w:w="1216"/>
      </w:tblGrid>
      <w:tr>
        <w:trPr>
          <w:tblHeader w:val="true"/>
          <w:tblHeader w:val="true"/>
        </w:trPr>
        <w:tc>
          <w:tcPr>
            <w:tcW w:type="dxa" w:w="1277"/>
            <w:shd w:fill="2F5B86"/>
            <w:tcMar>
              <w:top w:w="70" w:type="dxa"/>
              <w:start w:w="90" w:type="dxa"/>
              <w:bottom w:w="70" w:type="dxa"/>
              <w:end w:w="90" w:type="dxa"/>
              <w:left w:w="80" w:type="dxa"/>
              <w:right w:w="80" w:type="dxa"/>
            </w:tcMar>
            <w:vAlign w:val="center"/>
          </w:tcPr>
          <w:p>
            <w:pPr>
              <w:jc w:val="center"/>
            </w:pPr>
            <w:r>
              <w:rPr>
                <w:rFonts w:ascii="Noto Sans" w:hAnsi="Noto Sans"/>
                <w:b/>
                <w:color w:val="FFFFFF"/>
                <w:sz w:val="14"/>
              </w:rPr>
              <w:t>Domain</w:t>
            </w:r>
          </w:p>
        </w:tc>
        <w:tc>
          <w:tcPr>
            <w:tcW w:type="dxa" w:w="3161"/>
            <w:shd w:fill="2F5B86"/>
            <w:tcMar>
              <w:top w:w="70" w:type="dxa"/>
              <w:start w:w="90" w:type="dxa"/>
              <w:bottom w:w="70" w:type="dxa"/>
              <w:end w:w="90" w:type="dxa"/>
              <w:left w:w="80" w:type="dxa"/>
              <w:right w:w="80" w:type="dxa"/>
            </w:tcMar>
            <w:vAlign w:val="center"/>
          </w:tcPr>
          <w:p>
            <w:pPr>
              <w:jc w:val="center"/>
            </w:pPr>
            <w:r>
              <w:rPr>
                <w:rFonts w:ascii="Noto Sans" w:hAnsi="Noto Sans"/>
                <w:b/>
                <w:color w:val="FFFFFF"/>
                <w:sz w:val="14"/>
              </w:rPr>
              <w:t>Name</w:t>
            </w:r>
          </w:p>
        </w:tc>
        <w:tc>
          <w:tcPr>
            <w:tcW w:type="dxa" w:w="7416"/>
            <w:shd w:fill="2F5B86"/>
            <w:tcMar>
              <w:top w:w="70" w:type="dxa"/>
              <w:start w:w="90" w:type="dxa"/>
              <w:bottom w:w="70" w:type="dxa"/>
              <w:end w:w="90" w:type="dxa"/>
              <w:left w:w="80" w:type="dxa"/>
              <w:right w:w="80" w:type="dxa"/>
            </w:tcMar>
            <w:vAlign w:val="center"/>
          </w:tcPr>
          <w:p>
            <w:pPr>
              <w:jc w:val="center"/>
            </w:pPr>
            <w:r>
              <w:rPr>
                <w:rFonts w:ascii="Noto Sans" w:hAnsi="Noto Sans"/>
                <w:b/>
                <w:color w:val="FFFFFF"/>
                <w:sz w:val="14"/>
              </w:rPr>
              <w:t>Initial Events</w:t>
            </w:r>
          </w:p>
        </w:tc>
        <w:tc>
          <w:tcPr>
            <w:tcW w:type="dxa" w:w="1702"/>
            <w:shd w:fill="2F5B86"/>
            <w:tcMar>
              <w:top w:w="70" w:type="dxa"/>
              <w:start w:w="90" w:type="dxa"/>
              <w:bottom w:w="70" w:type="dxa"/>
              <w:end w:w="90" w:type="dxa"/>
              <w:left w:w="80" w:type="dxa"/>
              <w:right w:w="80" w:type="dxa"/>
            </w:tcMar>
            <w:vAlign w:val="center"/>
          </w:tcPr>
          <w:p>
            <w:pPr>
              <w:jc w:val="center"/>
            </w:pPr>
            <w:r>
              <w:rPr>
                <w:rFonts w:ascii="Noto Sans" w:hAnsi="Noto Sans"/>
                <w:b/>
                <w:color w:val="FFFFFF"/>
                <w:sz w:val="14"/>
              </w:rPr>
              <w:t>Phase</w:t>
            </w:r>
          </w:p>
        </w:tc>
        <w:tc>
          <w:tcPr>
            <w:tcW w:type="dxa" w:w="973"/>
            <w:vAlign w:val="center"/>
            <w:tcMar>
              <w:top w:w="70" w:type="dxa"/>
              <w:left w:w="80" w:type="dxa"/>
              <w:bottom w:w="70" w:type="dxa"/>
              <w:right w:w="80" w:type="dxa"/>
            </w:tcMar>
          </w:tcPr>
          <w:p>
            <w:r>
              <w:rPr>
                <w:b/>
              </w:rPr>
              <w:t>Event Class</w:t>
            </w:r>
          </w:p>
        </w:tc>
        <w:tc>
          <w:tcPr>
            <w:tcW w:type="dxa" w:w="1216"/>
            <w:vAlign w:val="center"/>
            <w:tcMar>
              <w:top w:w="70" w:type="dxa"/>
              <w:left w:w="80" w:type="dxa"/>
              <w:bottom w:w="70" w:type="dxa"/>
              <w:right w:w="80" w:type="dxa"/>
            </w:tcMar>
          </w:tcPr>
          <w:p>
            <w:r>
              <w:rPr>
                <w:b/>
              </w:rPr>
              <w:t>Replay / Retention Rule</w:t>
            </w:r>
          </w:p>
        </w:tc>
      </w:tr>
      <w:tr>
        <w:tc>
          <w:tcPr>
            <w:tcW w:type="dxa" w:w="127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PLT-01</w:t>
            </w:r>
          </w:p>
        </w:tc>
        <w:tc>
          <w:tcPr>
            <w:tcW w:type="dxa" w:w="316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Tenant, Organization, Brand &amp; Location Management</w:t>
            </w:r>
          </w:p>
        </w:tc>
        <w:tc>
          <w:tcPr>
            <w:tcW w:type="dxa" w:w="7416"/>
            <w:tcMar>
              <w:top w:w="70" w:type="dxa"/>
              <w:start w:w="85" w:type="dxa"/>
              <w:bottom w:w="70" w:type="dxa"/>
              <w:end w:w="85" w:type="dxa"/>
              <w:left w:w="80" w:type="dxa"/>
              <w:right w:w="80" w:type="dxa"/>
            </w:tcMar>
            <w:vAlign w:val="center"/>
          </w:tcPr>
          <w:p>
            <w:r>
              <w:t>tenant.provisioned, tenant.activated, tenant.suspended, organization.updated, location.opened, brand.created</w:t>
            </w:r>
          </w:p>
        </w:tc>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Foundation</w:t>
            </w:r>
          </w:p>
        </w:tc>
        <w:tc>
          <w:tcPr>
            <w:tcW w:type="dxa" w:w="973"/>
            <w:tcMar>
              <w:top w:w="70" w:type="dxa"/>
              <w:left w:w="80" w:type="dxa"/>
              <w:bottom w:w="70" w:type="dxa"/>
              <w:right w:w="80" w:type="dxa"/>
            </w:tcMar>
          </w:tcPr>
          <w:p>
            <w:r>
              <w:t>Business domain events</w:t>
            </w:r>
          </w:p>
        </w:tc>
        <w:tc>
          <w:tcPr>
            <w:tcW w:type="dxa" w:w="1216"/>
            <w:tcMar>
              <w:top w:w="70" w:type="dxa"/>
              <w:left w:w="80" w:type="dxa"/>
              <w:bottom w:w="70" w:type="dxa"/>
              <w:right w:w="80" w:type="dxa"/>
            </w:tcMar>
          </w:tcPr>
          <w:p>
            <w:r>
              <w:t>Durable contract; outbox; replay-safe class required; archived per classification</w:t>
            </w:r>
          </w:p>
        </w:tc>
      </w:tr>
      <w:tr>
        <w:tc>
          <w:tcPr>
            <w:tcW w:type="dxa" w:w="127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PLT-02</w:t>
            </w:r>
          </w:p>
        </w:tc>
        <w:tc>
          <w:tcPr>
            <w:tcW w:type="dxa" w:w="316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Configuration, Feature Flags &amp; Experimentation</w:t>
            </w:r>
          </w:p>
        </w:tc>
        <w:tc>
          <w:tcPr>
            <w:tcW w:type="dxa" w:w="7416"/>
            <w:tcMar>
              <w:top w:w="70" w:type="dxa"/>
              <w:start w:w="85" w:type="dxa"/>
              <w:bottom w:w="70" w:type="dxa"/>
              <w:end w:w="85" w:type="dxa"/>
              <w:left w:w="80" w:type="dxa"/>
              <w:right w:w="80" w:type="dxa"/>
            </w:tcMar>
            <w:vAlign w:val="center"/>
          </w:tcPr>
          <w:p>
            <w:r>
              <w:t>configuration.changed, feature_flag.evaluated, experiment.exposed, experiment.completed</w:t>
            </w:r>
          </w:p>
        </w:tc>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Foundation</w:t>
            </w:r>
          </w:p>
        </w:tc>
        <w:tc>
          <w:tcPr>
            <w:tcW w:type="dxa" w:w="973"/>
            <w:tcMar>
              <w:top w:w="70" w:type="dxa"/>
              <w:left w:w="80" w:type="dxa"/>
              <w:bottom w:w="70" w:type="dxa"/>
              <w:right w:w="80" w:type="dxa"/>
            </w:tcMar>
          </w:tcPr>
          <w:p>
            <w:r>
              <w:t>Telemetry / diagnostic signals</w:t>
            </w:r>
          </w:p>
        </w:tc>
        <w:tc>
          <w:tcPr>
            <w:tcW w:type="dxa" w:w="1216"/>
            <w:tcMar>
              <w:top w:w="70" w:type="dxa"/>
              <w:left w:w="80" w:type="dxa"/>
              <w:bottom w:w="70" w:type="dxa"/>
              <w:right w:w="80" w:type="dxa"/>
            </w:tcMar>
          </w:tcPr>
          <w:p>
            <w:r>
              <w:t>Sampled/bounded; never authoritative</w:t>
            </w:r>
          </w:p>
        </w:tc>
      </w:tr>
      <w:tr>
        <w:tc>
          <w:tcPr>
            <w:tcW w:type="dxa" w:w="127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PLT-03</w:t>
            </w:r>
          </w:p>
        </w:tc>
        <w:tc>
          <w:tcPr>
            <w:tcW w:type="dxa" w:w="316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SaaS Plans, Subscription Billing, Metering &amp; Entitlements</w:t>
            </w:r>
          </w:p>
        </w:tc>
        <w:tc>
          <w:tcPr>
            <w:tcW w:type="dxa" w:w="7416"/>
            <w:tcMar>
              <w:top w:w="70" w:type="dxa"/>
              <w:start w:w="85" w:type="dxa"/>
              <w:bottom w:w="70" w:type="dxa"/>
              <w:end w:w="85" w:type="dxa"/>
              <w:left w:w="80" w:type="dxa"/>
              <w:right w:w="80" w:type="dxa"/>
            </w:tcMar>
            <w:vAlign w:val="center"/>
          </w:tcPr>
          <w:p>
            <w:r>
              <w:t>saas.subscription.started, saas.subscription.changed, saas.usage.recorded, saas.quota.reached, saas.payment.failed</w:t>
            </w:r>
          </w:p>
        </w:tc>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Foundation</w:t>
            </w:r>
          </w:p>
        </w:tc>
        <w:tc>
          <w:tcPr>
            <w:tcW w:type="dxa" w:w="973"/>
            <w:tcMar>
              <w:top w:w="70" w:type="dxa"/>
              <w:left w:w="80" w:type="dxa"/>
              <w:bottom w:w="70" w:type="dxa"/>
              <w:right w:w="80" w:type="dxa"/>
            </w:tcMar>
          </w:tcPr>
          <w:p>
            <w:r>
              <w:t>Business domain events</w:t>
            </w:r>
          </w:p>
        </w:tc>
        <w:tc>
          <w:tcPr>
            <w:tcW w:type="dxa" w:w="1216"/>
            <w:tcMar>
              <w:top w:w="70" w:type="dxa"/>
              <w:left w:w="80" w:type="dxa"/>
              <w:bottom w:w="70" w:type="dxa"/>
              <w:right w:w="80" w:type="dxa"/>
            </w:tcMar>
          </w:tcPr>
          <w:p>
            <w:r>
              <w:t>Durable contract; outbox; replay-safe class required; archived per classification</w:t>
            </w:r>
          </w:p>
        </w:tc>
      </w:tr>
      <w:tr>
        <w:tc>
          <w:tcPr>
            <w:tcW w:type="dxa" w:w="127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PLT-04</w:t>
            </w:r>
          </w:p>
        </w:tc>
        <w:tc>
          <w:tcPr>
            <w:tcW w:type="dxa" w:w="316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Internal Administration, Support &amp; Customer Success</w:t>
            </w:r>
          </w:p>
        </w:tc>
        <w:tc>
          <w:tcPr>
            <w:tcW w:type="dxa" w:w="7416"/>
            <w:tcMar>
              <w:top w:w="70" w:type="dxa"/>
              <w:start w:w="85" w:type="dxa"/>
              <w:bottom w:w="70" w:type="dxa"/>
              <w:end w:w="85" w:type="dxa"/>
              <w:left w:w="80" w:type="dxa"/>
              <w:right w:w="80" w:type="dxa"/>
            </w:tcMar>
            <w:vAlign w:val="center"/>
          </w:tcPr>
          <w:p>
            <w:r>
              <w:t>tenant.health.changed, support.session.started, support.ticket.escalated, renewal.risk.detected, support.session.ended</w:t>
            </w:r>
          </w:p>
        </w:tc>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Pilot</w:t>
            </w:r>
          </w:p>
        </w:tc>
        <w:tc>
          <w:tcPr>
            <w:tcW w:type="dxa" w:w="973"/>
            <w:tcMar>
              <w:top w:w="70" w:type="dxa"/>
              <w:left w:w="80" w:type="dxa"/>
              <w:bottom w:w="70" w:type="dxa"/>
              <w:right w:w="80" w:type="dxa"/>
            </w:tcMar>
          </w:tcPr>
          <w:p>
            <w:r>
              <w:t>Business domain events</w:t>
            </w:r>
          </w:p>
        </w:tc>
        <w:tc>
          <w:tcPr>
            <w:tcW w:type="dxa" w:w="1216"/>
            <w:tcMar>
              <w:top w:w="70" w:type="dxa"/>
              <w:left w:w="80" w:type="dxa"/>
              <w:bottom w:w="70" w:type="dxa"/>
              <w:right w:w="80" w:type="dxa"/>
            </w:tcMar>
          </w:tcPr>
          <w:p>
            <w:r>
              <w:t>Durable contract; outbox; replay-safe class required; archived per classification</w:t>
            </w:r>
          </w:p>
        </w:tc>
      </w:tr>
      <w:tr>
        <w:tc>
          <w:tcPr>
            <w:tcW w:type="dxa" w:w="127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IAM-01</w:t>
            </w:r>
          </w:p>
        </w:tc>
        <w:tc>
          <w:tcPr>
            <w:tcW w:type="dxa" w:w="316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Identity, Authentication, Passkeys &amp; Device Sessions</w:t>
            </w:r>
          </w:p>
        </w:tc>
        <w:tc>
          <w:tcPr>
            <w:tcW w:type="dxa" w:w="7416"/>
            <w:tcMar>
              <w:top w:w="70" w:type="dxa"/>
              <w:start w:w="85" w:type="dxa"/>
              <w:bottom w:w="70" w:type="dxa"/>
              <w:end w:w="85" w:type="dxa"/>
              <w:left w:w="80" w:type="dxa"/>
              <w:right w:w="80" w:type="dxa"/>
            </w:tcMar>
            <w:vAlign w:val="center"/>
          </w:tcPr>
          <w:p>
            <w:r>
              <w:t>identity.created, authentication.succeeded, authentication.failed, session.revoked, passkey.registered, risk.challenge.required</w:t>
            </w:r>
          </w:p>
        </w:tc>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Foundation</w:t>
            </w:r>
          </w:p>
        </w:tc>
        <w:tc>
          <w:tcPr>
            <w:tcW w:type="dxa" w:w="973"/>
            <w:tcMar>
              <w:top w:w="70" w:type="dxa"/>
              <w:left w:w="80" w:type="dxa"/>
              <w:bottom w:w="70" w:type="dxa"/>
              <w:right w:w="80" w:type="dxa"/>
            </w:tcMar>
          </w:tcPr>
          <w:p>
            <w:r>
              <w:t>Business domain events</w:t>
            </w:r>
          </w:p>
        </w:tc>
        <w:tc>
          <w:tcPr>
            <w:tcW w:type="dxa" w:w="1216"/>
            <w:tcMar>
              <w:top w:w="70" w:type="dxa"/>
              <w:left w:w="80" w:type="dxa"/>
              <w:bottom w:w="70" w:type="dxa"/>
              <w:right w:w="80" w:type="dxa"/>
            </w:tcMar>
          </w:tcPr>
          <w:p>
            <w:r>
              <w:t>Durable contract; outbox; replay-safe class required; archived per classification</w:t>
            </w:r>
          </w:p>
        </w:tc>
      </w:tr>
      <w:tr>
        <w:tc>
          <w:tcPr>
            <w:tcW w:type="dxa" w:w="127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IAM-02</w:t>
            </w:r>
          </w:p>
        </w:tc>
        <w:tc>
          <w:tcPr>
            <w:tcW w:type="dxa" w:w="316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Biometric Identity &amp; Physical Access Methods</w:t>
            </w:r>
          </w:p>
        </w:tc>
        <w:tc>
          <w:tcPr>
            <w:tcW w:type="dxa" w:w="7416"/>
            <w:tcMar>
              <w:top w:w="70" w:type="dxa"/>
              <w:start w:w="85" w:type="dxa"/>
              <w:bottom w:w="70" w:type="dxa"/>
              <w:end w:w="85" w:type="dxa"/>
              <w:left w:w="80" w:type="dxa"/>
              <w:right w:w="80" w:type="dxa"/>
            </w:tcMar>
            <w:vAlign w:val="center"/>
          </w:tcPr>
          <w:p>
            <w:r>
              <w:t>biometric.enrolled, biometric.revoked, liveness.failed, access_credential.issued, wallet_pass.updated</w:t>
            </w:r>
          </w:p>
        </w:tc>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V2 Platform</w:t>
            </w:r>
          </w:p>
        </w:tc>
        <w:tc>
          <w:tcPr>
            <w:tcW w:type="dxa" w:w="973"/>
            <w:tcMar>
              <w:top w:w="70" w:type="dxa"/>
              <w:left w:w="80" w:type="dxa"/>
              <w:bottom w:w="70" w:type="dxa"/>
              <w:right w:w="80" w:type="dxa"/>
            </w:tcMar>
          </w:tcPr>
          <w:p>
            <w:r>
              <w:t>Business domain events</w:t>
            </w:r>
          </w:p>
        </w:tc>
        <w:tc>
          <w:tcPr>
            <w:tcW w:type="dxa" w:w="1216"/>
            <w:tcMar>
              <w:top w:w="70" w:type="dxa"/>
              <w:left w:w="80" w:type="dxa"/>
              <w:bottom w:w="70" w:type="dxa"/>
              <w:right w:w="80" w:type="dxa"/>
            </w:tcMar>
          </w:tcPr>
          <w:p>
            <w:r>
              <w:t>Durable contract; outbox; replay-safe class required; archived per classification</w:t>
            </w:r>
          </w:p>
        </w:tc>
      </w:tr>
      <w:tr>
        <w:tc>
          <w:tcPr>
            <w:tcW w:type="dxa" w:w="127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IAM-03</w:t>
            </w:r>
          </w:p>
        </w:tc>
        <w:tc>
          <w:tcPr>
            <w:tcW w:type="dxa" w:w="316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Authorization, Roles, Permissions, Approvals &amp; Audit</w:t>
            </w:r>
          </w:p>
        </w:tc>
        <w:tc>
          <w:tcPr>
            <w:tcW w:type="dxa" w:w="7416"/>
            <w:tcMar>
              <w:top w:w="70" w:type="dxa"/>
              <w:start w:w="85" w:type="dxa"/>
              <w:bottom w:w="70" w:type="dxa"/>
              <w:end w:w="85" w:type="dxa"/>
              <w:left w:w="80" w:type="dxa"/>
              <w:right w:w="80" w:type="dxa"/>
            </w:tcMar>
            <w:vAlign w:val="center"/>
          </w:tcPr>
          <w:p>
            <w:r>
              <w:t>role.assigned, permission.denied, approval.requested, approval.completed, audit_event.recorded</w:t>
            </w:r>
          </w:p>
        </w:tc>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Foundation</w:t>
            </w:r>
          </w:p>
        </w:tc>
        <w:tc>
          <w:tcPr>
            <w:tcW w:type="dxa" w:w="973"/>
            <w:tcMar>
              <w:top w:w="70" w:type="dxa"/>
              <w:left w:w="80" w:type="dxa"/>
              <w:bottom w:w="70" w:type="dxa"/>
              <w:right w:w="80" w:type="dxa"/>
            </w:tcMar>
          </w:tcPr>
          <w:p>
            <w:r>
              <w:t>Business domain events</w:t>
            </w:r>
          </w:p>
        </w:tc>
        <w:tc>
          <w:tcPr>
            <w:tcW w:type="dxa" w:w="1216"/>
            <w:tcMar>
              <w:top w:w="70" w:type="dxa"/>
              <w:left w:w="80" w:type="dxa"/>
              <w:bottom w:w="70" w:type="dxa"/>
              <w:right w:w="80" w:type="dxa"/>
            </w:tcMar>
          </w:tcPr>
          <w:p>
            <w:r>
              <w:t>Durable contract; outbox; replay-safe class required; archived per classification</w:t>
            </w:r>
          </w:p>
        </w:tc>
      </w:tr>
      <w:tr>
        <w:tc>
          <w:tcPr>
            <w:tcW w:type="dxa" w:w="127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PPL-01</w:t>
            </w:r>
          </w:p>
        </w:tc>
        <w:tc>
          <w:tcPr>
            <w:tcW w:type="dxa" w:w="316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People, Profiles &amp; Member 360</w:t>
            </w:r>
          </w:p>
        </w:tc>
        <w:tc>
          <w:tcPr>
            <w:tcW w:type="dxa" w:w="7416"/>
            <w:tcMar>
              <w:top w:w="70" w:type="dxa"/>
              <w:start w:w="85" w:type="dxa"/>
              <w:bottom w:w="70" w:type="dxa"/>
              <w:end w:w="85" w:type="dxa"/>
              <w:left w:w="80" w:type="dxa"/>
              <w:right w:w="80" w:type="dxa"/>
            </w:tcMar>
            <w:vAlign w:val="center"/>
          </w:tcPr>
          <w:p>
            <w:r>
              <w:t>person.created, profile.updated, member.lifecycle.changed, person.merged, relationship.created</w:t>
            </w:r>
          </w:p>
        </w:tc>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Foundation</w:t>
            </w:r>
          </w:p>
        </w:tc>
        <w:tc>
          <w:tcPr>
            <w:tcW w:type="dxa" w:w="973"/>
            <w:tcMar>
              <w:top w:w="70" w:type="dxa"/>
              <w:left w:w="80" w:type="dxa"/>
              <w:bottom w:w="70" w:type="dxa"/>
              <w:right w:w="80" w:type="dxa"/>
            </w:tcMar>
          </w:tcPr>
          <w:p>
            <w:r>
              <w:t>Business domain events</w:t>
            </w:r>
          </w:p>
        </w:tc>
        <w:tc>
          <w:tcPr>
            <w:tcW w:type="dxa" w:w="1216"/>
            <w:tcMar>
              <w:top w:w="70" w:type="dxa"/>
              <w:left w:w="80" w:type="dxa"/>
              <w:bottom w:w="70" w:type="dxa"/>
              <w:right w:w="80" w:type="dxa"/>
            </w:tcMar>
          </w:tcPr>
          <w:p>
            <w:r>
              <w:t>Durable contract; outbox; replay-safe class required; archived per classification</w:t>
            </w:r>
          </w:p>
        </w:tc>
      </w:tr>
      <w:tr>
        <w:tc>
          <w:tcPr>
            <w:tcW w:type="dxa" w:w="127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PPL-02</w:t>
            </w:r>
          </w:p>
        </w:tc>
        <w:tc>
          <w:tcPr>
            <w:tcW w:type="dxa" w:w="316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Households, Dependents, Guests &amp; Eligibility</w:t>
            </w:r>
          </w:p>
        </w:tc>
        <w:tc>
          <w:tcPr>
            <w:tcW w:type="dxa" w:w="7416"/>
            <w:tcMar>
              <w:top w:w="70" w:type="dxa"/>
              <w:start w:w="85" w:type="dxa"/>
              <w:bottom w:w="70" w:type="dxa"/>
              <w:end w:w="85" w:type="dxa"/>
              <w:left w:w="80" w:type="dxa"/>
              <w:right w:w="80" w:type="dxa"/>
            </w:tcMar>
            <w:vAlign w:val="center"/>
          </w:tcPr>
          <w:p>
            <w:r>
              <w:t>household.created, dependent.added, eligibility.verified, guest_pass.issued, trial.converted</w:t>
            </w:r>
          </w:p>
        </w:tc>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V1 General Availability</w:t>
            </w:r>
          </w:p>
        </w:tc>
        <w:tc>
          <w:tcPr>
            <w:tcW w:type="dxa" w:w="973"/>
            <w:tcMar>
              <w:top w:w="70" w:type="dxa"/>
              <w:left w:w="80" w:type="dxa"/>
              <w:bottom w:w="70" w:type="dxa"/>
              <w:right w:w="80" w:type="dxa"/>
            </w:tcMar>
          </w:tcPr>
          <w:p>
            <w:r>
              <w:t>Business domain events</w:t>
            </w:r>
          </w:p>
        </w:tc>
        <w:tc>
          <w:tcPr>
            <w:tcW w:type="dxa" w:w="1216"/>
            <w:tcMar>
              <w:top w:w="70" w:type="dxa"/>
              <w:left w:w="80" w:type="dxa"/>
              <w:bottom w:w="70" w:type="dxa"/>
              <w:right w:w="80" w:type="dxa"/>
            </w:tcMar>
          </w:tcPr>
          <w:p>
            <w:r>
              <w:t>Durable contract; outbox; replay-safe class required; archived per classification</w:t>
            </w:r>
          </w:p>
        </w:tc>
      </w:tr>
      <w:tr>
        <w:tc>
          <w:tcPr>
            <w:tcW w:type="dxa" w:w="127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GRO-01</w:t>
            </w:r>
          </w:p>
        </w:tc>
        <w:tc>
          <w:tcPr>
            <w:tcW w:type="dxa" w:w="316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CRM, Leads, Sales Pipeline &amp; Trials</w:t>
            </w:r>
          </w:p>
        </w:tc>
        <w:tc>
          <w:tcPr>
            <w:tcW w:type="dxa" w:w="7416"/>
            <w:tcMar>
              <w:top w:w="70" w:type="dxa"/>
              <w:start w:w="85" w:type="dxa"/>
              <w:bottom w:w="70" w:type="dxa"/>
              <w:end w:w="85" w:type="dxa"/>
              <w:left w:w="80" w:type="dxa"/>
              <w:right w:w="80" w:type="dxa"/>
            </w:tcMar>
            <w:vAlign w:val="center"/>
          </w:tcPr>
          <w:p>
            <w:r>
              <w:t>lead.created, lead.assigned, trial.booked, trial.attended, offer.sent, opportunity.won, opportunity.lost</w:t>
            </w:r>
          </w:p>
        </w:tc>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V1 General Availability</w:t>
            </w:r>
          </w:p>
        </w:tc>
        <w:tc>
          <w:tcPr>
            <w:tcW w:type="dxa" w:w="973"/>
            <w:tcMar>
              <w:top w:w="70" w:type="dxa"/>
              <w:left w:w="80" w:type="dxa"/>
              <w:bottom w:w="70" w:type="dxa"/>
              <w:right w:w="80" w:type="dxa"/>
            </w:tcMar>
          </w:tcPr>
          <w:p>
            <w:r>
              <w:t>Business domain events</w:t>
            </w:r>
          </w:p>
        </w:tc>
        <w:tc>
          <w:tcPr>
            <w:tcW w:type="dxa" w:w="1216"/>
            <w:tcMar>
              <w:top w:w="70" w:type="dxa"/>
              <w:left w:w="80" w:type="dxa"/>
              <w:bottom w:w="70" w:type="dxa"/>
              <w:right w:w="80" w:type="dxa"/>
            </w:tcMar>
          </w:tcPr>
          <w:p>
            <w:r>
              <w:t>Durable contract; outbox; replay-safe class required; archived per classification</w:t>
            </w:r>
          </w:p>
        </w:tc>
      </w:tr>
      <w:tr>
        <w:tc>
          <w:tcPr>
            <w:tcW w:type="dxa" w:w="127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GRO-02</w:t>
            </w:r>
          </w:p>
        </w:tc>
        <w:tc>
          <w:tcPr>
            <w:tcW w:type="dxa" w:w="316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Marketing, Referrals, Offers &amp; Growth Journeys</w:t>
            </w:r>
          </w:p>
        </w:tc>
        <w:tc>
          <w:tcPr>
            <w:tcW w:type="dxa" w:w="7416"/>
            <w:tcMar>
              <w:top w:w="70" w:type="dxa"/>
              <w:start w:w="85" w:type="dxa"/>
              <w:bottom w:w="70" w:type="dxa"/>
              <w:end w:w="85" w:type="dxa"/>
              <w:left w:w="80" w:type="dxa"/>
              <w:right w:w="80" w:type="dxa"/>
            </w:tcMar>
            <w:vAlign w:val="center"/>
          </w:tcPr>
          <w:p>
            <w:r>
              <w:t>campaign.launched, message.delivered, referral.created, referral.qualified, offer.redeemed, journey.completed</w:t>
            </w:r>
          </w:p>
        </w:tc>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V1.5 Growth</w:t>
            </w:r>
          </w:p>
        </w:tc>
        <w:tc>
          <w:tcPr>
            <w:tcW w:type="dxa" w:w="973"/>
            <w:tcMar>
              <w:top w:w="70" w:type="dxa"/>
              <w:left w:w="80" w:type="dxa"/>
              <w:bottom w:w="70" w:type="dxa"/>
              <w:right w:w="80" w:type="dxa"/>
            </w:tcMar>
          </w:tcPr>
          <w:p>
            <w:r>
              <w:t>Business domain events</w:t>
            </w:r>
          </w:p>
        </w:tc>
        <w:tc>
          <w:tcPr>
            <w:tcW w:type="dxa" w:w="1216"/>
            <w:tcMar>
              <w:top w:w="70" w:type="dxa"/>
              <w:left w:w="80" w:type="dxa"/>
              <w:bottom w:w="70" w:type="dxa"/>
              <w:right w:w="80" w:type="dxa"/>
            </w:tcMar>
          </w:tcPr>
          <w:p>
            <w:r>
              <w:t>Durable contract; outbox; replay-safe class required; archived per classification</w:t>
            </w:r>
          </w:p>
        </w:tc>
      </w:tr>
      <w:tr>
        <w:tc>
          <w:tcPr>
            <w:tcW w:type="dxa" w:w="127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COM-01</w:t>
            </w:r>
          </w:p>
        </w:tc>
        <w:tc>
          <w:tcPr>
            <w:tcW w:type="dxa" w:w="316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Memberships, Contracts, Entitlements &amp; Lifecycle</w:t>
            </w:r>
          </w:p>
        </w:tc>
        <w:tc>
          <w:tcPr>
            <w:tcW w:type="dxa" w:w="7416"/>
            <w:tcMar>
              <w:top w:w="70" w:type="dxa"/>
              <w:start w:w="85" w:type="dxa"/>
              <w:bottom w:w="70" w:type="dxa"/>
              <w:end w:w="85" w:type="dxa"/>
              <w:left w:w="80" w:type="dxa"/>
              <w:right w:w="80" w:type="dxa"/>
            </w:tcMar>
            <w:vAlign w:val="center"/>
          </w:tcPr>
          <w:p>
            <w:r>
              <w:t>membership.created, membership.activated, membership.frozen, membership.changed, membership.renewed, membership.cancelled, entitlement.changed, membership.resumed, membership.expired, membership.transferred, entitlement.granted, entitlement.reserved, entitlement.consumed, entitlement.released, entitlement.expired, entitlement.revoked</w:t>
            </w:r>
          </w:p>
        </w:tc>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V1 General Availability</w:t>
            </w:r>
          </w:p>
        </w:tc>
        <w:tc>
          <w:tcPr>
            <w:tcW w:type="dxa" w:w="973"/>
            <w:tcMar>
              <w:top w:w="70" w:type="dxa"/>
              <w:left w:w="80" w:type="dxa"/>
              <w:bottom w:w="70" w:type="dxa"/>
              <w:right w:w="80" w:type="dxa"/>
            </w:tcMar>
          </w:tcPr>
          <w:p>
            <w:r>
              <w:t>Business domain events</w:t>
            </w:r>
          </w:p>
        </w:tc>
        <w:tc>
          <w:tcPr>
            <w:tcW w:type="dxa" w:w="1216"/>
            <w:tcMar>
              <w:top w:w="70" w:type="dxa"/>
              <w:left w:w="80" w:type="dxa"/>
              <w:bottom w:w="70" w:type="dxa"/>
              <w:right w:w="80" w:type="dxa"/>
            </w:tcMar>
          </w:tcPr>
          <w:p>
            <w:r>
              <w:t>Durable contract; outbox; replay-safe class required; archived per classification</w:t>
            </w:r>
          </w:p>
        </w:tc>
      </w:tr>
      <w:tr>
        <w:tc>
          <w:tcPr>
            <w:tcW w:type="dxa" w:w="127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COM-02</w:t>
            </w:r>
          </w:p>
        </w:tc>
        <w:tc>
          <w:tcPr>
            <w:tcW w:type="dxa" w:w="316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Catalog, Pricing, Promotions &amp; Packages</w:t>
            </w:r>
          </w:p>
        </w:tc>
        <w:tc>
          <w:tcPr>
            <w:tcW w:type="dxa" w:w="7416"/>
            <w:tcMar>
              <w:top w:w="70" w:type="dxa"/>
              <w:start w:w="85" w:type="dxa"/>
              <w:bottom w:w="70" w:type="dxa"/>
              <w:end w:w="85" w:type="dxa"/>
              <w:left w:w="80" w:type="dxa"/>
              <w:right w:w="80" w:type="dxa"/>
            </w:tcMar>
            <w:vAlign w:val="center"/>
          </w:tcPr>
          <w:p>
            <w:r>
              <w:t>product.published, price.changed, promotion.activated, coupon.redeemed, bundle.fulfilled</w:t>
            </w:r>
          </w:p>
        </w:tc>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V1 General Availability</w:t>
            </w:r>
          </w:p>
        </w:tc>
        <w:tc>
          <w:tcPr>
            <w:tcW w:type="dxa" w:w="973"/>
            <w:tcMar>
              <w:top w:w="70" w:type="dxa"/>
              <w:left w:w="80" w:type="dxa"/>
              <w:bottom w:w="70" w:type="dxa"/>
              <w:right w:w="80" w:type="dxa"/>
            </w:tcMar>
          </w:tcPr>
          <w:p>
            <w:r>
              <w:t>Business domain events</w:t>
            </w:r>
          </w:p>
        </w:tc>
        <w:tc>
          <w:tcPr>
            <w:tcW w:type="dxa" w:w="1216"/>
            <w:tcMar>
              <w:top w:w="70" w:type="dxa"/>
              <w:left w:w="80" w:type="dxa"/>
              <w:bottom w:w="70" w:type="dxa"/>
              <w:right w:w="80" w:type="dxa"/>
            </w:tcMar>
          </w:tcPr>
          <w:p>
            <w:r>
              <w:t>Durable contract; outbox; replay-safe class required; archived per classification</w:t>
            </w:r>
          </w:p>
        </w:tc>
      </w:tr>
      <w:tr>
        <w:tc>
          <w:tcPr>
            <w:tcW w:type="dxa" w:w="127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COM-03</w:t>
            </w:r>
          </w:p>
        </w:tc>
        <w:tc>
          <w:tcPr>
            <w:tcW w:type="dxa" w:w="316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Member Billing, Payments, Tax &amp; Revenue Recovery</w:t>
            </w:r>
          </w:p>
        </w:tc>
        <w:tc>
          <w:tcPr>
            <w:tcW w:type="dxa" w:w="7416"/>
            <w:tcMar>
              <w:top w:w="70" w:type="dxa"/>
              <w:start w:w="85" w:type="dxa"/>
              <w:bottom w:w="70" w:type="dxa"/>
              <w:end w:w="85" w:type="dxa"/>
              <w:left w:w="80" w:type="dxa"/>
              <w:right w:w="80" w:type="dxa"/>
            </w:tcMar>
            <w:vAlign w:val="center"/>
          </w:tcPr>
          <w:p>
            <w:r>
              <w:t>invoice.issued, payment.succeeded, payment.failed, dunning.started, refund.completed, chargeback.opened, payment_request.sent</w:t>
            </w:r>
          </w:p>
        </w:tc>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V1 General Availability</w:t>
            </w:r>
          </w:p>
        </w:tc>
        <w:tc>
          <w:tcPr>
            <w:tcW w:type="dxa" w:w="973"/>
            <w:tcMar>
              <w:top w:w="70" w:type="dxa"/>
              <w:left w:w="80" w:type="dxa"/>
              <w:bottom w:w="70" w:type="dxa"/>
              <w:right w:w="80" w:type="dxa"/>
            </w:tcMar>
          </w:tcPr>
          <w:p>
            <w:r>
              <w:t>Business domain events</w:t>
            </w:r>
          </w:p>
        </w:tc>
        <w:tc>
          <w:tcPr>
            <w:tcW w:type="dxa" w:w="1216"/>
            <w:tcMar>
              <w:top w:w="70" w:type="dxa"/>
              <w:left w:w="80" w:type="dxa"/>
              <w:bottom w:w="70" w:type="dxa"/>
              <w:right w:w="80" w:type="dxa"/>
            </w:tcMar>
          </w:tcPr>
          <w:p>
            <w:r>
              <w:t>Durable contract; outbox; replay-safe class required; archived per classification</w:t>
            </w:r>
          </w:p>
        </w:tc>
      </w:tr>
      <w:tr>
        <w:tc>
          <w:tcPr>
            <w:tcW w:type="dxa" w:w="127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COM-04</w:t>
            </w:r>
          </w:p>
        </w:tc>
        <w:tc>
          <w:tcPr>
            <w:tcW w:type="dxa" w:w="316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Financial Ledger, Wallet, Credits &amp; Reconciliation</w:t>
            </w:r>
          </w:p>
        </w:tc>
        <w:tc>
          <w:tcPr>
            <w:tcW w:type="dxa" w:w="7416"/>
            <w:tcMar>
              <w:top w:w="70" w:type="dxa"/>
              <w:start w:w="85" w:type="dxa"/>
              <w:bottom w:w="70" w:type="dxa"/>
              <w:end w:w="85" w:type="dxa"/>
              <w:left w:w="80" w:type="dxa"/>
              <w:right w:w="80" w:type="dxa"/>
            </w:tcMar>
            <w:vAlign w:val="center"/>
          </w:tcPr>
          <w:p>
            <w:r>
              <w:t>ledger.posted, wallet.credited, wallet.debited, credit.consumed, settlement.imported, reconciliation.mismatch.detected, credit.issued</w:t>
            </w:r>
          </w:p>
        </w:tc>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V1 General Availability</w:t>
            </w:r>
          </w:p>
        </w:tc>
        <w:tc>
          <w:tcPr>
            <w:tcW w:type="dxa" w:w="973"/>
            <w:tcMar>
              <w:top w:w="70" w:type="dxa"/>
              <w:left w:w="80" w:type="dxa"/>
              <w:bottom w:w="70" w:type="dxa"/>
              <w:right w:w="80" w:type="dxa"/>
            </w:tcMar>
          </w:tcPr>
          <w:p>
            <w:r>
              <w:t>Business domain events</w:t>
            </w:r>
          </w:p>
        </w:tc>
        <w:tc>
          <w:tcPr>
            <w:tcW w:type="dxa" w:w="1216"/>
            <w:tcMar>
              <w:top w:w="70" w:type="dxa"/>
              <w:left w:w="80" w:type="dxa"/>
              <w:bottom w:w="70" w:type="dxa"/>
              <w:right w:w="80" w:type="dxa"/>
            </w:tcMar>
          </w:tcPr>
          <w:p>
            <w:r>
              <w:t>Durable contract; outbox; replay-safe class required; archived per classification</w:t>
            </w:r>
          </w:p>
        </w:tc>
      </w:tr>
      <w:tr>
        <w:tc>
          <w:tcPr>
            <w:tcW w:type="dxa" w:w="127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COM-05</w:t>
            </w:r>
          </w:p>
        </w:tc>
        <w:tc>
          <w:tcPr>
            <w:tcW w:type="dxa" w:w="316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Point of Sale, Ecommerce &amp; Order Fulfillment</w:t>
            </w:r>
          </w:p>
        </w:tc>
        <w:tc>
          <w:tcPr>
            <w:tcW w:type="dxa" w:w="7416"/>
            <w:tcMar>
              <w:top w:w="70" w:type="dxa"/>
              <w:start w:w="85" w:type="dxa"/>
              <w:bottom w:w="70" w:type="dxa"/>
              <w:end w:w="85" w:type="dxa"/>
              <w:left w:w="80" w:type="dxa"/>
              <w:right w:w="80" w:type="dxa"/>
            </w:tcMar>
            <w:vAlign w:val="center"/>
          </w:tcPr>
          <w:p>
            <w:r>
              <w:t>cart.created, order.completed, cash_shift.opened, return.completed, receipt.sent, fulfillment.completed</w:t>
            </w:r>
          </w:p>
        </w:tc>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V1 General Availability</w:t>
            </w:r>
          </w:p>
        </w:tc>
        <w:tc>
          <w:tcPr>
            <w:tcW w:type="dxa" w:w="973"/>
            <w:tcMar>
              <w:top w:w="70" w:type="dxa"/>
              <w:left w:w="80" w:type="dxa"/>
              <w:bottom w:w="70" w:type="dxa"/>
              <w:right w:w="80" w:type="dxa"/>
            </w:tcMar>
          </w:tcPr>
          <w:p>
            <w:r>
              <w:t>Business domain events</w:t>
            </w:r>
          </w:p>
        </w:tc>
        <w:tc>
          <w:tcPr>
            <w:tcW w:type="dxa" w:w="1216"/>
            <w:tcMar>
              <w:top w:w="70" w:type="dxa"/>
              <w:left w:w="80" w:type="dxa"/>
              <w:bottom w:w="70" w:type="dxa"/>
              <w:right w:w="80" w:type="dxa"/>
            </w:tcMar>
          </w:tcPr>
          <w:p>
            <w:r>
              <w:t>Durable contract; outbox; replay-safe class required; archived per classification</w:t>
            </w:r>
          </w:p>
        </w:tc>
      </w:tr>
      <w:tr>
        <w:tc>
          <w:tcPr>
            <w:tcW w:type="dxa" w:w="127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COM-06</w:t>
            </w:r>
          </w:p>
        </w:tc>
        <w:tc>
          <w:tcPr>
            <w:tcW w:type="dxa" w:w="316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Inventory, Purchasing, Suppliers &amp; Stock Control</w:t>
            </w:r>
          </w:p>
        </w:tc>
        <w:tc>
          <w:tcPr>
            <w:tcW w:type="dxa" w:w="7416"/>
            <w:tcMar>
              <w:top w:w="70" w:type="dxa"/>
              <w:start w:w="85" w:type="dxa"/>
              <w:bottom w:w="70" w:type="dxa"/>
              <w:end w:w="85" w:type="dxa"/>
              <w:left w:w="80" w:type="dxa"/>
              <w:right w:w="80" w:type="dxa"/>
            </w:tcMar>
            <w:vAlign w:val="center"/>
          </w:tcPr>
          <w:p>
            <w:r>
              <w:t>stock.received, stock.reserved, stock.adjusted, stock.transferred, stock.low, lot.expiring, purchase_order.approved</w:t>
            </w:r>
          </w:p>
        </w:tc>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V1.5 Growth</w:t>
            </w:r>
          </w:p>
        </w:tc>
        <w:tc>
          <w:tcPr>
            <w:tcW w:type="dxa" w:w="973"/>
            <w:tcMar>
              <w:top w:w="70" w:type="dxa"/>
              <w:left w:w="80" w:type="dxa"/>
              <w:bottom w:w="70" w:type="dxa"/>
              <w:right w:w="80" w:type="dxa"/>
            </w:tcMar>
          </w:tcPr>
          <w:p>
            <w:r>
              <w:t>Business domain events</w:t>
            </w:r>
          </w:p>
        </w:tc>
        <w:tc>
          <w:tcPr>
            <w:tcW w:type="dxa" w:w="1216"/>
            <w:tcMar>
              <w:top w:w="70" w:type="dxa"/>
              <w:left w:w="80" w:type="dxa"/>
              <w:bottom w:w="70" w:type="dxa"/>
              <w:right w:w="80" w:type="dxa"/>
            </w:tcMar>
          </w:tcPr>
          <w:p>
            <w:r>
              <w:t>Durable contract; outbox; replay-safe class required; archived per classification</w:t>
            </w:r>
          </w:p>
        </w:tc>
      </w:tr>
      <w:tr>
        <w:tc>
          <w:tcPr>
            <w:tcW w:type="dxa" w:w="127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OPS-01</w:t>
            </w:r>
          </w:p>
        </w:tc>
        <w:tc>
          <w:tcPr>
            <w:tcW w:type="dxa" w:w="316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Scheduling, Resources &amp; Capacity</w:t>
            </w:r>
          </w:p>
        </w:tc>
        <w:tc>
          <w:tcPr>
            <w:tcW w:type="dxa" w:w="7416"/>
            <w:tcMar>
              <w:top w:w="70" w:type="dxa"/>
              <w:start w:w="85" w:type="dxa"/>
              <w:bottom w:w="70" w:type="dxa"/>
              <w:end w:w="85" w:type="dxa"/>
              <w:left w:w="80" w:type="dxa"/>
              <w:right w:w="80" w:type="dxa"/>
            </w:tcMar>
            <w:vAlign w:val="center"/>
          </w:tcPr>
          <w:p>
            <w:r>
              <w:t>schedule.published, session.created, session.changed, resource.conflict.detected, instructor.substituted</w:t>
            </w:r>
          </w:p>
        </w:tc>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V1 General Availability</w:t>
            </w:r>
          </w:p>
        </w:tc>
        <w:tc>
          <w:tcPr>
            <w:tcW w:type="dxa" w:w="973"/>
            <w:tcMar>
              <w:top w:w="70" w:type="dxa"/>
              <w:left w:w="80" w:type="dxa"/>
              <w:bottom w:w="70" w:type="dxa"/>
              <w:right w:w="80" w:type="dxa"/>
            </w:tcMar>
          </w:tcPr>
          <w:p>
            <w:r>
              <w:t>Business domain events</w:t>
            </w:r>
          </w:p>
        </w:tc>
        <w:tc>
          <w:tcPr>
            <w:tcW w:type="dxa" w:w="1216"/>
            <w:tcMar>
              <w:top w:w="70" w:type="dxa"/>
              <w:left w:w="80" w:type="dxa"/>
              <w:bottom w:w="70" w:type="dxa"/>
              <w:right w:w="80" w:type="dxa"/>
            </w:tcMar>
          </w:tcPr>
          <w:p>
            <w:r>
              <w:t>Durable contract; outbox; replay-safe class required; archived per classification</w:t>
            </w:r>
          </w:p>
        </w:tc>
      </w:tr>
      <w:tr>
        <w:tc>
          <w:tcPr>
            <w:tcW w:type="dxa" w:w="127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OPS-02</w:t>
            </w:r>
          </w:p>
        </w:tc>
        <w:tc>
          <w:tcPr>
            <w:tcW w:type="dxa" w:w="316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Booking, Waitlist &amp; No-show Intelligence</w:t>
            </w:r>
          </w:p>
        </w:tc>
        <w:tc>
          <w:tcPr>
            <w:tcW w:type="dxa" w:w="7416"/>
            <w:tcMar>
              <w:top w:w="70" w:type="dxa"/>
              <w:start w:w="85" w:type="dxa"/>
              <w:bottom w:w="70" w:type="dxa"/>
              <w:end w:w="85" w:type="dxa"/>
              <w:left w:w="80" w:type="dxa"/>
              <w:right w:w="80" w:type="dxa"/>
            </w:tcMar>
            <w:vAlign w:val="center"/>
          </w:tcPr>
          <w:p>
            <w:r>
              <w:t>booking.created, booking.cancelled, waitlist.joined, waitlist.promoted, no_show.recorded, booking.checked_in</w:t>
            </w:r>
          </w:p>
        </w:tc>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V1 General Availability</w:t>
            </w:r>
          </w:p>
        </w:tc>
        <w:tc>
          <w:tcPr>
            <w:tcW w:type="dxa" w:w="973"/>
            <w:tcMar>
              <w:top w:w="70" w:type="dxa"/>
              <w:left w:w="80" w:type="dxa"/>
              <w:bottom w:w="70" w:type="dxa"/>
              <w:right w:w="80" w:type="dxa"/>
            </w:tcMar>
          </w:tcPr>
          <w:p>
            <w:r>
              <w:t>Business domain events</w:t>
            </w:r>
          </w:p>
        </w:tc>
        <w:tc>
          <w:tcPr>
            <w:tcW w:type="dxa" w:w="1216"/>
            <w:tcMar>
              <w:top w:w="70" w:type="dxa"/>
              <w:left w:w="80" w:type="dxa"/>
              <w:bottom w:w="70" w:type="dxa"/>
              <w:right w:w="80" w:type="dxa"/>
            </w:tcMar>
          </w:tcPr>
          <w:p>
            <w:r>
              <w:t>Durable contract; outbox; replay-safe class required; archived per classification</w:t>
            </w:r>
          </w:p>
        </w:tc>
      </w:tr>
      <w:tr>
        <w:tc>
          <w:tcPr>
            <w:tcW w:type="dxa" w:w="127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OPS-03</w:t>
            </w:r>
          </w:p>
        </w:tc>
        <w:tc>
          <w:tcPr>
            <w:tcW w:type="dxa" w:w="316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Check-in, Access Control &amp; Entitlement Decisions</w:t>
            </w:r>
          </w:p>
        </w:tc>
        <w:tc>
          <w:tcPr>
            <w:tcW w:type="dxa" w:w="7416"/>
            <w:tcMar>
              <w:top w:w="70" w:type="dxa"/>
              <w:start w:w="85" w:type="dxa"/>
              <w:bottom w:w="70" w:type="dxa"/>
              <w:end w:w="85" w:type="dxa"/>
              <w:left w:w="80" w:type="dxa"/>
              <w:right w:w="80" w:type="dxa"/>
            </w:tcMar>
            <w:vAlign w:val="center"/>
          </w:tcPr>
          <w:p>
            <w:r>
              <w:t>access.requested, access.granted, access.denied, access.overridden, occupancy.changed, device.offline, access.revoked</w:t>
            </w:r>
          </w:p>
        </w:tc>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V1 General Availability</w:t>
            </w:r>
          </w:p>
        </w:tc>
        <w:tc>
          <w:tcPr>
            <w:tcW w:type="dxa" w:w="973"/>
            <w:tcMar>
              <w:top w:w="70" w:type="dxa"/>
              <w:left w:w="80" w:type="dxa"/>
              <w:bottom w:w="70" w:type="dxa"/>
              <w:right w:w="80" w:type="dxa"/>
            </w:tcMar>
          </w:tcPr>
          <w:p>
            <w:r>
              <w:t>Business domain events</w:t>
            </w:r>
          </w:p>
        </w:tc>
        <w:tc>
          <w:tcPr>
            <w:tcW w:type="dxa" w:w="1216"/>
            <w:tcMar>
              <w:top w:w="70" w:type="dxa"/>
              <w:left w:w="80" w:type="dxa"/>
              <w:bottom w:w="70" w:type="dxa"/>
              <w:right w:w="80" w:type="dxa"/>
            </w:tcMar>
          </w:tcPr>
          <w:p>
            <w:r>
              <w:t>Durable contract; outbox; replay-safe class required; archived per classification</w:t>
            </w:r>
          </w:p>
        </w:tc>
      </w:tr>
      <w:tr>
        <w:tc>
          <w:tcPr>
            <w:tcW w:type="dxa" w:w="127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OPS-04</w:t>
            </w:r>
          </w:p>
        </w:tc>
        <w:tc>
          <w:tcPr>
            <w:tcW w:type="dxa" w:w="316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Front Desk, Kiosk, Guest &amp; Visitor Operations</w:t>
            </w:r>
          </w:p>
        </w:tc>
        <w:tc>
          <w:tcPr>
            <w:tcW w:type="dxa" w:w="7416"/>
            <w:tcMar>
              <w:top w:w="70" w:type="dxa"/>
              <w:start w:w="85" w:type="dxa"/>
              <w:bottom w:w="70" w:type="dxa"/>
              <w:end w:w="85" w:type="dxa"/>
              <w:left w:w="80" w:type="dxa"/>
              <w:right w:w="80" w:type="dxa"/>
            </w:tcMar>
            <w:vAlign w:val="center"/>
          </w:tcPr>
          <w:p>
            <w:r>
              <w:t>arrival.detected, visitor.registered, waiver.signed, front_desk.case.resolved, handoff.created</w:t>
            </w:r>
          </w:p>
        </w:tc>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V1 General Availability</w:t>
            </w:r>
          </w:p>
        </w:tc>
        <w:tc>
          <w:tcPr>
            <w:tcW w:type="dxa" w:w="973"/>
            <w:tcMar>
              <w:top w:w="70" w:type="dxa"/>
              <w:left w:w="80" w:type="dxa"/>
              <w:bottom w:w="70" w:type="dxa"/>
              <w:right w:w="80" w:type="dxa"/>
            </w:tcMar>
          </w:tcPr>
          <w:p>
            <w:r>
              <w:t>Business domain events</w:t>
            </w:r>
          </w:p>
        </w:tc>
        <w:tc>
          <w:tcPr>
            <w:tcW w:type="dxa" w:w="1216"/>
            <w:tcMar>
              <w:top w:w="70" w:type="dxa"/>
              <w:left w:w="80" w:type="dxa"/>
              <w:bottom w:w="70" w:type="dxa"/>
              <w:right w:w="80" w:type="dxa"/>
            </w:tcMar>
          </w:tcPr>
          <w:p>
            <w:r>
              <w:t>Durable contract; outbox; replay-safe class required; archived per classification</w:t>
            </w:r>
          </w:p>
        </w:tc>
      </w:tr>
      <w:tr>
        <w:tc>
          <w:tcPr>
            <w:tcW w:type="dxa" w:w="127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OPS-05</w:t>
            </w:r>
          </w:p>
        </w:tc>
        <w:tc>
          <w:tcPr>
            <w:tcW w:type="dxa" w:w="316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Staff, Shifts, Attendance, Payroll &amp; Commissions</w:t>
            </w:r>
          </w:p>
        </w:tc>
        <w:tc>
          <w:tcPr>
            <w:tcW w:type="dxa" w:w="7416"/>
            <w:tcMar>
              <w:top w:w="70" w:type="dxa"/>
              <w:start w:w="85" w:type="dxa"/>
              <w:bottom w:w="70" w:type="dxa"/>
              <w:end w:w="85" w:type="dxa"/>
              <w:left w:w="80" w:type="dxa"/>
              <w:right w:w="80" w:type="dxa"/>
            </w:tcMar>
            <w:vAlign w:val="center"/>
          </w:tcPr>
          <w:p>
            <w:r>
              <w:t>staff.onboarded, shift.started, time_entry.corrected, session.verified, commission.earned, payroll.approved</w:t>
            </w:r>
          </w:p>
        </w:tc>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V1.5 Growth</w:t>
            </w:r>
          </w:p>
        </w:tc>
        <w:tc>
          <w:tcPr>
            <w:tcW w:type="dxa" w:w="973"/>
            <w:tcMar>
              <w:top w:w="70" w:type="dxa"/>
              <w:left w:w="80" w:type="dxa"/>
              <w:bottom w:w="70" w:type="dxa"/>
              <w:right w:w="80" w:type="dxa"/>
            </w:tcMar>
          </w:tcPr>
          <w:p>
            <w:r>
              <w:t>Business domain events</w:t>
            </w:r>
          </w:p>
        </w:tc>
        <w:tc>
          <w:tcPr>
            <w:tcW w:type="dxa" w:w="1216"/>
            <w:tcMar>
              <w:top w:w="70" w:type="dxa"/>
              <w:left w:w="80" w:type="dxa"/>
              <w:bottom w:w="70" w:type="dxa"/>
              <w:right w:w="80" w:type="dxa"/>
            </w:tcMar>
          </w:tcPr>
          <w:p>
            <w:r>
              <w:t>Durable contract; outbox; replay-safe class required; archived per classification</w:t>
            </w:r>
          </w:p>
        </w:tc>
      </w:tr>
      <w:tr>
        <w:tc>
          <w:tcPr>
            <w:tcW w:type="dxa" w:w="127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OPS-06</w:t>
            </w:r>
          </w:p>
        </w:tc>
        <w:tc>
          <w:tcPr>
            <w:tcW w:type="dxa" w:w="316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Facilities, Equipment, Assets &amp; Maintenance</w:t>
            </w:r>
          </w:p>
        </w:tc>
        <w:tc>
          <w:tcPr>
            <w:tcW w:type="dxa" w:w="7416"/>
            <w:tcMar>
              <w:top w:w="70" w:type="dxa"/>
              <w:start w:w="85" w:type="dxa"/>
              <w:bottom w:w="70" w:type="dxa"/>
              <w:end w:w="85" w:type="dxa"/>
              <w:left w:w="80" w:type="dxa"/>
              <w:right w:w="80" w:type="dxa"/>
            </w:tcMar>
            <w:vAlign w:val="center"/>
          </w:tcPr>
          <w:p>
            <w:r>
              <w:t>asset.registered, issue.reported, asset.isolated, work_order.created, maintenance.completed, facility.closed</w:t>
            </w:r>
          </w:p>
        </w:tc>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V2 Platform</w:t>
            </w:r>
          </w:p>
        </w:tc>
        <w:tc>
          <w:tcPr>
            <w:tcW w:type="dxa" w:w="973"/>
            <w:tcMar>
              <w:top w:w="70" w:type="dxa"/>
              <w:left w:w="80" w:type="dxa"/>
              <w:bottom w:w="70" w:type="dxa"/>
              <w:right w:w="80" w:type="dxa"/>
            </w:tcMar>
          </w:tcPr>
          <w:p>
            <w:r>
              <w:t>Business domain events</w:t>
            </w:r>
          </w:p>
        </w:tc>
        <w:tc>
          <w:tcPr>
            <w:tcW w:type="dxa" w:w="1216"/>
            <w:tcMar>
              <w:top w:w="70" w:type="dxa"/>
              <w:left w:w="80" w:type="dxa"/>
              <w:bottom w:w="70" w:type="dxa"/>
              <w:right w:w="80" w:type="dxa"/>
            </w:tcMar>
          </w:tcPr>
          <w:p>
            <w:r>
              <w:t>Durable contract; outbox; replay-safe class required; archived per classification</w:t>
            </w:r>
          </w:p>
        </w:tc>
      </w:tr>
      <w:tr>
        <w:tc>
          <w:tcPr>
            <w:tcW w:type="dxa" w:w="127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COA-01</w:t>
            </w:r>
          </w:p>
        </w:tc>
        <w:tc>
          <w:tcPr>
            <w:tcW w:type="dxa" w:w="316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Coach Workspace &amp; Client Management</w:t>
            </w:r>
          </w:p>
        </w:tc>
        <w:tc>
          <w:tcPr>
            <w:tcW w:type="dxa" w:w="7416"/>
            <w:tcMar>
              <w:top w:w="70" w:type="dxa"/>
              <w:start w:w="85" w:type="dxa"/>
              <w:bottom w:w="70" w:type="dxa"/>
              <w:end w:w="85" w:type="dxa"/>
              <w:left w:w="80" w:type="dxa"/>
              <w:right w:w="80" w:type="dxa"/>
            </w:tcMar>
            <w:vAlign w:val="center"/>
          </w:tcPr>
          <w:p>
            <w:r>
              <w:t>coach.assigned, session.started, session.completed, client.attention.required, coach_note.created</w:t>
            </w:r>
          </w:p>
        </w:tc>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V1 General Availability</w:t>
            </w:r>
          </w:p>
        </w:tc>
        <w:tc>
          <w:tcPr>
            <w:tcW w:type="dxa" w:w="973"/>
            <w:tcMar>
              <w:top w:w="70" w:type="dxa"/>
              <w:left w:w="80" w:type="dxa"/>
              <w:bottom w:w="70" w:type="dxa"/>
              <w:right w:w="80" w:type="dxa"/>
            </w:tcMar>
          </w:tcPr>
          <w:p>
            <w:r>
              <w:t>Business domain events</w:t>
            </w:r>
          </w:p>
        </w:tc>
        <w:tc>
          <w:tcPr>
            <w:tcW w:type="dxa" w:w="1216"/>
            <w:tcMar>
              <w:top w:w="70" w:type="dxa"/>
              <w:left w:w="80" w:type="dxa"/>
              <w:bottom w:w="70" w:type="dxa"/>
              <w:right w:w="80" w:type="dxa"/>
            </w:tcMar>
          </w:tcPr>
          <w:p>
            <w:r>
              <w:t>Durable contract; outbox; replay-safe class required; archived per classification</w:t>
            </w:r>
          </w:p>
        </w:tc>
      </w:tr>
      <w:tr>
        <w:tc>
          <w:tcPr>
            <w:tcW w:type="dxa" w:w="127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COA-02</w:t>
            </w:r>
          </w:p>
        </w:tc>
        <w:tc>
          <w:tcPr>
            <w:tcW w:type="dxa" w:w="316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Training Programs, Workouts &amp; Exercise Logging</w:t>
            </w:r>
          </w:p>
        </w:tc>
        <w:tc>
          <w:tcPr>
            <w:tcW w:type="dxa" w:w="7416"/>
            <w:tcMar>
              <w:top w:w="70" w:type="dxa"/>
              <w:start w:w="85" w:type="dxa"/>
              <w:bottom w:w="70" w:type="dxa"/>
              <w:end w:w="85" w:type="dxa"/>
              <w:left w:w="80" w:type="dxa"/>
              <w:right w:w="80" w:type="dxa"/>
            </w:tcMar>
            <w:vAlign w:val="center"/>
          </w:tcPr>
          <w:p>
            <w:r>
              <w:t>program.assigned, workout.started, set.logged, workout.completed, personal_record.achieved, program.adjusted</w:t>
            </w:r>
          </w:p>
        </w:tc>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V1 General Availability</w:t>
            </w:r>
          </w:p>
        </w:tc>
        <w:tc>
          <w:tcPr>
            <w:tcW w:type="dxa" w:w="973"/>
            <w:tcMar>
              <w:top w:w="70" w:type="dxa"/>
              <w:left w:w="80" w:type="dxa"/>
              <w:bottom w:w="70" w:type="dxa"/>
              <w:right w:w="80" w:type="dxa"/>
            </w:tcMar>
          </w:tcPr>
          <w:p>
            <w:r>
              <w:t>Business domain events</w:t>
            </w:r>
          </w:p>
        </w:tc>
        <w:tc>
          <w:tcPr>
            <w:tcW w:type="dxa" w:w="1216"/>
            <w:tcMar>
              <w:top w:w="70" w:type="dxa"/>
              <w:left w:w="80" w:type="dxa"/>
              <w:bottom w:w="70" w:type="dxa"/>
              <w:right w:w="80" w:type="dxa"/>
            </w:tcMar>
          </w:tcPr>
          <w:p>
            <w:r>
              <w:t>Durable contract; outbox; replay-safe class required; archived per classification</w:t>
            </w:r>
          </w:p>
        </w:tc>
      </w:tr>
      <w:tr>
        <w:tc>
          <w:tcPr>
            <w:tcW w:type="dxa" w:w="127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COA-03</w:t>
            </w:r>
          </w:p>
        </w:tc>
        <w:tc>
          <w:tcPr>
            <w:tcW w:type="dxa" w:w="316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Nutrition Planning, Meals, Logging &amp; Adherence</w:t>
            </w:r>
          </w:p>
        </w:tc>
        <w:tc>
          <w:tcPr>
            <w:tcW w:type="dxa" w:w="7416"/>
            <w:tcMar>
              <w:top w:w="70" w:type="dxa"/>
              <w:start w:w="85" w:type="dxa"/>
              <w:bottom w:w="70" w:type="dxa"/>
              <w:end w:w="85" w:type="dxa"/>
              <w:left w:w="80" w:type="dxa"/>
              <w:right w:w="80" w:type="dxa"/>
            </w:tcMar>
            <w:vAlign w:val="center"/>
          </w:tcPr>
          <w:p>
            <w:r>
              <w:t>nutrition_plan.assigned, meal.logged, meal.swapped, nutrition_checkin.submitted, adherence.changed, coach_review.required, nutrition_checkin.scheduled</w:t>
            </w:r>
          </w:p>
        </w:tc>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V1.5 Growth</w:t>
            </w:r>
          </w:p>
        </w:tc>
        <w:tc>
          <w:tcPr>
            <w:tcW w:type="dxa" w:w="973"/>
            <w:tcMar>
              <w:top w:w="70" w:type="dxa"/>
              <w:left w:w="80" w:type="dxa"/>
              <w:bottom w:w="70" w:type="dxa"/>
              <w:right w:w="80" w:type="dxa"/>
            </w:tcMar>
          </w:tcPr>
          <w:p>
            <w:r>
              <w:t>Business domain events</w:t>
            </w:r>
          </w:p>
        </w:tc>
        <w:tc>
          <w:tcPr>
            <w:tcW w:type="dxa" w:w="1216"/>
            <w:tcMar>
              <w:top w:w="70" w:type="dxa"/>
              <w:left w:w="80" w:type="dxa"/>
              <w:bottom w:w="70" w:type="dxa"/>
              <w:right w:w="80" w:type="dxa"/>
            </w:tcMar>
          </w:tcPr>
          <w:p>
            <w:r>
              <w:t>Durable contract; outbox; replay-safe class required; archived per classification</w:t>
            </w:r>
          </w:p>
        </w:tc>
      </w:tr>
      <w:tr>
        <w:tc>
          <w:tcPr>
            <w:tcW w:type="dxa" w:w="127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COA-04</w:t>
            </w:r>
          </w:p>
        </w:tc>
        <w:tc>
          <w:tcPr>
            <w:tcW w:type="dxa" w:w="316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Assessments, Measurements, Progress &amp; Outcomes</w:t>
            </w:r>
          </w:p>
        </w:tc>
        <w:tc>
          <w:tcPr>
            <w:tcW w:type="dxa" w:w="7416"/>
            <w:tcMar>
              <w:top w:w="70" w:type="dxa"/>
              <w:start w:w="85" w:type="dxa"/>
              <w:bottom w:w="70" w:type="dxa"/>
              <w:end w:w="85" w:type="dxa"/>
              <w:left w:w="80" w:type="dxa"/>
              <w:right w:w="80" w:type="dxa"/>
            </w:tcMar>
            <w:vAlign w:val="center"/>
          </w:tcPr>
          <w:p>
            <w:r>
              <w:t>assessment.completed, measurement.recorded, goal.created, milestone.achieved, progress_review.required</w:t>
            </w:r>
          </w:p>
        </w:tc>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V1 General Availability</w:t>
            </w:r>
          </w:p>
        </w:tc>
        <w:tc>
          <w:tcPr>
            <w:tcW w:type="dxa" w:w="973"/>
            <w:tcMar>
              <w:top w:w="70" w:type="dxa"/>
              <w:left w:w="80" w:type="dxa"/>
              <w:bottom w:w="70" w:type="dxa"/>
              <w:right w:w="80" w:type="dxa"/>
            </w:tcMar>
          </w:tcPr>
          <w:p>
            <w:r>
              <w:t>Business domain events</w:t>
            </w:r>
          </w:p>
        </w:tc>
        <w:tc>
          <w:tcPr>
            <w:tcW w:type="dxa" w:w="1216"/>
            <w:tcMar>
              <w:top w:w="70" w:type="dxa"/>
              <w:left w:w="80" w:type="dxa"/>
              <w:bottom w:w="70" w:type="dxa"/>
              <w:right w:w="80" w:type="dxa"/>
            </w:tcMar>
          </w:tcPr>
          <w:p>
            <w:r>
              <w:t>Durable contract; outbox; replay-safe class required; archived per classification</w:t>
            </w:r>
          </w:p>
        </w:tc>
      </w:tr>
      <w:tr>
        <w:tc>
          <w:tcPr>
            <w:tcW w:type="dxa" w:w="127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COA-05</w:t>
            </w:r>
          </w:p>
        </w:tc>
        <w:tc>
          <w:tcPr>
            <w:tcW w:type="dxa" w:w="316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Health, Safety, Consent &amp; Incident Management</w:t>
            </w:r>
          </w:p>
        </w:tc>
        <w:tc>
          <w:tcPr>
            <w:tcW w:type="dxa" w:w="7416"/>
            <w:tcMar>
              <w:top w:w="70" w:type="dxa"/>
              <w:start w:w="85" w:type="dxa"/>
              <w:bottom w:w="70" w:type="dxa"/>
              <w:end w:w="85" w:type="dxa"/>
              <w:left w:w="80" w:type="dxa"/>
              <w:right w:w="80" w:type="dxa"/>
            </w:tcMar>
            <w:vAlign w:val="center"/>
          </w:tcPr>
          <w:p>
            <w:r>
              <w:t>screening.submitted, consent.signed, limitation.updated, incident.reported, incident.escalated, corrective_action.closed</w:t>
            </w:r>
          </w:p>
        </w:tc>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V1 General Availability</w:t>
            </w:r>
          </w:p>
        </w:tc>
        <w:tc>
          <w:tcPr>
            <w:tcW w:type="dxa" w:w="973"/>
            <w:tcMar>
              <w:top w:w="70" w:type="dxa"/>
              <w:left w:w="80" w:type="dxa"/>
              <w:bottom w:w="70" w:type="dxa"/>
              <w:right w:w="80" w:type="dxa"/>
            </w:tcMar>
          </w:tcPr>
          <w:p>
            <w:r>
              <w:t>Business domain events</w:t>
            </w:r>
          </w:p>
        </w:tc>
        <w:tc>
          <w:tcPr>
            <w:tcW w:type="dxa" w:w="1216"/>
            <w:tcMar>
              <w:top w:w="70" w:type="dxa"/>
              <w:left w:w="80" w:type="dxa"/>
              <w:bottom w:w="70" w:type="dxa"/>
              <w:right w:w="80" w:type="dxa"/>
            </w:tcMar>
          </w:tcPr>
          <w:p>
            <w:r>
              <w:t>Durable contract; outbox; replay-safe class required; archived per classification</w:t>
            </w:r>
          </w:p>
        </w:tc>
      </w:tr>
      <w:tr>
        <w:tc>
          <w:tcPr>
            <w:tcW w:type="dxa" w:w="127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ENG-01</w:t>
            </w:r>
          </w:p>
        </w:tc>
        <w:tc>
          <w:tcPr>
            <w:tcW w:type="dxa" w:w="316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Unified Inbox, Messaging &amp; Contextual Communication</w:t>
            </w:r>
          </w:p>
        </w:tc>
        <w:tc>
          <w:tcPr>
            <w:tcW w:type="dxa" w:w="7416"/>
            <w:tcMar>
              <w:top w:w="70" w:type="dxa"/>
              <w:start w:w="85" w:type="dxa"/>
              <w:bottom w:w="70" w:type="dxa"/>
              <w:end w:w="85" w:type="dxa"/>
              <w:left w:w="80" w:type="dxa"/>
              <w:right w:w="80" w:type="dxa"/>
            </w:tcMar>
            <w:vAlign w:val="center"/>
          </w:tcPr>
          <w:p>
            <w:r>
              <w:t>message.received, message.sent, message.failed, conversation.assigned, conversation.sla_breached, conversation.resolved</w:t>
            </w:r>
          </w:p>
        </w:tc>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V1 General Availability</w:t>
            </w:r>
          </w:p>
        </w:tc>
        <w:tc>
          <w:tcPr>
            <w:tcW w:type="dxa" w:w="973"/>
            <w:tcMar>
              <w:top w:w="70" w:type="dxa"/>
              <w:left w:w="80" w:type="dxa"/>
              <w:bottom w:w="70" w:type="dxa"/>
              <w:right w:w="80" w:type="dxa"/>
            </w:tcMar>
          </w:tcPr>
          <w:p>
            <w:r>
              <w:t>Business domain events</w:t>
            </w:r>
          </w:p>
        </w:tc>
        <w:tc>
          <w:tcPr>
            <w:tcW w:type="dxa" w:w="1216"/>
            <w:tcMar>
              <w:top w:w="70" w:type="dxa"/>
              <w:left w:w="80" w:type="dxa"/>
              <w:bottom w:w="70" w:type="dxa"/>
              <w:right w:w="80" w:type="dxa"/>
            </w:tcMar>
          </w:tcPr>
          <w:p>
            <w:r>
              <w:t>Durable contract; outbox; replay-safe class required; archived per classification</w:t>
            </w:r>
          </w:p>
        </w:tc>
      </w:tr>
      <w:tr>
        <w:tc>
          <w:tcPr>
            <w:tcW w:type="dxa" w:w="127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ENG-02</w:t>
            </w:r>
          </w:p>
        </w:tc>
        <w:tc>
          <w:tcPr>
            <w:tcW w:type="dxa" w:w="316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Notification Platform, Templates &amp; Preferences</w:t>
            </w:r>
          </w:p>
        </w:tc>
        <w:tc>
          <w:tcPr>
            <w:tcW w:type="dxa" w:w="7416"/>
            <w:tcMar>
              <w:top w:w="70" w:type="dxa"/>
              <w:start w:w="85" w:type="dxa"/>
              <w:bottom w:w="70" w:type="dxa"/>
              <w:end w:w="85" w:type="dxa"/>
              <w:left w:w="80" w:type="dxa"/>
              <w:right w:w="80" w:type="dxa"/>
            </w:tcMar>
            <w:vAlign w:val="center"/>
          </w:tcPr>
          <w:p>
            <w:r>
              <w:t>notification.requested, notification.sent, notification.delivered, notification.failed, preference.changed, status_update.published</w:t>
            </w:r>
          </w:p>
        </w:tc>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Foundation</w:t>
            </w:r>
          </w:p>
        </w:tc>
        <w:tc>
          <w:tcPr>
            <w:tcW w:type="dxa" w:w="973"/>
            <w:tcMar>
              <w:top w:w="70" w:type="dxa"/>
              <w:left w:w="80" w:type="dxa"/>
              <w:bottom w:w="70" w:type="dxa"/>
              <w:right w:w="80" w:type="dxa"/>
            </w:tcMar>
          </w:tcPr>
          <w:p>
            <w:r>
              <w:t>Business domain events</w:t>
            </w:r>
          </w:p>
        </w:tc>
        <w:tc>
          <w:tcPr>
            <w:tcW w:type="dxa" w:w="1216"/>
            <w:tcMar>
              <w:top w:w="70" w:type="dxa"/>
              <w:left w:w="80" w:type="dxa"/>
              <w:bottom w:w="70" w:type="dxa"/>
              <w:right w:w="80" w:type="dxa"/>
            </w:tcMar>
          </w:tcPr>
          <w:p>
            <w:r>
              <w:t>Durable contract; outbox; replay-safe class required; archived per classification</w:t>
            </w:r>
          </w:p>
        </w:tc>
      </w:tr>
      <w:tr>
        <w:tc>
          <w:tcPr>
            <w:tcW w:type="dxa" w:w="127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ENG-03</w:t>
            </w:r>
          </w:p>
        </w:tc>
        <w:tc>
          <w:tcPr>
            <w:tcW w:type="dxa" w:w="316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Community, Challenges, Achievements &amp; Rewards</w:t>
            </w:r>
          </w:p>
        </w:tc>
        <w:tc>
          <w:tcPr>
            <w:tcW w:type="dxa" w:w="7416"/>
            <w:tcMar>
              <w:top w:w="70" w:type="dxa"/>
              <w:start w:w="85" w:type="dxa"/>
              <w:bottom w:w="70" w:type="dxa"/>
              <w:end w:w="85" w:type="dxa"/>
              <w:left w:w="80" w:type="dxa"/>
              <w:right w:w="80" w:type="dxa"/>
            </w:tcMar>
            <w:vAlign w:val="center"/>
          </w:tcPr>
          <w:p>
            <w:r>
              <w:t>challenge.joined, challenge.progressed, achievement.earned, reward.issued, reward.redeemed, content.reported</w:t>
            </w:r>
          </w:p>
        </w:tc>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V1.5 Growth</w:t>
            </w:r>
          </w:p>
        </w:tc>
        <w:tc>
          <w:tcPr>
            <w:tcW w:type="dxa" w:w="973"/>
            <w:tcMar>
              <w:top w:w="70" w:type="dxa"/>
              <w:left w:w="80" w:type="dxa"/>
              <w:bottom w:w="70" w:type="dxa"/>
              <w:right w:w="80" w:type="dxa"/>
            </w:tcMar>
          </w:tcPr>
          <w:p>
            <w:r>
              <w:t>Business domain events</w:t>
            </w:r>
          </w:p>
        </w:tc>
        <w:tc>
          <w:tcPr>
            <w:tcW w:type="dxa" w:w="1216"/>
            <w:tcMar>
              <w:top w:w="70" w:type="dxa"/>
              <w:left w:w="80" w:type="dxa"/>
              <w:bottom w:w="70" w:type="dxa"/>
              <w:right w:w="80" w:type="dxa"/>
            </w:tcMar>
          </w:tcPr>
          <w:p>
            <w:r>
              <w:t>Durable contract; outbox; replay-safe class required; archived per classification</w:t>
            </w:r>
          </w:p>
        </w:tc>
      </w:tr>
      <w:tr>
        <w:tc>
          <w:tcPr>
            <w:tcW w:type="dxa" w:w="127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ENG-04</w:t>
            </w:r>
          </w:p>
        </w:tc>
        <w:tc>
          <w:tcPr>
            <w:tcW w:type="dxa" w:w="316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Member Self-Service, Digital Card &amp; Service Requests</w:t>
            </w:r>
          </w:p>
        </w:tc>
        <w:tc>
          <w:tcPr>
            <w:tcW w:type="dxa" w:w="7416"/>
            <w:tcMar>
              <w:top w:w="70" w:type="dxa"/>
              <w:start w:w="85" w:type="dxa"/>
              <w:bottom w:w="70" w:type="dxa"/>
              <w:end w:w="85" w:type="dxa"/>
              <w:left w:w="80" w:type="dxa"/>
              <w:right w:w="80" w:type="dxa"/>
            </w:tcMar>
            <w:vAlign w:val="center"/>
          </w:tcPr>
          <w:p>
            <w:r>
              <w:t>wallet_pass.issued, self_service.requested, self_service.approved, payment_method.updated, data_export.requested</w:t>
            </w:r>
          </w:p>
        </w:tc>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V1 General Availability</w:t>
            </w:r>
          </w:p>
        </w:tc>
        <w:tc>
          <w:tcPr>
            <w:tcW w:type="dxa" w:w="973"/>
            <w:tcMar>
              <w:top w:w="70" w:type="dxa"/>
              <w:left w:w="80" w:type="dxa"/>
              <w:bottom w:w="70" w:type="dxa"/>
              <w:right w:w="80" w:type="dxa"/>
            </w:tcMar>
          </w:tcPr>
          <w:p>
            <w:r>
              <w:t>Business domain events</w:t>
            </w:r>
          </w:p>
        </w:tc>
        <w:tc>
          <w:tcPr>
            <w:tcW w:type="dxa" w:w="1216"/>
            <w:tcMar>
              <w:top w:w="70" w:type="dxa"/>
              <w:left w:w="80" w:type="dxa"/>
              <w:bottom w:w="70" w:type="dxa"/>
              <w:right w:w="80" w:type="dxa"/>
            </w:tcMar>
          </w:tcPr>
          <w:p>
            <w:r>
              <w:t>Durable contract; outbox; replay-safe class required; archived per classification</w:t>
            </w:r>
          </w:p>
        </w:tc>
      </w:tr>
      <w:tr>
        <w:tc>
          <w:tcPr>
            <w:tcW w:type="dxa" w:w="127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AUT-01</w:t>
            </w:r>
          </w:p>
        </w:tc>
        <w:tc>
          <w:tcPr>
            <w:tcW w:type="dxa" w:w="316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Automation &amp; Workflow Orchestration</w:t>
            </w:r>
          </w:p>
        </w:tc>
        <w:tc>
          <w:tcPr>
            <w:tcW w:type="dxa" w:w="7416"/>
            <w:tcMar>
              <w:top w:w="70" w:type="dxa"/>
              <w:start w:w="85" w:type="dxa"/>
              <w:bottom w:w="70" w:type="dxa"/>
              <w:end w:w="85" w:type="dxa"/>
              <w:left w:w="80" w:type="dxa"/>
              <w:right w:w="80" w:type="dxa"/>
            </w:tcMar>
            <w:vAlign w:val="center"/>
          </w:tcPr>
          <w:p>
            <w:r>
              <w:t>workflow.published, workflow.started, workflow.step.failed, workflow.completed, workflow.replayed</w:t>
            </w:r>
          </w:p>
        </w:tc>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V1.5 Growth</w:t>
            </w:r>
          </w:p>
        </w:tc>
        <w:tc>
          <w:tcPr>
            <w:tcW w:type="dxa" w:w="973"/>
            <w:tcMar>
              <w:top w:w="70" w:type="dxa"/>
              <w:left w:w="80" w:type="dxa"/>
              <w:bottom w:w="70" w:type="dxa"/>
              <w:right w:w="80" w:type="dxa"/>
            </w:tcMar>
          </w:tcPr>
          <w:p>
            <w:r>
              <w:t>Business domain events</w:t>
            </w:r>
          </w:p>
        </w:tc>
        <w:tc>
          <w:tcPr>
            <w:tcW w:type="dxa" w:w="1216"/>
            <w:tcMar>
              <w:top w:w="70" w:type="dxa"/>
              <w:left w:w="80" w:type="dxa"/>
              <w:bottom w:w="70" w:type="dxa"/>
              <w:right w:w="80" w:type="dxa"/>
            </w:tcMar>
          </w:tcPr>
          <w:p>
            <w:r>
              <w:t>Durable contract; outbox; replay-safe class required; archived per classification</w:t>
            </w:r>
          </w:p>
        </w:tc>
      </w:tr>
      <w:tr>
        <w:tc>
          <w:tcPr>
            <w:tcW w:type="dxa" w:w="127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AUT-02</w:t>
            </w:r>
          </w:p>
        </w:tc>
        <w:tc>
          <w:tcPr>
            <w:tcW w:type="dxa" w:w="316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Tasks, Cases, Approvals, SLAs &amp; Escalations</w:t>
            </w:r>
          </w:p>
        </w:tc>
        <w:tc>
          <w:tcPr>
            <w:tcW w:type="dxa" w:w="7416"/>
            <w:tcMar>
              <w:top w:w="70" w:type="dxa"/>
              <w:start w:w="85" w:type="dxa"/>
              <w:bottom w:w="70" w:type="dxa"/>
              <w:end w:w="85" w:type="dxa"/>
              <w:left w:w="80" w:type="dxa"/>
              <w:right w:w="80" w:type="dxa"/>
            </w:tcMar>
            <w:vAlign w:val="center"/>
          </w:tcPr>
          <w:p>
            <w:r>
              <w:t>task.created, task.overdue, case.opened, approval.requested, approval.rejected, sla.breached</w:t>
            </w:r>
          </w:p>
        </w:tc>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V1 General Availability</w:t>
            </w:r>
          </w:p>
        </w:tc>
        <w:tc>
          <w:tcPr>
            <w:tcW w:type="dxa" w:w="973"/>
            <w:tcMar>
              <w:top w:w="70" w:type="dxa"/>
              <w:left w:w="80" w:type="dxa"/>
              <w:bottom w:w="70" w:type="dxa"/>
              <w:right w:w="80" w:type="dxa"/>
            </w:tcMar>
          </w:tcPr>
          <w:p>
            <w:r>
              <w:t>Business domain events</w:t>
            </w:r>
          </w:p>
        </w:tc>
        <w:tc>
          <w:tcPr>
            <w:tcW w:type="dxa" w:w="1216"/>
            <w:tcMar>
              <w:top w:w="70" w:type="dxa"/>
              <w:left w:w="80" w:type="dxa"/>
              <w:bottom w:w="70" w:type="dxa"/>
              <w:right w:w="80" w:type="dxa"/>
            </w:tcMar>
          </w:tcPr>
          <w:p>
            <w:r>
              <w:t>Durable contract; outbox; replay-safe class required; archived per classification</w:t>
            </w:r>
          </w:p>
        </w:tc>
      </w:tr>
      <w:tr>
        <w:tc>
          <w:tcPr>
            <w:tcW w:type="dxa" w:w="127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INT-01</w:t>
            </w:r>
          </w:p>
        </w:tc>
        <w:tc>
          <w:tcPr>
            <w:tcW w:type="dxa" w:w="316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Operational Analytics, BI, Forecasting &amp; Benchmarking</w:t>
            </w:r>
          </w:p>
        </w:tc>
        <w:tc>
          <w:tcPr>
            <w:tcW w:type="dxa" w:w="7416"/>
            <w:tcMar>
              <w:top w:w="70" w:type="dxa"/>
              <w:start w:w="85" w:type="dxa"/>
              <w:bottom w:w="70" w:type="dxa"/>
              <w:end w:w="85" w:type="dxa"/>
              <w:left w:w="80" w:type="dxa"/>
              <w:right w:w="80" w:type="dxa"/>
            </w:tcMar>
            <w:vAlign w:val="center"/>
          </w:tcPr>
          <w:p>
            <w:r>
              <w:t>metric.updated, anomaly.detected, forecast.generated, target.missed, report.delivered</w:t>
            </w:r>
          </w:p>
        </w:tc>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V1.5 Growth</w:t>
            </w:r>
          </w:p>
        </w:tc>
        <w:tc>
          <w:tcPr>
            <w:tcW w:type="dxa" w:w="973"/>
            <w:tcMar>
              <w:top w:w="70" w:type="dxa"/>
              <w:left w:w="80" w:type="dxa"/>
              <w:bottom w:w="70" w:type="dxa"/>
              <w:right w:w="80" w:type="dxa"/>
            </w:tcMar>
          </w:tcPr>
          <w:p>
            <w:r>
              <w:t>Business domain events</w:t>
            </w:r>
          </w:p>
        </w:tc>
        <w:tc>
          <w:tcPr>
            <w:tcW w:type="dxa" w:w="1216"/>
            <w:tcMar>
              <w:top w:w="70" w:type="dxa"/>
              <w:left w:w="80" w:type="dxa"/>
              <w:bottom w:w="70" w:type="dxa"/>
              <w:right w:w="80" w:type="dxa"/>
            </w:tcMar>
          </w:tcPr>
          <w:p>
            <w:r>
              <w:t>Durable contract; outbox; replay-safe class required; archived per classification</w:t>
            </w:r>
          </w:p>
        </w:tc>
      </w:tr>
      <w:tr>
        <w:tc>
          <w:tcPr>
            <w:tcW w:type="dxa" w:w="127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INT-02</w:t>
            </w:r>
          </w:p>
        </w:tc>
        <w:tc>
          <w:tcPr>
            <w:tcW w:type="dxa" w:w="316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AI Platform, Copilots, Agents &amp; Governance</w:t>
            </w:r>
          </w:p>
        </w:tc>
        <w:tc>
          <w:tcPr>
            <w:tcW w:type="dxa" w:w="7416"/>
            <w:tcMar>
              <w:top w:w="70" w:type="dxa"/>
              <w:start w:w="85" w:type="dxa"/>
              <w:bottom w:w="70" w:type="dxa"/>
              <w:end w:w="85" w:type="dxa"/>
              <w:left w:w="80" w:type="dxa"/>
              <w:right w:w="80" w:type="dxa"/>
            </w:tcMar>
            <w:vAlign w:val="center"/>
          </w:tcPr>
          <w:p>
            <w:r>
              <w:t>ai.requested, ai.response.generated, ai.tool.proposed, ai.tool.approved, ai.tool.executed, ai.safety.blocked</w:t>
            </w:r>
          </w:p>
        </w:tc>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V1.5 Growth</w:t>
            </w:r>
          </w:p>
        </w:tc>
        <w:tc>
          <w:tcPr>
            <w:tcW w:type="dxa" w:w="973"/>
            <w:tcMar>
              <w:top w:w="70" w:type="dxa"/>
              <w:left w:w="80" w:type="dxa"/>
              <w:bottom w:w="70" w:type="dxa"/>
              <w:right w:w="80" w:type="dxa"/>
            </w:tcMar>
          </w:tcPr>
          <w:p>
            <w:r>
              <w:t>Business domain events</w:t>
            </w:r>
          </w:p>
        </w:tc>
        <w:tc>
          <w:tcPr>
            <w:tcW w:type="dxa" w:w="1216"/>
            <w:tcMar>
              <w:top w:w="70" w:type="dxa"/>
              <w:left w:w="80" w:type="dxa"/>
              <w:bottom w:w="70" w:type="dxa"/>
              <w:right w:w="80" w:type="dxa"/>
            </w:tcMar>
          </w:tcPr>
          <w:p>
            <w:r>
              <w:t>Durable contract; outbox; replay-safe class required; archived per classification</w:t>
            </w:r>
          </w:p>
        </w:tc>
      </w:tr>
      <w:tr>
        <w:tc>
          <w:tcPr>
            <w:tcW w:type="dxa" w:w="127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INT-03</w:t>
            </w:r>
          </w:p>
        </w:tc>
        <w:tc>
          <w:tcPr>
            <w:tcW w:type="dxa" w:w="316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Global Search, Command Bar &amp; Knowledge Navigation</w:t>
            </w:r>
          </w:p>
        </w:tc>
        <w:tc>
          <w:tcPr>
            <w:tcW w:type="dxa" w:w="7416"/>
            <w:tcMar>
              <w:top w:w="70" w:type="dxa"/>
              <w:start w:w="85" w:type="dxa"/>
              <w:bottom w:w="70" w:type="dxa"/>
              <w:end w:w="85" w:type="dxa"/>
              <w:left w:w="80" w:type="dxa"/>
              <w:right w:w="80" w:type="dxa"/>
            </w:tcMar>
            <w:vAlign w:val="center"/>
          </w:tcPr>
          <w:p>
            <w:r>
              <w:t>search.executed, search.zero_result, command.previewed, command.executed</w:t>
            </w:r>
          </w:p>
        </w:tc>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V1.5 Growth</w:t>
            </w:r>
          </w:p>
        </w:tc>
        <w:tc>
          <w:tcPr>
            <w:tcW w:type="dxa" w:w="973"/>
            <w:tcMar>
              <w:top w:w="70" w:type="dxa"/>
              <w:left w:w="80" w:type="dxa"/>
              <w:bottom w:w="70" w:type="dxa"/>
              <w:right w:w="80" w:type="dxa"/>
            </w:tcMar>
          </w:tcPr>
          <w:p>
            <w:r>
              <w:t>Telemetry / diagnostic signals</w:t>
            </w:r>
          </w:p>
        </w:tc>
        <w:tc>
          <w:tcPr>
            <w:tcW w:type="dxa" w:w="1216"/>
            <w:tcMar>
              <w:top w:w="70" w:type="dxa"/>
              <w:left w:w="80" w:type="dxa"/>
              <w:bottom w:w="70" w:type="dxa"/>
              <w:right w:w="80" w:type="dxa"/>
            </w:tcMar>
          </w:tcPr>
          <w:p>
            <w:r>
              <w:t>Sampled/bounded; never authoritative</w:t>
            </w:r>
          </w:p>
        </w:tc>
      </w:tr>
      <w:tr>
        <w:tc>
          <w:tcPr>
            <w:tcW w:type="dxa" w:w="127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B2B-01</w:t>
            </w:r>
          </w:p>
        </w:tc>
        <w:tc>
          <w:tcPr>
            <w:tcW w:type="dxa" w:w="316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Corporate Memberships &amp; Employer Portal</w:t>
            </w:r>
          </w:p>
        </w:tc>
        <w:tc>
          <w:tcPr>
            <w:tcW w:type="dxa" w:w="7416"/>
            <w:tcMar>
              <w:top w:w="70" w:type="dxa"/>
              <w:start w:w="85" w:type="dxa"/>
              <w:bottom w:w="70" w:type="dxa"/>
              <w:end w:w="85" w:type="dxa"/>
              <w:left w:w="80" w:type="dxa"/>
              <w:right w:w="80" w:type="dxa"/>
            </w:tcMar>
            <w:vAlign w:val="center"/>
          </w:tcPr>
          <w:p>
            <w:r>
              <w:t>corporate.contract.started, eligibility.added, employee.enrolled, employee.eligibility.ended, corporate.invoice.issued</w:t>
            </w:r>
          </w:p>
        </w:tc>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Enterprise</w:t>
            </w:r>
          </w:p>
        </w:tc>
        <w:tc>
          <w:tcPr>
            <w:tcW w:type="dxa" w:w="973"/>
            <w:tcMar>
              <w:top w:w="70" w:type="dxa"/>
              <w:left w:w="80" w:type="dxa"/>
              <w:bottom w:w="70" w:type="dxa"/>
              <w:right w:w="80" w:type="dxa"/>
            </w:tcMar>
          </w:tcPr>
          <w:p>
            <w:r>
              <w:t>Business domain events</w:t>
            </w:r>
          </w:p>
        </w:tc>
        <w:tc>
          <w:tcPr>
            <w:tcW w:type="dxa" w:w="1216"/>
            <w:tcMar>
              <w:top w:w="70" w:type="dxa"/>
              <w:left w:w="80" w:type="dxa"/>
              <w:bottom w:w="70" w:type="dxa"/>
              <w:right w:w="80" w:type="dxa"/>
            </w:tcMar>
          </w:tcPr>
          <w:p>
            <w:r>
              <w:t>Durable contract; outbox; replay-safe class required; archived per classification</w:t>
            </w:r>
          </w:p>
        </w:tc>
      </w:tr>
      <w:tr>
        <w:tc>
          <w:tcPr>
            <w:tcW w:type="dxa" w:w="127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B2B-02</w:t>
            </w:r>
          </w:p>
        </w:tc>
        <w:tc>
          <w:tcPr>
            <w:tcW w:type="dxa" w:w="316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Franchise, Multi-brand &amp; Chain Command Center</w:t>
            </w:r>
          </w:p>
        </w:tc>
        <w:tc>
          <w:tcPr>
            <w:tcW w:type="dxa" w:w="7416"/>
            <w:tcMar>
              <w:top w:w="70" w:type="dxa"/>
              <w:start w:w="85" w:type="dxa"/>
              <w:bottom w:w="70" w:type="dxa"/>
              <w:end w:w="85" w:type="dxa"/>
              <w:left w:w="80" w:type="dxa"/>
              <w:right w:w="80" w:type="dxa"/>
            </w:tcMar>
            <w:vAlign w:val="center"/>
          </w:tcPr>
          <w:p>
            <w:r>
              <w:t>governance.published, location.exception.detected, member.home_club.changed, royalty.statement.created</w:t>
            </w:r>
          </w:p>
        </w:tc>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Enterprise</w:t>
            </w:r>
          </w:p>
        </w:tc>
        <w:tc>
          <w:tcPr>
            <w:tcW w:type="dxa" w:w="973"/>
            <w:tcMar>
              <w:top w:w="70" w:type="dxa"/>
              <w:left w:w="80" w:type="dxa"/>
              <w:bottom w:w="70" w:type="dxa"/>
              <w:right w:w="80" w:type="dxa"/>
            </w:tcMar>
          </w:tcPr>
          <w:p>
            <w:r>
              <w:t>Business domain events</w:t>
            </w:r>
          </w:p>
        </w:tc>
        <w:tc>
          <w:tcPr>
            <w:tcW w:type="dxa" w:w="1216"/>
            <w:tcMar>
              <w:top w:w="70" w:type="dxa"/>
              <w:left w:w="80" w:type="dxa"/>
              <w:bottom w:w="70" w:type="dxa"/>
              <w:right w:w="80" w:type="dxa"/>
            </w:tcMar>
          </w:tcPr>
          <w:p>
            <w:r>
              <w:t>Durable contract; outbox; replay-safe class required; archived per classification</w:t>
            </w:r>
          </w:p>
        </w:tc>
      </w:tr>
      <w:tr>
        <w:tc>
          <w:tcPr>
            <w:tcW w:type="dxa" w:w="127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ECO-01</w:t>
            </w:r>
          </w:p>
        </w:tc>
        <w:tc>
          <w:tcPr>
            <w:tcW w:type="dxa" w:w="316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Developer Platform, APIs, Webhooks &amp; Sandbox</w:t>
            </w:r>
          </w:p>
        </w:tc>
        <w:tc>
          <w:tcPr>
            <w:tcW w:type="dxa" w:w="7416"/>
            <w:tcMar>
              <w:top w:w="70" w:type="dxa"/>
              <w:start w:w="85" w:type="dxa"/>
              <w:bottom w:w="70" w:type="dxa"/>
              <w:end w:w="85" w:type="dxa"/>
              <w:left w:w="80" w:type="dxa"/>
              <w:right w:w="80" w:type="dxa"/>
            </w:tcMar>
            <w:vAlign w:val="center"/>
          </w:tcPr>
          <w:p>
            <w:r>
              <w:t>developer_app.created, oauth.granted, api.rate_limited, webhook.delivered, webhook.failed, api.version.deprecated</w:t>
            </w:r>
          </w:p>
        </w:tc>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V2 Platform</w:t>
            </w:r>
          </w:p>
        </w:tc>
        <w:tc>
          <w:tcPr>
            <w:tcW w:type="dxa" w:w="973"/>
            <w:tcMar>
              <w:top w:w="70" w:type="dxa"/>
              <w:left w:w="80" w:type="dxa"/>
              <w:bottom w:w="70" w:type="dxa"/>
              <w:right w:w="80" w:type="dxa"/>
            </w:tcMar>
          </w:tcPr>
          <w:p>
            <w:r>
              <w:t>Business domain events</w:t>
            </w:r>
          </w:p>
        </w:tc>
        <w:tc>
          <w:tcPr>
            <w:tcW w:type="dxa" w:w="1216"/>
            <w:tcMar>
              <w:top w:w="70" w:type="dxa"/>
              <w:left w:w="80" w:type="dxa"/>
              <w:bottom w:w="70" w:type="dxa"/>
              <w:right w:w="80" w:type="dxa"/>
            </w:tcMar>
          </w:tcPr>
          <w:p>
            <w:r>
              <w:t>Durable contract; outbox; replay-safe class required; archived per classification</w:t>
            </w:r>
          </w:p>
        </w:tc>
      </w:tr>
      <w:tr>
        <w:tc>
          <w:tcPr>
            <w:tcW w:type="dxa" w:w="127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ECO-02</w:t>
            </w:r>
          </w:p>
        </w:tc>
        <w:tc>
          <w:tcPr>
            <w:tcW w:type="dxa" w:w="316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Integration Framework, Marketplace &amp; Partner Ecosystem</w:t>
            </w:r>
          </w:p>
        </w:tc>
        <w:tc>
          <w:tcPr>
            <w:tcW w:type="dxa" w:w="7416"/>
            <w:tcMar>
              <w:top w:w="70" w:type="dxa"/>
              <w:start w:w="85" w:type="dxa"/>
              <w:bottom w:w="70" w:type="dxa"/>
              <w:end w:w="85" w:type="dxa"/>
              <w:left w:w="80" w:type="dxa"/>
              <w:right w:w="80" w:type="dxa"/>
            </w:tcMar>
            <w:vAlign w:val="center"/>
          </w:tcPr>
          <w:p>
            <w:r>
              <w:t>integration.installed, integration.connected, integration.sync.failed, credential.expiring, marketplace.listing.approved, integration.uninstalled</w:t>
            </w:r>
          </w:p>
        </w:tc>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V2 Platform</w:t>
            </w:r>
          </w:p>
        </w:tc>
        <w:tc>
          <w:tcPr>
            <w:tcW w:type="dxa" w:w="973"/>
            <w:tcMar>
              <w:top w:w="70" w:type="dxa"/>
              <w:left w:w="80" w:type="dxa"/>
              <w:bottom w:w="70" w:type="dxa"/>
              <w:right w:w="80" w:type="dxa"/>
            </w:tcMar>
          </w:tcPr>
          <w:p>
            <w:r>
              <w:t>Business domain events</w:t>
            </w:r>
          </w:p>
        </w:tc>
        <w:tc>
          <w:tcPr>
            <w:tcW w:type="dxa" w:w="1216"/>
            <w:tcMar>
              <w:top w:w="70" w:type="dxa"/>
              <w:left w:w="80" w:type="dxa"/>
              <w:bottom w:w="70" w:type="dxa"/>
              <w:right w:w="80" w:type="dxa"/>
            </w:tcMar>
          </w:tcPr>
          <w:p>
            <w:r>
              <w:t>Durable contract; outbox; replay-safe class required; archived per classification</w:t>
            </w:r>
          </w:p>
        </w:tc>
      </w:tr>
      <w:tr>
        <w:tc>
          <w:tcPr>
            <w:tcW w:type="dxa" w:w="127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ECO-03</w:t>
            </w:r>
          </w:p>
        </w:tc>
        <w:tc>
          <w:tcPr>
            <w:tcW w:type="dxa" w:w="316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Hardware Abstraction, Edge Runtime &amp; Device Fleet</w:t>
            </w:r>
          </w:p>
        </w:tc>
        <w:tc>
          <w:tcPr>
            <w:tcW w:type="dxa" w:w="7416"/>
            <w:tcMar>
              <w:top w:w="70" w:type="dxa"/>
              <w:start w:w="85" w:type="dxa"/>
              <w:bottom w:w="70" w:type="dxa"/>
              <w:end w:w="85" w:type="dxa"/>
              <w:left w:w="80" w:type="dxa"/>
              <w:right w:w="80" w:type="dxa"/>
            </w:tcMar>
            <w:vAlign w:val="center"/>
          </w:tcPr>
          <w:p>
            <w:r>
              <w:t>device.enrolled, device.online, device.offline, device.command.completed, firmware.updated, edge.sync.conflict</w:t>
            </w:r>
          </w:p>
        </w:tc>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V2 Platform</w:t>
            </w:r>
          </w:p>
        </w:tc>
        <w:tc>
          <w:tcPr>
            <w:tcW w:type="dxa" w:w="973"/>
            <w:tcMar>
              <w:top w:w="70" w:type="dxa"/>
              <w:left w:w="80" w:type="dxa"/>
              <w:bottom w:w="70" w:type="dxa"/>
              <w:right w:w="80" w:type="dxa"/>
            </w:tcMar>
          </w:tcPr>
          <w:p>
            <w:r>
              <w:t>Business domain events</w:t>
            </w:r>
          </w:p>
        </w:tc>
        <w:tc>
          <w:tcPr>
            <w:tcW w:type="dxa" w:w="1216"/>
            <w:tcMar>
              <w:top w:w="70" w:type="dxa"/>
              <w:left w:w="80" w:type="dxa"/>
              <w:bottom w:w="70" w:type="dxa"/>
              <w:right w:w="80" w:type="dxa"/>
            </w:tcMar>
          </w:tcPr>
          <w:p>
            <w:r>
              <w:t>Durable contract; outbox; replay-safe class required; archived per classification</w:t>
            </w:r>
          </w:p>
        </w:tc>
      </w:tr>
      <w:tr>
        <w:tc>
          <w:tcPr>
            <w:tcW w:type="dxa" w:w="127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WHT-01</w:t>
            </w:r>
          </w:p>
        </w:tc>
        <w:tc>
          <w:tcPr>
            <w:tcW w:type="dxa" w:w="316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White-label, App Builder, CMS &amp; Mobile Release Operations</w:t>
            </w:r>
          </w:p>
        </w:tc>
        <w:tc>
          <w:tcPr>
            <w:tcW w:type="dxa" w:w="7416"/>
            <w:tcMar>
              <w:top w:w="70" w:type="dxa"/>
              <w:start w:w="85" w:type="dxa"/>
              <w:bottom w:w="70" w:type="dxa"/>
              <w:end w:w="85" w:type="dxa"/>
              <w:left w:w="80" w:type="dxa"/>
              <w:right w:w="80" w:type="dxa"/>
            </w:tcMar>
            <w:vAlign w:val="center"/>
          </w:tcPr>
          <w:p>
            <w:r>
              <w:t>content.published, app_configuration.changed, build.completed, store_release.approved, mobile_version.deprecated</w:t>
            </w:r>
          </w:p>
        </w:tc>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V2 Platform</w:t>
            </w:r>
          </w:p>
        </w:tc>
        <w:tc>
          <w:tcPr>
            <w:tcW w:type="dxa" w:w="973"/>
            <w:tcMar>
              <w:top w:w="70" w:type="dxa"/>
              <w:left w:w="80" w:type="dxa"/>
              <w:bottom w:w="70" w:type="dxa"/>
              <w:right w:w="80" w:type="dxa"/>
            </w:tcMar>
          </w:tcPr>
          <w:p>
            <w:r>
              <w:t>Business domain events</w:t>
            </w:r>
          </w:p>
        </w:tc>
        <w:tc>
          <w:tcPr>
            <w:tcW w:type="dxa" w:w="1216"/>
            <w:tcMar>
              <w:top w:w="70" w:type="dxa"/>
              <w:left w:w="80" w:type="dxa"/>
              <w:bottom w:w="70" w:type="dxa"/>
              <w:right w:w="80" w:type="dxa"/>
            </w:tcMar>
          </w:tcPr>
          <w:p>
            <w:r>
              <w:t>Durable contract; outbox; replay-safe class required; archived per classification</w:t>
            </w:r>
          </w:p>
        </w:tc>
      </w:tr>
      <w:tr>
        <w:tc>
          <w:tcPr>
            <w:tcW w:type="dxa" w:w="127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WHT-02</w:t>
            </w:r>
          </w:p>
        </w:tc>
        <w:tc>
          <w:tcPr>
            <w:tcW w:type="dxa" w:w="316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Localization, RTL, Accessibility &amp; Regional Policy</w:t>
            </w:r>
          </w:p>
        </w:tc>
        <w:tc>
          <w:tcPr>
            <w:tcW w:type="dxa" w:w="7416"/>
            <w:tcMar>
              <w:top w:w="70" w:type="dxa"/>
              <w:start w:w="85" w:type="dxa"/>
              <w:bottom w:w="70" w:type="dxa"/>
              <w:end w:w="85" w:type="dxa"/>
              <w:left w:w="80" w:type="dxa"/>
              <w:right w:w="80" w:type="dxa"/>
            </w:tcMar>
            <w:vAlign w:val="center"/>
          </w:tcPr>
          <w:p>
            <w:r>
              <w:t>translation.published, regional_policy.updated, accessibility.issue.detected, locale.changed</w:t>
            </w:r>
          </w:p>
        </w:tc>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Foundation</w:t>
            </w:r>
          </w:p>
        </w:tc>
        <w:tc>
          <w:tcPr>
            <w:tcW w:type="dxa" w:w="973"/>
            <w:tcMar>
              <w:top w:w="70" w:type="dxa"/>
              <w:left w:w="80" w:type="dxa"/>
              <w:bottom w:w="70" w:type="dxa"/>
              <w:right w:w="80" w:type="dxa"/>
            </w:tcMar>
          </w:tcPr>
          <w:p>
            <w:r>
              <w:t>Business domain events</w:t>
            </w:r>
          </w:p>
        </w:tc>
        <w:tc>
          <w:tcPr>
            <w:tcW w:type="dxa" w:w="1216"/>
            <w:tcMar>
              <w:top w:w="70" w:type="dxa"/>
              <w:left w:w="80" w:type="dxa"/>
              <w:bottom w:w="70" w:type="dxa"/>
              <w:right w:w="80" w:type="dxa"/>
            </w:tcMar>
          </w:tcPr>
          <w:p>
            <w:r>
              <w:t>Durable contract; outbox; replay-safe class required; archived per classification</w:t>
            </w:r>
          </w:p>
        </w:tc>
      </w:tr>
      <w:tr>
        <w:tc>
          <w:tcPr>
            <w:tcW w:type="dxa" w:w="127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DAT-01</w:t>
            </w:r>
          </w:p>
        </w:tc>
        <w:tc>
          <w:tcPr>
            <w:tcW w:type="dxa" w:w="316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Domain Events, Event Bus &amp; Operational Timeline</w:t>
            </w:r>
          </w:p>
        </w:tc>
        <w:tc>
          <w:tcPr>
            <w:tcW w:type="dxa" w:w="7416"/>
            <w:tcMar>
              <w:top w:w="70" w:type="dxa"/>
              <w:start w:w="85" w:type="dxa"/>
              <w:bottom w:w="70" w:type="dxa"/>
              <w:end w:w="85" w:type="dxa"/>
              <w:left w:w="80" w:type="dxa"/>
              <w:right w:w="80" w:type="dxa"/>
            </w:tcMar>
            <w:vAlign w:val="center"/>
          </w:tcPr>
          <w:p>
            <w:r>
              <w:t>event.delivery.failed, event.replayed, event_schema.changed</w:t>
            </w:r>
          </w:p>
        </w:tc>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Foundation</w:t>
            </w:r>
          </w:p>
        </w:tc>
        <w:tc>
          <w:tcPr>
            <w:tcW w:type="dxa" w:w="973"/>
            <w:tcMar>
              <w:top w:w="70" w:type="dxa"/>
              <w:left w:w="80" w:type="dxa"/>
              <w:bottom w:w="70" w:type="dxa"/>
              <w:right w:w="80" w:type="dxa"/>
            </w:tcMar>
          </w:tcPr>
          <w:p>
            <w:r>
              <w:t>Business domain events</w:t>
            </w:r>
          </w:p>
        </w:tc>
        <w:tc>
          <w:tcPr>
            <w:tcW w:type="dxa" w:w="1216"/>
            <w:tcMar>
              <w:top w:w="70" w:type="dxa"/>
              <w:left w:w="80" w:type="dxa"/>
              <w:bottom w:w="70" w:type="dxa"/>
              <w:right w:w="80" w:type="dxa"/>
            </w:tcMar>
          </w:tcPr>
          <w:p>
            <w:r>
              <w:t>Durable contract; outbox; replay-safe class required; archived per classification</w:t>
            </w:r>
          </w:p>
        </w:tc>
      </w:tr>
      <w:tr>
        <w:tc>
          <w:tcPr>
            <w:tcW w:type="dxa" w:w="127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DAT-02</w:t>
            </w:r>
          </w:p>
        </w:tc>
        <w:tc>
          <w:tcPr>
            <w:tcW w:type="dxa" w:w="316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Data Platform, Warehouse, Governance &amp; Data Products</w:t>
            </w:r>
          </w:p>
        </w:tc>
        <w:tc>
          <w:tcPr>
            <w:tcW w:type="dxa" w:w="7416"/>
            <w:tcMar>
              <w:top w:w="70" w:type="dxa"/>
              <w:start w:w="85" w:type="dxa"/>
              <w:bottom w:w="70" w:type="dxa"/>
              <w:end w:w="85" w:type="dxa"/>
              <w:left w:w="80" w:type="dxa"/>
              <w:right w:w="80" w:type="dxa"/>
            </w:tcMar>
            <w:vAlign w:val="center"/>
          </w:tcPr>
          <w:p>
            <w:r>
              <w:t>data.ingested, data_quality.failed, data_product.published, dataset.accessed, data_export.completed</w:t>
            </w:r>
          </w:p>
        </w:tc>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V1.5 Growth</w:t>
            </w:r>
          </w:p>
        </w:tc>
        <w:tc>
          <w:tcPr>
            <w:tcW w:type="dxa" w:w="973"/>
            <w:tcMar>
              <w:top w:w="70" w:type="dxa"/>
              <w:left w:w="80" w:type="dxa"/>
              <w:bottom w:w="70" w:type="dxa"/>
              <w:right w:w="80" w:type="dxa"/>
            </w:tcMar>
          </w:tcPr>
          <w:p>
            <w:r>
              <w:t>Telemetry / diagnostic signals</w:t>
            </w:r>
          </w:p>
        </w:tc>
        <w:tc>
          <w:tcPr>
            <w:tcW w:type="dxa" w:w="1216"/>
            <w:tcMar>
              <w:top w:w="70" w:type="dxa"/>
              <w:left w:w="80" w:type="dxa"/>
              <w:bottom w:w="70" w:type="dxa"/>
              <w:right w:w="80" w:type="dxa"/>
            </w:tcMar>
          </w:tcPr>
          <w:p>
            <w:r>
              <w:t>Sampled/bounded; never authoritative</w:t>
            </w:r>
          </w:p>
        </w:tc>
      </w:tr>
      <w:tr>
        <w:tc>
          <w:tcPr>
            <w:tcW w:type="dxa" w:w="127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SEC-01</w:t>
            </w:r>
          </w:p>
        </w:tc>
        <w:tc>
          <w:tcPr>
            <w:tcW w:type="dxa" w:w="316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Security, Privacy, Compliance &amp; Consent</w:t>
            </w:r>
          </w:p>
        </w:tc>
        <w:tc>
          <w:tcPr>
            <w:tcW w:type="dxa" w:w="7416"/>
            <w:tcMar>
              <w:top w:w="70" w:type="dxa"/>
              <w:start w:w="85" w:type="dxa"/>
              <w:bottom w:w="70" w:type="dxa"/>
              <w:end w:w="85" w:type="dxa"/>
              <w:left w:w="80" w:type="dxa"/>
              <w:right w:w="80" w:type="dxa"/>
            </w:tcMar>
            <w:vAlign w:val="center"/>
          </w:tcPr>
          <w:p>
            <w:r>
              <w:t>consent.granted, consent.withdrawn, security.alert.detected, vulnerability.opened, data_subject_request.completed, data_subject_request.created</w:t>
            </w:r>
          </w:p>
        </w:tc>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Foundation</w:t>
            </w:r>
          </w:p>
        </w:tc>
        <w:tc>
          <w:tcPr>
            <w:tcW w:type="dxa" w:w="973"/>
            <w:tcMar>
              <w:top w:w="70" w:type="dxa"/>
              <w:left w:w="80" w:type="dxa"/>
              <w:bottom w:w="70" w:type="dxa"/>
              <w:right w:w="80" w:type="dxa"/>
            </w:tcMar>
          </w:tcPr>
          <w:p>
            <w:r>
              <w:t>Business domain events</w:t>
            </w:r>
          </w:p>
        </w:tc>
        <w:tc>
          <w:tcPr>
            <w:tcW w:type="dxa" w:w="1216"/>
            <w:tcMar>
              <w:top w:w="70" w:type="dxa"/>
              <w:left w:w="80" w:type="dxa"/>
              <w:bottom w:w="70" w:type="dxa"/>
              <w:right w:w="80" w:type="dxa"/>
            </w:tcMar>
          </w:tcPr>
          <w:p>
            <w:r>
              <w:t>Durable contract; outbox; replay-safe class required; archived per classification</w:t>
            </w:r>
          </w:p>
        </w:tc>
      </w:tr>
      <w:tr>
        <w:tc>
          <w:tcPr>
            <w:tcW w:type="dxa" w:w="127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SEC-02</w:t>
            </w:r>
          </w:p>
        </w:tc>
        <w:tc>
          <w:tcPr>
            <w:tcW w:type="dxa" w:w="316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Fraud, Abuse, Trust &amp; Content Moderation</w:t>
            </w:r>
          </w:p>
        </w:tc>
        <w:tc>
          <w:tcPr>
            <w:tcW w:type="dxa" w:w="7416"/>
            <w:tcMar>
              <w:top w:w="70" w:type="dxa"/>
              <w:start w:w="85" w:type="dxa"/>
              <w:bottom w:w="70" w:type="dxa"/>
              <w:end w:w="85" w:type="dxa"/>
              <w:left w:w="80" w:type="dxa"/>
              <w:right w:w="80" w:type="dxa"/>
            </w:tcMar>
            <w:vAlign w:val="center"/>
          </w:tcPr>
          <w:p>
            <w:r>
              <w:t>fraud.signal.detected, trust.case.opened, account.restricted, content.reported, moderation.decided, appeal.resolved</w:t>
            </w:r>
          </w:p>
        </w:tc>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V1.5 Growth</w:t>
            </w:r>
          </w:p>
        </w:tc>
        <w:tc>
          <w:tcPr>
            <w:tcW w:type="dxa" w:w="973"/>
            <w:tcMar>
              <w:top w:w="70" w:type="dxa"/>
              <w:left w:w="80" w:type="dxa"/>
              <w:bottom w:w="70" w:type="dxa"/>
              <w:right w:w="80" w:type="dxa"/>
            </w:tcMar>
          </w:tcPr>
          <w:p>
            <w:r>
              <w:t>Business domain events</w:t>
            </w:r>
          </w:p>
        </w:tc>
        <w:tc>
          <w:tcPr>
            <w:tcW w:type="dxa" w:w="1216"/>
            <w:tcMar>
              <w:top w:w="70" w:type="dxa"/>
              <w:left w:w="80" w:type="dxa"/>
              <w:bottom w:w="70" w:type="dxa"/>
              <w:right w:w="80" w:type="dxa"/>
            </w:tcMar>
          </w:tcPr>
          <w:p>
            <w:r>
              <w:t>Durable contract; outbox; replay-safe class required; archived per classification</w:t>
            </w:r>
          </w:p>
        </w:tc>
      </w:tr>
      <w:tr>
        <w:tc>
          <w:tcPr>
            <w:tcW w:type="dxa" w:w="127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REL-01</w:t>
            </w:r>
          </w:p>
        </w:tc>
        <w:tc>
          <w:tcPr>
            <w:tcW w:type="dxa" w:w="316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Reliability, Offline Operation, Business Continuity &amp; Incident Management</w:t>
            </w:r>
          </w:p>
        </w:tc>
        <w:tc>
          <w:tcPr>
            <w:tcW w:type="dxa" w:w="7416"/>
            <w:tcMar>
              <w:top w:w="70" w:type="dxa"/>
              <w:start w:w="85" w:type="dxa"/>
              <w:bottom w:w="70" w:type="dxa"/>
              <w:end w:w="85" w:type="dxa"/>
              <w:left w:w="80" w:type="dxa"/>
              <w:right w:w="80" w:type="dxa"/>
            </w:tcMar>
            <w:vAlign w:val="center"/>
          </w:tcPr>
          <w:p>
            <w:r>
              <w:t>slo.breached, offline_mode.entered, sync.reconciled, backup.completed, restore.tested, incident.declared, incident.resolved, postmortem.published</w:t>
            </w:r>
          </w:p>
        </w:tc>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Foundation</w:t>
            </w:r>
          </w:p>
        </w:tc>
        <w:tc>
          <w:tcPr>
            <w:tcW w:type="dxa" w:w="973"/>
            <w:tcMar>
              <w:top w:w="70" w:type="dxa"/>
              <w:left w:w="80" w:type="dxa"/>
              <w:bottom w:w="70" w:type="dxa"/>
              <w:right w:w="80" w:type="dxa"/>
            </w:tcMar>
          </w:tcPr>
          <w:p>
            <w:r>
              <w:t>Business domain events</w:t>
            </w:r>
          </w:p>
        </w:tc>
        <w:tc>
          <w:tcPr>
            <w:tcW w:type="dxa" w:w="1216"/>
            <w:tcMar>
              <w:top w:w="70" w:type="dxa"/>
              <w:left w:w="80" w:type="dxa"/>
              <w:bottom w:w="70" w:type="dxa"/>
              <w:right w:w="80" w:type="dxa"/>
            </w:tcMar>
          </w:tcPr>
          <w:p>
            <w:r>
              <w:t>Durable contract; outbox; replay-safe class required; archived per classification</w:t>
            </w:r>
          </w:p>
        </w:tc>
      </w:tr>
      <w:tr>
        <w:tc>
          <w:tcPr>
            <w:tcW w:type="dxa" w:w="127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REL-02</w:t>
            </w:r>
          </w:p>
        </w:tc>
        <w:tc>
          <w:tcPr>
            <w:tcW w:type="dxa" w:w="316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Observability, Performance, Capacity &amp; FinOps</w:t>
            </w:r>
          </w:p>
        </w:tc>
        <w:tc>
          <w:tcPr>
            <w:tcW w:type="dxa" w:w="7416"/>
            <w:tcMar>
              <w:top w:w="70" w:type="dxa"/>
              <w:start w:w="85" w:type="dxa"/>
              <w:bottom w:w="70" w:type="dxa"/>
              <w:end w:w="85" w:type="dxa"/>
              <w:left w:w="80" w:type="dxa"/>
              <w:right w:w="80" w:type="dxa"/>
            </w:tcMar>
            <w:vAlign w:val="center"/>
          </w:tcPr>
          <w:p>
            <w:r>
              <w:t>synthetic_check.failed, performance_budget.exceeded, capacity.threshold.reached, cost.anomaly.detected</w:t>
            </w:r>
          </w:p>
        </w:tc>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Foundation</w:t>
            </w:r>
          </w:p>
        </w:tc>
        <w:tc>
          <w:tcPr>
            <w:tcW w:type="dxa" w:w="973"/>
            <w:tcMar>
              <w:top w:w="70" w:type="dxa"/>
              <w:left w:w="80" w:type="dxa"/>
              <w:bottom w:w="70" w:type="dxa"/>
              <w:right w:w="80" w:type="dxa"/>
            </w:tcMar>
          </w:tcPr>
          <w:p>
            <w:r>
              <w:t>Telemetry / diagnostic signals</w:t>
            </w:r>
          </w:p>
        </w:tc>
        <w:tc>
          <w:tcPr>
            <w:tcW w:type="dxa" w:w="1216"/>
            <w:tcMar>
              <w:top w:w="70" w:type="dxa"/>
              <w:left w:w="80" w:type="dxa"/>
              <w:bottom w:w="70" w:type="dxa"/>
              <w:right w:w="80" w:type="dxa"/>
            </w:tcMar>
          </w:tcPr>
          <w:p>
            <w:r>
              <w:t>Sampled/bounded; never authoritative</w:t>
            </w:r>
          </w:p>
        </w:tc>
      </w:tr>
      <w:tr>
        <w:tc>
          <w:tcPr>
            <w:tcW w:type="dxa" w:w="127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LIF-01</w:t>
            </w:r>
          </w:p>
        </w:tc>
        <w:tc>
          <w:tcPr>
            <w:tcW w:type="dxa" w:w="316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Onboarding, Implementation &amp; Go-live Readiness</w:t>
            </w:r>
          </w:p>
        </w:tc>
        <w:tc>
          <w:tcPr>
            <w:tcW w:type="dxa" w:w="7416"/>
            <w:tcMar>
              <w:top w:w="70" w:type="dxa"/>
              <w:start w:w="85" w:type="dxa"/>
              <w:bottom w:w="70" w:type="dxa"/>
              <w:end w:w="85" w:type="dxa"/>
              <w:left w:w="80" w:type="dxa"/>
              <w:right w:w="80" w:type="dxa"/>
            </w:tcMar>
            <w:vAlign w:val="center"/>
          </w:tcPr>
          <w:p>
            <w:r>
              <w:t>implementation.started, readiness.changed, go_live.approved, tenant.went_live, hypercare.completed</w:t>
            </w:r>
          </w:p>
        </w:tc>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Pilot</w:t>
            </w:r>
          </w:p>
        </w:tc>
        <w:tc>
          <w:tcPr>
            <w:tcW w:type="dxa" w:w="973"/>
            <w:tcMar>
              <w:top w:w="70" w:type="dxa"/>
              <w:left w:w="80" w:type="dxa"/>
              <w:bottom w:w="70" w:type="dxa"/>
              <w:right w:w="80" w:type="dxa"/>
            </w:tcMar>
          </w:tcPr>
          <w:p>
            <w:r>
              <w:t>Business domain events</w:t>
            </w:r>
          </w:p>
        </w:tc>
        <w:tc>
          <w:tcPr>
            <w:tcW w:type="dxa" w:w="1216"/>
            <w:tcMar>
              <w:top w:w="70" w:type="dxa"/>
              <w:left w:w="80" w:type="dxa"/>
              <w:bottom w:w="70" w:type="dxa"/>
              <w:right w:w="80" w:type="dxa"/>
            </w:tcMar>
          </w:tcPr>
          <w:p>
            <w:r>
              <w:t>Durable contract; outbox; replay-safe class required; archived per classification</w:t>
            </w:r>
          </w:p>
        </w:tc>
      </w:tr>
      <w:tr>
        <w:tc>
          <w:tcPr>
            <w:tcW w:type="dxa" w:w="127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LIF-02</w:t>
            </w:r>
          </w:p>
        </w:tc>
        <w:tc>
          <w:tcPr>
            <w:tcW w:type="dxa" w:w="316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Migration, Import, Validation &amp; Cutover</w:t>
            </w:r>
          </w:p>
        </w:tc>
        <w:tc>
          <w:tcPr>
            <w:tcW w:type="dxa" w:w="7416"/>
            <w:tcMar>
              <w:top w:w="70" w:type="dxa"/>
              <w:start w:w="85" w:type="dxa"/>
              <w:bottom w:w="70" w:type="dxa"/>
              <w:end w:w="85" w:type="dxa"/>
              <w:left w:w="80" w:type="dxa"/>
              <w:right w:w="80" w:type="dxa"/>
            </w:tcMar>
            <w:vAlign w:val="center"/>
          </w:tcPr>
          <w:p>
            <w:r>
              <w:t>migration.dry_run.completed, migration.error.detected, migration.import.completed, migration.reconciled, cutover.completed</w:t>
            </w:r>
          </w:p>
        </w:tc>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Pilot</w:t>
            </w:r>
          </w:p>
        </w:tc>
        <w:tc>
          <w:tcPr>
            <w:tcW w:type="dxa" w:w="973"/>
            <w:tcMar>
              <w:top w:w="70" w:type="dxa"/>
              <w:left w:w="80" w:type="dxa"/>
              <w:bottom w:w="70" w:type="dxa"/>
              <w:right w:w="80" w:type="dxa"/>
            </w:tcMar>
          </w:tcPr>
          <w:p>
            <w:r>
              <w:t>Business domain events</w:t>
            </w:r>
          </w:p>
        </w:tc>
        <w:tc>
          <w:tcPr>
            <w:tcW w:type="dxa" w:w="1216"/>
            <w:tcMar>
              <w:top w:w="70" w:type="dxa"/>
              <w:left w:w="80" w:type="dxa"/>
              <w:bottom w:w="70" w:type="dxa"/>
              <w:right w:w="80" w:type="dxa"/>
            </w:tcMar>
          </w:tcPr>
          <w:p>
            <w:r>
              <w:t>Durable contract; outbox; replay-safe class required; archived per classification</w:t>
            </w:r>
          </w:p>
        </w:tc>
      </w:tr>
      <w:tr>
        <w:tc>
          <w:tcPr>
            <w:tcW w:type="dxa" w:w="127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LIF-03</w:t>
            </w:r>
          </w:p>
        </w:tc>
        <w:tc>
          <w:tcPr>
            <w:tcW w:type="dxa" w:w="316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Offboarding, Data Portability, Archival &amp; Deletion</w:t>
            </w:r>
          </w:p>
        </w:tc>
        <w:tc>
          <w:tcPr>
            <w:tcW w:type="dxa" w:w="7416"/>
            <w:tcMar>
              <w:top w:w="70" w:type="dxa"/>
              <w:start w:w="85" w:type="dxa"/>
              <w:bottom w:w="70" w:type="dxa"/>
              <w:end w:w="85" w:type="dxa"/>
              <w:left w:w="80" w:type="dxa"/>
              <w:right w:w="80" w:type="dxa"/>
            </w:tcMar>
            <w:vAlign w:val="center"/>
          </w:tcPr>
          <w:p>
            <w:r>
              <w:t>tenant.offboarding.started, data_export.ready, tenant.archived, credentials.revoked, data.deleted</w:t>
            </w:r>
          </w:p>
        </w:tc>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Enterprise</w:t>
            </w:r>
          </w:p>
        </w:tc>
        <w:tc>
          <w:tcPr>
            <w:tcW w:type="dxa" w:w="973"/>
            <w:tcMar>
              <w:top w:w="70" w:type="dxa"/>
              <w:left w:w="80" w:type="dxa"/>
              <w:bottom w:w="70" w:type="dxa"/>
              <w:right w:w="80" w:type="dxa"/>
            </w:tcMar>
          </w:tcPr>
          <w:p>
            <w:r>
              <w:t>Business domain events</w:t>
            </w:r>
          </w:p>
        </w:tc>
        <w:tc>
          <w:tcPr>
            <w:tcW w:type="dxa" w:w="1216"/>
            <w:tcMar>
              <w:top w:w="70" w:type="dxa"/>
              <w:left w:w="80" w:type="dxa"/>
              <w:bottom w:w="70" w:type="dxa"/>
              <w:right w:w="80" w:type="dxa"/>
            </w:tcMar>
          </w:tcPr>
          <w:p>
            <w:r>
              <w:t>Durable contract; outbox; replay-safe class required; archived per classification</w:t>
            </w:r>
          </w:p>
        </w:tc>
      </w:tr>
      <w:tr>
        <w:tc>
          <w:tcPr>
            <w:tcW w:type="dxa" w:w="127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GOV-01</w:t>
            </w:r>
          </w:p>
        </w:tc>
        <w:tc>
          <w:tcPr>
            <w:tcW w:type="dxa" w:w="316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Quality Engineering, CI/CD, Release &amp; Schema Management</w:t>
            </w:r>
          </w:p>
        </w:tc>
        <w:tc>
          <w:tcPr>
            <w:tcW w:type="dxa" w:w="7416"/>
            <w:tcMar>
              <w:top w:w="70" w:type="dxa"/>
              <w:start w:w="85" w:type="dxa"/>
              <w:bottom w:w="70" w:type="dxa"/>
              <w:end w:w="85" w:type="dxa"/>
              <w:left w:w="80" w:type="dxa"/>
              <w:right w:w="80" w:type="dxa"/>
            </w:tcMar>
            <w:vAlign w:val="center"/>
          </w:tcPr>
          <w:p>
            <w:r>
              <w:t>build.completed, quality_gate.failed, deployment.started, deployment.rolled_back, release.published, schema.migrated</w:t>
            </w:r>
          </w:p>
        </w:tc>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Foundation</w:t>
            </w:r>
          </w:p>
        </w:tc>
        <w:tc>
          <w:tcPr>
            <w:tcW w:type="dxa" w:w="973"/>
            <w:tcMar>
              <w:top w:w="70" w:type="dxa"/>
              <w:left w:w="80" w:type="dxa"/>
              <w:bottom w:w="70" w:type="dxa"/>
              <w:right w:w="80" w:type="dxa"/>
            </w:tcMar>
          </w:tcPr>
          <w:p>
            <w:r>
              <w:t>Business domain events</w:t>
            </w:r>
          </w:p>
        </w:tc>
        <w:tc>
          <w:tcPr>
            <w:tcW w:type="dxa" w:w="1216"/>
            <w:tcMar>
              <w:top w:w="70" w:type="dxa"/>
              <w:left w:w="80" w:type="dxa"/>
              <w:bottom w:w="70" w:type="dxa"/>
              <w:right w:w="80" w:type="dxa"/>
            </w:tcMar>
          </w:tcPr>
          <w:p>
            <w:r>
              <w:t>Durable contract; outbox; replay-safe class required; archived per classification</w:t>
            </w:r>
          </w:p>
        </w:tc>
      </w:tr>
      <w:tr>
        <w:tc>
          <w:tcPr>
            <w:tcW w:type="dxa" w:w="127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GOV-02</w:t>
            </w:r>
          </w:p>
        </w:tc>
        <w:tc>
          <w:tcPr>
            <w:tcW w:type="dxa" w:w="316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Product, Architecture, Data &amp; AI Governance</w:t>
            </w:r>
          </w:p>
        </w:tc>
        <w:tc>
          <w:tcPr>
            <w:tcW w:type="dxa" w:w="7416"/>
            <w:tcMar>
              <w:top w:w="70" w:type="dxa"/>
              <w:start w:w="85" w:type="dxa"/>
              <w:bottom w:w="70" w:type="dxa"/>
              <w:end w:w="85" w:type="dxa"/>
              <w:left w:w="80" w:type="dxa"/>
              <w:right w:w="80" w:type="dxa"/>
            </w:tcMar>
            <w:vAlign w:val="center"/>
          </w:tcPr>
          <w:p>
            <w:r>
              <w:t>decision.accepted, domain.owner.changed, product_feature.deprecated, governance.review.completed</w:t>
            </w:r>
          </w:p>
        </w:tc>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Foundation</w:t>
            </w:r>
          </w:p>
        </w:tc>
        <w:tc>
          <w:tcPr>
            <w:tcW w:type="dxa" w:w="973"/>
            <w:tcMar>
              <w:top w:w="70" w:type="dxa"/>
              <w:left w:w="80" w:type="dxa"/>
              <w:bottom w:w="70" w:type="dxa"/>
              <w:right w:w="80" w:type="dxa"/>
            </w:tcMar>
          </w:tcPr>
          <w:p>
            <w:r>
              <w:t>Business domain events</w:t>
            </w:r>
          </w:p>
        </w:tc>
        <w:tc>
          <w:tcPr>
            <w:tcW w:type="dxa" w:w="1216"/>
            <w:tcMar>
              <w:top w:w="70" w:type="dxa"/>
              <w:left w:w="80" w:type="dxa"/>
              <w:bottom w:w="70" w:type="dxa"/>
              <w:right w:w="80" w:type="dxa"/>
            </w:tcMar>
          </w:tcPr>
          <w:p>
            <w:r>
              <w:t>Durable contract; outbox; replay-safe class required; archived per classification</w:t>
            </w:r>
          </w:p>
        </w:tc>
      </w:tr>
      <w:tr>
        <w:tc>
          <w:tcPr>
            <w:tcW w:type="dxa" w:w="127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GOV-03</w:t>
            </w:r>
          </w:p>
        </w:tc>
        <w:tc>
          <w:tcPr>
            <w:tcW w:type="dxa" w:w="316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Legal, Procurement, Vendor, Partner &amp; Compliance Operations</w:t>
            </w:r>
          </w:p>
        </w:tc>
        <w:tc>
          <w:tcPr>
            <w:tcW w:type="dxa" w:w="7416"/>
            <w:tcMar>
              <w:top w:w="70" w:type="dxa"/>
              <w:start w:w="85" w:type="dxa"/>
              <w:bottom w:w="70" w:type="dxa"/>
              <w:end w:w="85" w:type="dxa"/>
              <w:left w:w="80" w:type="dxa"/>
              <w:right w:w="80" w:type="dxa"/>
            </w:tcMar>
            <w:vAlign w:val="center"/>
          </w:tcPr>
          <w:p>
            <w:r>
              <w:t>legal_document.published, contract.renewal_due, vendor.risk.changed, partner.certified, control.test.failed</w:t>
            </w:r>
          </w:p>
        </w:tc>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Enterprise</w:t>
            </w:r>
          </w:p>
        </w:tc>
        <w:tc>
          <w:tcPr>
            <w:tcW w:type="dxa" w:w="973"/>
            <w:tcMar>
              <w:top w:w="70" w:type="dxa"/>
              <w:left w:w="80" w:type="dxa"/>
              <w:bottom w:w="70" w:type="dxa"/>
              <w:right w:w="80" w:type="dxa"/>
            </w:tcMar>
          </w:tcPr>
          <w:p>
            <w:r>
              <w:t>Business domain events</w:t>
            </w:r>
          </w:p>
        </w:tc>
        <w:tc>
          <w:tcPr>
            <w:tcW w:type="dxa" w:w="1216"/>
            <w:tcMar>
              <w:top w:w="70" w:type="dxa"/>
              <w:left w:w="80" w:type="dxa"/>
              <w:bottom w:w="70" w:type="dxa"/>
              <w:right w:w="80" w:type="dxa"/>
            </w:tcMar>
          </w:tcPr>
          <w:p>
            <w:r>
              <w:t>Durable contract; outbox; replay-safe class required; archived per classification</w:t>
            </w:r>
          </w:p>
        </w:tc>
      </w:tr>
      <w:tr>
        <w:tc>
          <w:tcPr>
            <w:tcW w:type="dxa" w:w="1277"/>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GOV-04</w:t>
            </w:r>
          </w:p>
        </w:tc>
        <w:tc>
          <w:tcPr>
            <w:tcW w:type="dxa" w:w="3161"/>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GTM Operations, Knowledge, Training, Feedback &amp; Product Education</w:t>
            </w:r>
          </w:p>
        </w:tc>
        <w:tc>
          <w:tcPr>
            <w:tcW w:type="dxa" w:w="7416"/>
            <w:tcMar>
              <w:top w:w="70" w:type="dxa"/>
              <w:start w:w="85" w:type="dxa"/>
              <w:bottom w:w="70" w:type="dxa"/>
              <w:end w:w="85" w:type="dxa"/>
              <w:left w:w="80" w:type="dxa"/>
              <w:right w:w="80" w:type="dxa"/>
            </w:tcMar>
            <w:vAlign w:val="center"/>
          </w:tcPr>
          <w:p>
            <w:r>
              <w:t>demo.created, learning.completed, feedback.received, opportunity.validated, release_communication.sent</w:t>
            </w:r>
          </w:p>
        </w:tc>
        <w:tc>
          <w:tcPr>
            <w:tcW w:type="dxa" w:w="1702"/>
            <w:tcMar>
              <w:top w:w="70" w:type="dxa"/>
              <w:start w:w="85" w:type="dxa"/>
              <w:bottom w:w="70" w:type="dxa"/>
              <w:end w:w="85" w:type="dxa"/>
              <w:left w:w="80" w:type="dxa"/>
              <w:right w:w="80" w:type="dxa"/>
            </w:tcMar>
            <w:vAlign w:val="center"/>
          </w:tcPr>
          <w:p>
            <w:pPr>
              <w:spacing w:after="0" w:line="245" w:lineRule="auto"/>
              <w:jc w:val="left"/>
            </w:pPr>
            <w:r>
              <w:rPr>
                <w:rFonts w:ascii="Noto Sans" w:hAnsi="Noto Sans"/>
                <w:color w:val="1F2933"/>
                <w:sz w:val="14"/>
              </w:rPr>
              <w:t>Pilot</w:t>
            </w:r>
          </w:p>
        </w:tc>
        <w:tc>
          <w:tcPr>
            <w:tcW w:type="dxa" w:w="973"/>
            <w:tcMar>
              <w:top w:w="70" w:type="dxa"/>
              <w:left w:w="80" w:type="dxa"/>
              <w:bottom w:w="70" w:type="dxa"/>
              <w:right w:w="80" w:type="dxa"/>
            </w:tcMar>
          </w:tcPr>
          <w:p>
            <w:r>
              <w:t>Business domain events</w:t>
            </w:r>
          </w:p>
        </w:tc>
        <w:tc>
          <w:tcPr>
            <w:tcW w:type="dxa" w:w="1216"/>
            <w:tcMar>
              <w:top w:w="70" w:type="dxa"/>
              <w:left w:w="80" w:type="dxa"/>
              <w:bottom w:w="70" w:type="dxa"/>
              <w:right w:w="80" w:type="dxa"/>
            </w:tcMar>
          </w:tcPr>
          <w:p>
            <w:r>
              <w:t>Durable contract; outbox; replay-safe class required; archived per classification</w:t>
            </w:r>
          </w:p>
        </w:tc>
      </w:tr>
    </w:tbl>
    <w:p>
      <w:pPr>
        <w:spacing w:after="40"/>
      </w:pPr>
    </w:p>
    <w:p>
      <w:pPr>
        <w:pStyle w:val="Heading1"/>
        <w:keepNext/>
      </w:pPr>
      <w:r>
        <w:t>Appendix D. Architecture QA Checklist &amp; Final Acceptance Criteria</w:t>
      </w:r>
    </w:p>
    <w:p>
      <w:pPr>
        <w:pStyle w:val="Heading2"/>
        <w:keepNext/>
      </w:pPr>
      <w:r>
        <w:t>D.1 P0 Conditions - Architecture Cannot Be Approved</w:t>
      </w:r>
    </w:p>
    <w:p>
      <w:pPr>
        <w:pStyle w:val="Bullet1"/>
        <w:spacing w:after="80" w:line="252" w:lineRule="auto"/>
      </w:pPr>
      <w:r>
        <w:rPr>
          <w:rFonts w:ascii="Noto Sans" w:hAnsi="Noto Sans"/>
        </w:rPr>
        <w:t>Any plausible cross-tenant read/write/search/cache/file/event/AI leakage path.</w:t>
      </w:r>
    </w:p>
    <w:p>
      <w:pPr>
        <w:pStyle w:val="Bullet1"/>
        <w:spacing w:after="80" w:line="252" w:lineRule="auto"/>
      </w:pPr>
      <w:r>
        <w:rPr>
          <w:rFonts w:ascii="Noto Sans" w:hAnsi="Noto Sans"/>
        </w:rPr>
        <w:t>Any path that can double-charge, lose/rewrite ledger history, mark unpaid money as paid, or produce unreconcilable financial state.</w:t>
      </w:r>
    </w:p>
    <w:p>
      <w:pPr>
        <w:pStyle w:val="Bullet1"/>
        <w:spacing w:after="80" w:line="252" w:lineRule="auto"/>
      </w:pPr>
      <w:r>
        <w:rPr>
          <w:rFonts w:ascii="Noto Sans" w:hAnsi="Noto Sans"/>
        </w:rPr>
        <w:t>Any access path that can grant physical access without authoritative/bounded policy and auditable entitlement evaluation.</w:t>
      </w:r>
    </w:p>
    <w:p>
      <w:pPr>
        <w:pStyle w:val="Bullet1"/>
        <w:spacing w:after="80" w:line="252" w:lineRule="auto"/>
      </w:pPr>
      <w:r>
        <w:rPr>
          <w:rFonts w:ascii="Noto Sans" w:hAnsi="Noto Sans"/>
        </w:rPr>
        <w:t>Any design that stores raw card credentials/secrets/biometric data without an explicit secure boundary and purpose.</w:t>
      </w:r>
    </w:p>
    <w:p>
      <w:pPr>
        <w:pStyle w:val="Bullet1"/>
        <w:spacing w:after="80" w:line="252" w:lineRule="auto"/>
      </w:pPr>
      <w:r>
        <w:rPr>
          <w:rFonts w:ascii="Noto Sans" w:hAnsi="Noto Sans"/>
        </w:rPr>
        <w:t>Any destructive privacy/offboarding path that can delete before legal/export/retention obligations or cannot prove deletion/revocation.</w:t>
      </w:r>
    </w:p>
    <w:p>
      <w:pPr>
        <w:pStyle w:val="Bullet1"/>
        <w:spacing w:after="80" w:line="252" w:lineRule="auto"/>
      </w:pPr>
      <w:r>
        <w:rPr>
          <w:rFonts w:ascii="Noto Sans" w:hAnsi="Noto Sans"/>
        </w:rPr>
        <w:t>Any AI tool path that can bypass authorization/approval or access arbitrary database/secrets.</w:t>
      </w:r>
    </w:p>
    <w:p>
      <w:pPr>
        <w:pStyle w:val="Bullet1"/>
        <w:spacing w:after="80" w:line="252" w:lineRule="auto"/>
      </w:pPr>
      <w:r>
        <w:rPr>
          <w:rFonts w:ascii="Noto Sans" w:hAnsi="Noto Sans"/>
        </w:rPr>
        <w:t>Any single failure that can permanently lose Tier-1 financial/access state without recovery evidence.</w:t>
      </w:r>
    </w:p>
    <w:p>
      <w:pPr>
        <w:pStyle w:val="Heading2"/>
        <w:keepNext/>
      </w:pPr>
      <w:r>
        <w:t>D.2 P1 Conditions - Required Fix Before Implementation Baseline</w:t>
      </w:r>
    </w:p>
    <w:p>
      <w:pPr>
        <w:pStyle w:val="Bullet1"/>
        <w:spacing w:after="80" w:line="252" w:lineRule="auto"/>
      </w:pPr>
      <w:r>
        <w:rPr>
          <w:rFonts w:ascii="Noto Sans" w:hAnsi="Noto Sans"/>
        </w:rPr>
        <w:t>Direct cross-domain table writes or unowned shared business tables.</w:t>
      </w:r>
    </w:p>
    <w:p>
      <w:pPr>
        <w:pStyle w:val="Bullet1"/>
        <w:spacing w:after="80" w:line="252" w:lineRule="auto"/>
      </w:pPr>
      <w:r>
        <w:rPr>
          <w:rFonts w:ascii="Noto Sans" w:hAnsi="Noto Sans"/>
        </w:rPr>
        <w:t>Externally retryable mutation without idempotency semantics.</w:t>
      </w:r>
    </w:p>
    <w:p>
      <w:pPr>
        <w:pStyle w:val="Bullet1"/>
        <w:spacing w:after="80" w:line="252" w:lineRule="auto"/>
      </w:pPr>
      <w:r>
        <w:rPr>
          <w:rFonts w:ascii="Noto Sans" w:hAnsi="Noto Sans"/>
        </w:rPr>
        <w:t>Provider integration without webhook verification, retry and reconciliation.</w:t>
      </w:r>
    </w:p>
    <w:p>
      <w:pPr>
        <w:pStyle w:val="Bullet1"/>
        <w:spacing w:after="80" w:line="252" w:lineRule="auto"/>
      </w:pPr>
      <w:r>
        <w:rPr>
          <w:rFonts w:ascii="Noto Sans" w:hAnsi="Noto Sans"/>
        </w:rPr>
        <w:t>Cross-domain/timer process without durable workflow/recovery strategy.</w:t>
      </w:r>
    </w:p>
    <w:p>
      <w:pPr>
        <w:pStyle w:val="Bullet1"/>
        <w:spacing w:after="80" w:line="252" w:lineRule="auto"/>
      </w:pPr>
      <w:r>
        <w:rPr>
          <w:rFonts w:ascii="Noto Sans" w:hAnsi="Noto Sans"/>
        </w:rPr>
        <w:t>Missing optimistic concurrency or conflict handling on consequence-bearing mutable records.</w:t>
      </w:r>
    </w:p>
    <w:p>
      <w:pPr>
        <w:pStyle w:val="Bullet1"/>
        <w:spacing w:after="80" w:line="252" w:lineRule="auto"/>
      </w:pPr>
      <w:r>
        <w:rPr>
          <w:rFonts w:ascii="Noto Sans" w:hAnsi="Noto Sans"/>
        </w:rPr>
        <w:t>Critical offline flow without snapshot TTL, duplicate/conflict and reconnect reconciliation.</w:t>
      </w:r>
    </w:p>
    <w:p>
      <w:pPr>
        <w:pStyle w:val="Bullet1"/>
        <w:spacing w:after="80" w:line="252" w:lineRule="auto"/>
      </w:pPr>
      <w:r>
        <w:rPr>
          <w:rFonts w:ascii="Noto Sans" w:hAnsi="Noto Sans"/>
        </w:rPr>
        <w:t>Search/analytics/AI path that treats projections as authoritative for a consequence-bearing mutation.</w:t>
      </w:r>
    </w:p>
    <w:p>
      <w:pPr>
        <w:pStyle w:val="Bullet1"/>
        <w:spacing w:after="80" w:line="252" w:lineRule="auto"/>
      </w:pPr>
      <w:r>
        <w:rPr>
          <w:rFonts w:ascii="Noto Sans" w:hAnsi="Noto Sans"/>
        </w:rPr>
        <w:t>Schema migration/deployment strategy that cannot roll forward/backward safely during rolling deploy.</w:t>
      </w:r>
    </w:p>
    <w:p>
      <w:pPr>
        <w:pStyle w:val="Bullet1"/>
        <w:spacing w:after="80" w:line="252" w:lineRule="auto"/>
      </w:pPr>
      <w:r>
        <w:rPr>
          <w:rFonts w:ascii="Noto Sans" w:hAnsi="Noto Sans"/>
        </w:rPr>
        <w:t>Missing SLO/telemetry/runbook for a critical path.</w:t>
      </w:r>
    </w:p>
    <w:p>
      <w:pPr>
        <w:pStyle w:val="Bullet1"/>
        <w:spacing w:after="80" w:line="252" w:lineRule="auto"/>
      </w:pPr>
      <w:r>
        <w:rPr>
          <w:rFonts w:ascii="Noto Sans" w:hAnsi="Noto Sans"/>
        </w:rPr>
        <w:t>Regional Jordan requirement implemented as irreversible core-domain vendor/country coupling.</w:t>
      </w:r>
    </w:p>
    <w:p>
      <w:pPr>
        <w:pStyle w:val="Bullet1"/>
      </w:pPr>
      <w:r>
        <w:t>commonMain depending on Android/iOS SDK types or platform provider objects, or a platform capability implemented without the ADR-017 adapter/native-interop boundary.</w:t>
      </w:r>
    </w:p>
    <w:p>
      <w:pPr>
        <w:pStyle w:val="Bullet1"/>
      </w:pPr>
      <w:r>
        <w:t>Critical KMP/Compose mobile flow that is not qualified on both Android and iOS for accessibility, RTL/localization, offline behavior, platform lifecycle and required native SDK integration.</w:t>
      </w:r>
    </w:p>
    <w:p>
      <w:pPr>
        <w:pStyle w:val="Heading2"/>
        <w:keepNext/>
      </w:pPr>
      <w:r>
        <w:t>D.3 Reviewer Questions</w:t>
      </w:r>
    </w:p>
    <w:p>
      <w:pPr>
        <w:pStyle w:val="Numbered"/>
        <w:spacing w:after="60"/>
      </w:pPr>
      <w:r>
        <w:rPr>
          <w:rFonts w:ascii="Noto Sans" w:hAnsi="Noto Sans"/>
        </w:rPr>
        <w:t>Can every one of the 57 domains identify its source of truth, transaction boundary and event contract?</w:t>
      </w:r>
    </w:p>
    <w:p>
      <w:pPr>
        <w:pStyle w:val="Numbered"/>
        <w:spacing w:after="60"/>
      </w:pPr>
      <w:r>
        <w:rPr>
          <w:rFonts w:ascii="Noto Sans" w:hAnsi="Noto Sans"/>
        </w:rPr>
        <w:t>Are all 432 requirements represented without architecture hand-waving or phase-based deletion?</w:t>
      </w:r>
    </w:p>
    <w:p>
      <w:pPr>
        <w:pStyle w:val="Numbered"/>
        <w:spacing w:after="60"/>
      </w:pPr>
      <w:r>
        <w:rPr>
          <w:rFonts w:ascii="Noto Sans" w:hAnsi="Noto Sans"/>
        </w:rPr>
        <w:t>Does the tenant isolation model cover APIs, background jobs, events, files, cache, search, telemetry and AI?</w:t>
      </w:r>
    </w:p>
    <w:p>
      <w:pPr>
        <w:pStyle w:val="Numbered"/>
        <w:spacing w:after="60"/>
      </w:pPr>
      <w:r>
        <w:rPr>
          <w:rFonts w:ascii="Noto Sans" w:hAnsi="Noto Sans"/>
        </w:rPr>
        <w:t>Can membership sale/payment/refund/dunning be replayed/retried without double economic effects?</w:t>
      </w:r>
    </w:p>
    <w:p>
      <w:pPr>
        <w:pStyle w:val="Numbered"/>
        <w:spacing w:after="60"/>
      </w:pPr>
      <w:r>
        <w:rPr>
          <w:rFonts w:ascii="Noto Sans" w:hAnsi="Noto Sans"/>
        </w:rPr>
        <w:t>Can access continue safely during cloud/network failure and reconcile afterward?</w:t>
      </w:r>
    </w:p>
    <w:p>
      <w:pPr>
        <w:pStyle w:val="Numbered"/>
        <w:spacing w:after="60"/>
      </w:pPr>
      <w:r>
        <w:rPr>
          <w:rFonts w:ascii="Noto Sans" w:hAnsi="Noto Sans"/>
        </w:rPr>
        <w:t>Does every provider adapter have authentication, idempotency, retry, health and reconciliation semantics?</w:t>
      </w:r>
    </w:p>
    <w:p>
      <w:pPr>
        <w:pStyle w:val="Numbered"/>
        <w:spacing w:after="60"/>
      </w:pPr>
      <w:r>
        <w:rPr>
          <w:rFonts w:ascii="Noto Sans" w:hAnsi="Noto Sans"/>
        </w:rPr>
        <w:t>Does the architecture scale operationally before microservices are introduced?</w:t>
      </w:r>
    </w:p>
    <w:p>
      <w:pPr>
        <w:pStyle w:val="Numbered"/>
        <w:spacing w:after="60"/>
      </w:pPr>
      <w:r>
        <w:rPr>
          <w:rFonts w:ascii="Noto Sans" w:hAnsi="Noto Sans"/>
        </w:rPr>
        <w:t>Are data classification, purpose, retention, consent and audit enforced as runtime architecture, not policy prose only?</w:t>
      </w:r>
    </w:p>
    <w:p>
      <w:pPr>
        <w:pStyle w:val="Numbered"/>
        <w:spacing w:after="60"/>
      </w:pPr>
      <w:r>
        <w:rPr>
          <w:rFonts w:ascii="Noto Sans" w:hAnsi="Noto Sans"/>
        </w:rPr>
        <w:t>Can AI explain evidence and execute only within tenant/user/tool policy with appropriate approval?</w:t>
      </w:r>
    </w:p>
    <w:p>
      <w:pPr>
        <w:pStyle w:val="Numbered"/>
        <w:spacing w:after="60"/>
      </w:pPr>
      <w:r>
        <w:rPr>
          <w:rFonts w:ascii="Noto Sans" w:hAnsi="Noto Sans"/>
        </w:rPr>
        <w:t>Can mobile/web clients evolve while APIs/schema deploy independently?</w:t>
      </w:r>
    </w:p>
    <w:p>
      <w:pPr>
        <w:pStyle w:val="Numbered"/>
        <w:spacing w:after="60"/>
      </w:pPr>
      <w:r>
        <w:rPr>
          <w:rFonts w:ascii="Noto Sans" w:hAnsi="Noto Sans"/>
        </w:rPr>
        <w:t>Can a tenant migrate in/out with reconciled balances, source mappings and verifiable export/deletion?</w:t>
      </w:r>
    </w:p>
    <w:p>
      <w:pPr>
        <w:pStyle w:val="Numbered"/>
        <w:spacing w:after="60"/>
      </w:pPr>
      <w:r>
        <w:rPr>
          <w:rFonts w:ascii="Noto Sans" w:hAnsi="Noto Sans"/>
        </w:rPr>
        <w:t>Are SLO, DR, capacity and FinOps targets technically measurable and attached to owners/runbooks?</w:t>
      </w:r>
    </w:p>
    <w:p>
      <w:pPr>
        <w:pStyle w:val="Numbered"/>
        <w:spacing w:after="60"/>
      </w:pPr>
      <w:r>
        <w:rPr>
          <w:rFonts w:ascii="Noto Sans" w:hAnsi="Noto Sans"/>
        </w:rPr>
        <w:t>Can Jordan-specific tax/payment/WhatsApp/access integrations change without changing core domains?</w:t>
      </w:r>
    </w:p>
    <w:p>
      <w:pPr>
        <w:pStyle w:val="Numbered"/>
        <w:spacing w:after="60"/>
      </w:pPr>
      <w:r>
        <w:rPr>
          <w:rFonts w:ascii="Noto Sans" w:hAnsi="Noto Sans"/>
        </w:rPr>
        <w:t>Are the open decisions correctly isolated behind interfaces so vendor selection does not force a redesign?</w:t>
      </w:r>
    </w:p>
    <w:p>
      <w:pPr>
        <w:pStyle w:val="Numbered"/>
      </w:pPr>
      <w:r>
        <w:t>Does the KMP mobile architecture keep commonMain free of Android/iOS SDK dependencies and keep every platform-only capability behind an explicit adapter?</w:t>
      </w:r>
    </w:p>
    <w:p>
      <w:pPr>
        <w:pStyle w:val="Numbered"/>
      </w:pPr>
      <w:r>
        <w:t>Can Coach and Member share Compose UI/state/data while retaining independent app identity, permissions, analytics, navigation and store release control?</w:t>
      </w:r>
    </w:p>
    <w:p>
      <w:pPr>
        <w:pStyle w:val="Numbered"/>
      </w:pPr>
      <w:r>
        <w:t>Are Arabic RTL, TalkBack/VoiceOver, offline sync, push, biometrics, camera/barcode, NFC, wallet/payment and background execution verified on both platform runtimes rather than assumed from shared code?</w:t>
      </w:r>
    </w:p>
    <w:p>
      <w:pPr>
        <w:pStyle w:val="Numbered"/>
      </w:pPr>
      <w:r>
        <w:t>Can a problematic platform integration use a native Android or SwiftUI/UIKit escape hatch without forking domain/data logic or breaking API/analytics parity?</w:t>
      </w:r>
    </w:p>
    <w:p>
      <w:pPr>
        <w:pStyle w:val="Heading2"/>
        <w:keepNext/>
      </w:pPr>
      <w:r>
        <w:t>D.4 Final Architecture Acceptance Gate</w:t>
      </w:r>
    </w:p>
    <w:p>
      <w:pPr>
        <w:pStyle w:val="Heading3"/>
      </w:pPr>
      <w:r>
        <w:t>Independent audit remediation gate</w:t>
      </w:r>
    </w:p>
    <w:p>
      <w:pPr>
        <w:pStyle w:val="Bullet1"/>
      </w:pPr>
      <w:r>
        <w:t>All P0 findings from the 23 Aug 2026 adversarial audit must be independently re-tested and closed; “addressed in document” is not evidence of closure by itself.</w:t>
      </w:r>
    </w:p>
    <w:p>
      <w:pPr>
        <w:pStyle w:val="Bullet1"/>
      </w:pPr>
      <w:r>
        <w:t>All P1 findings required for implementation baseline must have an owned artifact/test/runbook or a named external validation gate with a deadline before the affected feature can enter Pilot.</w:t>
      </w:r>
    </w:p>
    <w:p>
      <w:pPr>
        <w:pStyle w:val="Bullet1"/>
      </w:pPr>
      <w:r>
        <w:t>Traceability must contain DESIGNED/PARTIAL/DEFERRED statuses with evidence pointers; a mechanically uniform 432/432 blanket COVERED result is considered an audit failure.</w:t>
      </w:r>
    </w:p>
    <w:p>
      <w:pPr>
        <w:pStyle w:val="Bullet1"/>
      </w:pPr>
      <w:r>
        <w:t>The screen-contract manifest must be generated from the canonical V1 design registry before feature implementation; no hand-invented Screen IDs are accepted.</w:t>
      </w:r>
    </w:p>
    <w:tbl>
      <w:tblPr>
        <w:tblW w:type="dxa" w:w="15308"/>
        <w:jc w:val="center"/>
        <w:tblLayout w:type="autofit"/>
        <w:tblLook w:firstColumn="1" w:firstRow="1" w:lastColumn="0" w:lastRow="0" w:noHBand="0" w:noVBand="1" w:val="04A0"/>
      </w:tblPr>
      <w:tblGrid>
        <w:gridCol w:w="15308"/>
      </w:tblGrid>
      <w:tr>
        <w:trPr>
          <w:tblHeader w:val="true"/>
        </w:trPr>
        <w:tc>
          <w:tcPr>
            <w:tcW w:type="dxa" w:w="15308"/>
            <w:shd w:fill="EAF5EE"/>
            <w:tcMar>
              <w:top w:w="70" w:type="dxa"/>
              <w:start w:w="160" w:type="dxa"/>
              <w:bottom w:w="70" w:type="dxa"/>
              <w:end w:w="160" w:type="dxa"/>
              <w:left w:w="80" w:type="dxa"/>
              <w:right w:w="80" w:type="dxa"/>
            </w:tcMar>
            <w:vAlign w:val="center"/>
          </w:tcPr>
          <w:p>
            <w:pPr>
              <w:spacing w:after="0" w:line="259" w:lineRule="auto"/>
            </w:pPr>
            <w:r>
              <w:rPr>
                <w:rFonts w:ascii="Noto Sans" w:hAnsi="Noto Sans"/>
                <w:b/>
                <w:color w:val="2E6B4A"/>
                <w:sz w:val="21"/>
              </w:rPr>
              <w:t>Required final state</w:t>
              <w:br/>
            </w:r>
            <w:r>
              <w:rPr>
                <w:rFonts w:ascii="Noto Sans" w:hAnsi="Noto Sans"/>
                <w:b/>
                <w:color w:val="1F2933"/>
                <w:sz w:val="19"/>
              </w:rPr>
              <w:t>P0 = 0. P1 = 0 or explicitly accepted with owner/date and no V1 blocker. Tenant-isolation tests, financial invariants, access/offline reconciliation, event/outbox consistency, migration strategy, SLO observability, security/privacy controls and Jordan V1 adapter contracts must all be technically implementable from this specification.</w:t>
            </w:r>
          </w:p>
        </w:tc>
      </w:tr>
    </w:tbl>
    <w:p>
      <w:pPr>
        <w:spacing w:after="40"/>
      </w:pPr>
    </w:p>
    <w:p>
      <w:pPr>
        <w:pStyle w:val="Heading1"/>
      </w:pPr>
      <w:r>
        <w:t>Appendix E. Core Persistence &amp; API Contract Baseline</w:t>
      </w:r>
    </w:p>
    <w:p>
      <w:pPr/>
      <w:r>
        <w:t>This appendix is implementation-oriented evidence for the most consequence-bearing aggregates. It is intentionally concrete enough to build migrations/contracts while leaving lower-risk fields to domain implementation conventions.</w:t>
      </w:r>
    </w:p>
    <w:p>
      <w:pPr>
        <w:pStyle w:val="Heading2"/>
      </w:pPr>
      <w:r>
        <w:t>E.1 Core tables and aggregate persistence</w:t>
      </w:r>
    </w:p>
    <w:tbl>
      <w:tblPr>
        <w:tblStyle w:val="TableGrid"/>
        <w:tblW w:type="dxa" w:w="15308"/>
        <w:jc w:val="center"/>
        <w:tblLayout w:type="autofit"/>
        <w:tblLook w:firstColumn="1" w:firstRow="1" w:lastColumn="0" w:lastRow="0" w:noHBand="0" w:noVBand="1" w:val="04A0"/>
      </w:tblPr>
      <w:tblGrid>
        <w:gridCol w:w="3060"/>
        <w:gridCol w:w="3062"/>
        <w:gridCol w:w="3062"/>
        <w:gridCol w:w="3062"/>
        <w:gridCol w:w="3062"/>
      </w:tblGrid>
      <w:tr>
        <w:trPr>
          <w:tblHeader w:val="true"/>
        </w:trPr>
        <w:tc>
          <w:tcPr>
            <w:tcW w:type="dxa" w:w="3062"/>
            <w:vAlign w:val="center"/>
            <w:tcMar>
              <w:top w:w="70" w:type="dxa"/>
              <w:left w:w="80" w:type="dxa"/>
              <w:bottom w:w="70" w:type="dxa"/>
              <w:right w:w="80" w:type="dxa"/>
            </w:tcMar>
          </w:tcPr>
          <w:p>
            <w:r>
              <w:rPr>
                <w:b/>
                <w:sz w:val="16"/>
              </w:rPr>
              <w:t>Table / Aggregate</w:t>
            </w:r>
          </w:p>
        </w:tc>
        <w:tc>
          <w:tcPr>
            <w:tcW w:type="dxa" w:w="3062"/>
            <w:vAlign w:val="center"/>
            <w:tcMar>
              <w:top w:w="70" w:type="dxa"/>
              <w:left w:w="80" w:type="dxa"/>
              <w:bottom w:w="70" w:type="dxa"/>
              <w:right w:w="80" w:type="dxa"/>
            </w:tcMar>
          </w:tcPr>
          <w:p>
            <w:r>
              <w:rPr>
                <w:b/>
                <w:sz w:val="16"/>
              </w:rPr>
              <w:t>Owner</w:t>
            </w:r>
          </w:p>
        </w:tc>
        <w:tc>
          <w:tcPr>
            <w:tcW w:type="dxa" w:w="3062"/>
            <w:vAlign w:val="center"/>
            <w:tcMar>
              <w:top w:w="70" w:type="dxa"/>
              <w:left w:w="80" w:type="dxa"/>
              <w:bottom w:w="70" w:type="dxa"/>
              <w:right w:w="80" w:type="dxa"/>
            </w:tcMar>
          </w:tcPr>
          <w:p>
            <w:r>
              <w:rPr>
                <w:b/>
                <w:sz w:val="16"/>
              </w:rPr>
              <w:t>Core fields</w:t>
            </w:r>
          </w:p>
        </w:tc>
        <w:tc>
          <w:tcPr>
            <w:tcW w:type="dxa" w:w="3062"/>
            <w:vAlign w:val="center"/>
            <w:tcMar>
              <w:top w:w="70" w:type="dxa"/>
              <w:left w:w="80" w:type="dxa"/>
              <w:bottom w:w="70" w:type="dxa"/>
              <w:right w:w="80" w:type="dxa"/>
            </w:tcMar>
          </w:tcPr>
          <w:p>
            <w:r>
              <w:rPr>
                <w:b/>
                <w:sz w:val="16"/>
              </w:rPr>
              <w:t>Key constraints/indexes</w:t>
            </w:r>
          </w:p>
        </w:tc>
        <w:tc>
          <w:tcPr>
            <w:tcW w:type="dxa" w:w="3062"/>
            <w:vAlign w:val="center"/>
            <w:tcMar>
              <w:top w:w="70" w:type="dxa"/>
              <w:left w:w="80" w:type="dxa"/>
              <w:bottom w:w="70" w:type="dxa"/>
              <w:right w:w="80" w:type="dxa"/>
            </w:tcMar>
          </w:tcPr>
          <w:p>
            <w:r>
              <w:rPr>
                <w:b/>
                <w:sz w:val="16"/>
              </w:rPr>
              <w:t>Authority notes</w:t>
            </w:r>
          </w:p>
        </w:tc>
      </w:tr>
      <w:tr>
        <w:tc>
          <w:tcPr>
            <w:tcW w:type="dxa" w:w="3062"/>
            <w:vAlign w:val="center"/>
            <w:tcMar>
              <w:top w:w="70" w:type="dxa"/>
              <w:left w:w="80" w:type="dxa"/>
              <w:bottom w:w="70" w:type="dxa"/>
              <w:right w:w="80" w:type="dxa"/>
            </w:tcMar>
          </w:tcPr>
          <w:p>
            <w:r>
              <w:rPr>
                <w:sz w:val="16"/>
              </w:rPr>
              <w:t>app.tenant_scope (control reference)</w:t>
            </w:r>
          </w:p>
        </w:tc>
        <w:tc>
          <w:tcPr>
            <w:tcW w:type="dxa" w:w="3062"/>
            <w:vAlign w:val="center"/>
            <w:tcMar>
              <w:top w:w="70" w:type="dxa"/>
              <w:left w:w="80" w:type="dxa"/>
              <w:bottom w:w="70" w:type="dxa"/>
              <w:right w:w="80" w:type="dxa"/>
            </w:tcMar>
          </w:tcPr>
          <w:p>
            <w:r>
              <w:rPr>
                <w:sz w:val="16"/>
              </w:rPr>
              <w:t>PLT-01</w:t>
            </w:r>
          </w:p>
        </w:tc>
        <w:tc>
          <w:tcPr>
            <w:tcW w:type="dxa" w:w="3062"/>
            <w:vAlign w:val="center"/>
            <w:tcMar>
              <w:top w:w="70" w:type="dxa"/>
              <w:left w:w="80" w:type="dxa"/>
              <w:bottom w:w="70" w:type="dxa"/>
              <w:right w:w="80" w:type="dxa"/>
            </w:tcMar>
          </w:tcPr>
          <w:p>
            <w:r>
              <w:rPr>
                <w:sz w:val="16"/>
              </w:rPr>
              <w:t>id, placement_epoch, org/brand/location hierarchy refs</w:t>
            </w:r>
          </w:p>
        </w:tc>
        <w:tc>
          <w:tcPr>
            <w:tcW w:type="dxa" w:w="3062"/>
            <w:vAlign w:val="center"/>
            <w:tcMar>
              <w:top w:w="70" w:type="dxa"/>
              <w:left w:w="80" w:type="dxa"/>
              <w:bottom w:w="70" w:type="dxa"/>
              <w:right w:w="80" w:type="dxa"/>
            </w:tcMar>
          </w:tcPr>
          <w:p>
            <w:r>
              <w:rPr>
                <w:sz w:val="16"/>
              </w:rPr>
              <w:t>tenant_id unique; signed projection version</w:t>
            </w:r>
          </w:p>
        </w:tc>
        <w:tc>
          <w:tcPr>
            <w:tcW w:type="dxa" w:w="3062"/>
            <w:vAlign w:val="center"/>
            <w:tcMar>
              <w:top w:w="70" w:type="dxa"/>
              <w:left w:w="80" w:type="dxa"/>
              <w:bottom w:w="70" w:type="dxa"/>
              <w:right w:w="80" w:type="dxa"/>
            </w:tcMar>
          </w:tcPr>
          <w:p>
            <w:r>
              <w:rPr>
                <w:sz w:val="16"/>
              </w:rPr>
              <w:t>Product-plane reference only; authoritative tenant placement in control DB</w:t>
            </w:r>
          </w:p>
        </w:tc>
      </w:tr>
      <w:tr>
        <w:tc>
          <w:tcPr>
            <w:tcW w:type="dxa" w:w="3062"/>
            <w:vAlign w:val="center"/>
            <w:tcMar>
              <w:top w:w="70" w:type="dxa"/>
              <w:left w:w="80" w:type="dxa"/>
              <w:bottom w:w="70" w:type="dxa"/>
              <w:right w:w="80" w:type="dxa"/>
            </w:tcMar>
          </w:tcPr>
          <w:p>
            <w:r>
              <w:rPr>
                <w:sz w:val="16"/>
              </w:rPr>
              <w:t>iam.identity</w:t>
            </w:r>
          </w:p>
        </w:tc>
        <w:tc>
          <w:tcPr>
            <w:tcW w:type="dxa" w:w="3062"/>
            <w:vAlign w:val="center"/>
            <w:tcMar>
              <w:top w:w="70" w:type="dxa"/>
              <w:left w:w="80" w:type="dxa"/>
              <w:bottom w:w="70" w:type="dxa"/>
              <w:right w:w="80" w:type="dxa"/>
            </w:tcMar>
          </w:tcPr>
          <w:p>
            <w:r>
              <w:rPr>
                <w:sz w:val="16"/>
              </w:rPr>
              <w:t>IAM-01</w:t>
            </w:r>
          </w:p>
        </w:tc>
        <w:tc>
          <w:tcPr>
            <w:tcW w:type="dxa" w:w="3062"/>
            <w:vAlign w:val="center"/>
            <w:tcMar>
              <w:top w:w="70" w:type="dxa"/>
              <w:left w:w="80" w:type="dxa"/>
              <w:bottom w:w="70" w:type="dxa"/>
              <w:right w:w="80" w:type="dxa"/>
            </w:tcMar>
          </w:tcPr>
          <w:p>
            <w:r>
              <w:rPr>
                <w:sz w:val="16"/>
              </w:rPr>
              <w:t>id, provider_subject, assurance, status, version</w:t>
            </w:r>
          </w:p>
        </w:tc>
        <w:tc>
          <w:tcPr>
            <w:tcW w:type="dxa" w:w="3062"/>
            <w:vAlign w:val="center"/>
            <w:tcMar>
              <w:top w:w="70" w:type="dxa"/>
              <w:left w:w="80" w:type="dxa"/>
              <w:bottom w:w="70" w:type="dxa"/>
              <w:right w:w="80" w:type="dxa"/>
            </w:tcMar>
          </w:tcPr>
          <w:p>
            <w:r>
              <w:rPr>
                <w:sz w:val="16"/>
              </w:rPr>
              <w:t>unique(provider, provider_subject); tenant link separate</w:t>
            </w:r>
          </w:p>
        </w:tc>
        <w:tc>
          <w:tcPr>
            <w:tcW w:type="dxa" w:w="3062"/>
            <w:vAlign w:val="center"/>
            <w:tcMar>
              <w:top w:w="70" w:type="dxa"/>
              <w:left w:w="80" w:type="dxa"/>
              <w:bottom w:w="70" w:type="dxa"/>
              <w:right w:w="80" w:type="dxa"/>
            </w:tcMar>
          </w:tcPr>
          <w:p>
            <w:r>
              <w:rPr>
                <w:sz w:val="16"/>
              </w:rPr>
              <w:t>No password secrets stored by Veyro when managed IdP used</w:t>
            </w:r>
          </w:p>
        </w:tc>
      </w:tr>
      <w:tr>
        <w:tc>
          <w:tcPr>
            <w:tcW w:type="dxa" w:w="3062"/>
            <w:vAlign w:val="center"/>
            <w:tcMar>
              <w:top w:w="70" w:type="dxa"/>
              <w:left w:w="80" w:type="dxa"/>
              <w:bottom w:w="70" w:type="dxa"/>
              <w:right w:w="80" w:type="dxa"/>
            </w:tcMar>
          </w:tcPr>
          <w:p>
            <w:r>
              <w:rPr>
                <w:sz w:val="16"/>
              </w:rPr>
              <w:t>iam.session_device</w:t>
            </w:r>
          </w:p>
        </w:tc>
        <w:tc>
          <w:tcPr>
            <w:tcW w:type="dxa" w:w="3062"/>
            <w:vAlign w:val="center"/>
            <w:tcMar>
              <w:top w:w="70" w:type="dxa"/>
              <w:left w:w="80" w:type="dxa"/>
              <w:bottom w:w="70" w:type="dxa"/>
              <w:right w:w="80" w:type="dxa"/>
            </w:tcMar>
          </w:tcPr>
          <w:p>
            <w:r>
              <w:rPr>
                <w:sz w:val="16"/>
              </w:rPr>
              <w:t>IAM-01</w:t>
            </w:r>
          </w:p>
        </w:tc>
        <w:tc>
          <w:tcPr>
            <w:tcW w:type="dxa" w:w="3062"/>
            <w:vAlign w:val="center"/>
            <w:tcMar>
              <w:top w:w="70" w:type="dxa"/>
              <w:left w:w="80" w:type="dxa"/>
              <w:bottom w:w="70" w:type="dxa"/>
              <w:right w:w="80" w:type="dxa"/>
            </w:tcMar>
          </w:tcPr>
          <w:p>
            <w:r>
              <w:rPr>
                <w:sz w:val="16"/>
              </w:rPr>
              <w:t>session_id, identity_id, device_id, token_family, revoked_at</w:t>
            </w:r>
          </w:p>
        </w:tc>
        <w:tc>
          <w:tcPr>
            <w:tcW w:type="dxa" w:w="3062"/>
            <w:vAlign w:val="center"/>
            <w:tcMar>
              <w:top w:w="70" w:type="dxa"/>
              <w:left w:w="80" w:type="dxa"/>
              <w:bottom w:w="70" w:type="dxa"/>
              <w:right w:w="80" w:type="dxa"/>
            </w:tcMar>
          </w:tcPr>
          <w:p>
            <w:r>
              <w:rPr>
                <w:sz w:val="16"/>
              </w:rPr>
              <w:t>unique token family; expiry indexes</w:t>
            </w:r>
          </w:p>
        </w:tc>
        <w:tc>
          <w:tcPr>
            <w:tcW w:type="dxa" w:w="3062"/>
            <w:vAlign w:val="center"/>
            <w:tcMar>
              <w:top w:w="70" w:type="dxa"/>
              <w:left w:w="80" w:type="dxa"/>
              <w:bottom w:w="70" w:type="dxa"/>
              <w:right w:w="80" w:type="dxa"/>
            </w:tcMar>
          </w:tcPr>
          <w:p>
            <w:r>
              <w:rPr>
                <w:sz w:val="16"/>
              </w:rPr>
              <w:t>Remote revocation and suspicious-session evidence</w:t>
            </w:r>
          </w:p>
        </w:tc>
      </w:tr>
      <w:tr>
        <w:tc>
          <w:tcPr>
            <w:tcW w:type="dxa" w:w="3062"/>
            <w:vAlign w:val="center"/>
            <w:tcMar>
              <w:top w:w="70" w:type="dxa"/>
              <w:left w:w="80" w:type="dxa"/>
              <w:bottom w:w="70" w:type="dxa"/>
              <w:right w:w="80" w:type="dxa"/>
            </w:tcMar>
          </w:tcPr>
          <w:p>
            <w:r>
              <w:rPr>
                <w:sz w:val="16"/>
              </w:rPr>
              <w:t>app.person</w:t>
            </w:r>
          </w:p>
        </w:tc>
        <w:tc>
          <w:tcPr>
            <w:tcW w:type="dxa" w:w="3062"/>
            <w:vAlign w:val="center"/>
            <w:tcMar>
              <w:top w:w="70" w:type="dxa"/>
              <w:left w:w="80" w:type="dxa"/>
              <w:bottom w:w="70" w:type="dxa"/>
              <w:right w:w="80" w:type="dxa"/>
            </w:tcMar>
          </w:tcPr>
          <w:p>
            <w:r>
              <w:rPr>
                <w:sz w:val="16"/>
              </w:rPr>
              <w:t>PPL-01</w:t>
            </w:r>
          </w:p>
        </w:tc>
        <w:tc>
          <w:tcPr>
            <w:tcW w:type="dxa" w:w="3062"/>
            <w:vAlign w:val="center"/>
            <w:tcMar>
              <w:top w:w="70" w:type="dxa"/>
              <w:left w:w="80" w:type="dxa"/>
              <w:bottom w:w="70" w:type="dxa"/>
              <w:right w:w="80" w:type="dxa"/>
            </w:tcMar>
          </w:tcPr>
          <w:p>
            <w:r>
              <w:rPr>
                <w:sz w:val="16"/>
              </w:rPr>
              <w:t>id, tenant_id, canonical_name/contact refs, merge_status, version</w:t>
            </w:r>
          </w:p>
        </w:tc>
        <w:tc>
          <w:tcPr>
            <w:tcW w:type="dxa" w:w="3062"/>
            <w:vAlign w:val="center"/>
            <w:tcMar>
              <w:top w:w="70" w:type="dxa"/>
              <w:left w:w="80" w:type="dxa"/>
              <w:bottom w:w="70" w:type="dxa"/>
              <w:right w:w="80" w:type="dxa"/>
            </w:tcMar>
          </w:tcPr>
          <w:p>
            <w:r>
              <w:rPr>
                <w:sz w:val="16"/>
              </w:rPr>
              <w:t>RLS; duplicate-candidate indexes</w:t>
            </w:r>
          </w:p>
        </w:tc>
        <w:tc>
          <w:tcPr>
            <w:tcW w:type="dxa" w:w="3062"/>
            <w:vAlign w:val="center"/>
            <w:tcMar>
              <w:top w:w="70" w:type="dxa"/>
              <w:left w:w="80" w:type="dxa"/>
              <w:bottom w:w="70" w:type="dxa"/>
              <w:right w:w="80" w:type="dxa"/>
            </w:tcMar>
          </w:tcPr>
          <w:p>
            <w:r>
              <w:rPr>
                <w:sz w:val="16"/>
              </w:rPr>
              <w:t>Restricted fields may be encrypted separately</w:t>
            </w:r>
          </w:p>
        </w:tc>
      </w:tr>
      <w:tr>
        <w:tc>
          <w:tcPr>
            <w:tcW w:type="dxa" w:w="3062"/>
            <w:vAlign w:val="center"/>
            <w:tcMar>
              <w:top w:w="70" w:type="dxa"/>
              <w:left w:w="80" w:type="dxa"/>
              <w:bottom w:w="70" w:type="dxa"/>
              <w:right w:w="80" w:type="dxa"/>
            </w:tcMar>
          </w:tcPr>
          <w:p>
            <w:r>
              <w:rPr>
                <w:sz w:val="16"/>
              </w:rPr>
              <w:t>app.membership</w:t>
            </w:r>
          </w:p>
        </w:tc>
        <w:tc>
          <w:tcPr>
            <w:tcW w:type="dxa" w:w="3062"/>
            <w:vAlign w:val="center"/>
            <w:tcMar>
              <w:top w:w="70" w:type="dxa"/>
              <w:left w:w="80" w:type="dxa"/>
              <w:bottom w:w="70" w:type="dxa"/>
              <w:right w:w="80" w:type="dxa"/>
            </w:tcMar>
          </w:tcPr>
          <w:p>
            <w:r>
              <w:rPr>
                <w:sz w:val="16"/>
              </w:rPr>
              <w:t>COM-01</w:t>
            </w:r>
          </w:p>
        </w:tc>
        <w:tc>
          <w:tcPr>
            <w:tcW w:type="dxa" w:w="3062"/>
            <w:vAlign w:val="center"/>
            <w:tcMar>
              <w:top w:w="70" w:type="dxa"/>
              <w:left w:w="80" w:type="dxa"/>
              <w:bottom w:w="70" w:type="dxa"/>
              <w:right w:w="80" w:type="dxa"/>
            </w:tcMar>
          </w:tcPr>
          <w:p>
            <w:r>
              <w:rPr>
                <w:sz w:val="16"/>
              </w:rPr>
              <w:t>id, tenant_id, member_id, agreement_version_id, state, effective window, version</w:t>
            </w:r>
          </w:p>
        </w:tc>
        <w:tc>
          <w:tcPr>
            <w:tcW w:type="dxa" w:w="3062"/>
            <w:vAlign w:val="center"/>
            <w:tcMar>
              <w:top w:w="70" w:type="dxa"/>
              <w:left w:w="80" w:type="dxa"/>
              <w:bottom w:w="70" w:type="dxa"/>
              <w:right w:w="80" w:type="dxa"/>
            </w:tcMar>
          </w:tcPr>
          <w:p>
            <w:r>
              <w:rPr>
                <w:sz w:val="16"/>
              </w:rPr>
              <w:t>member/state/effective indexes</w:t>
            </w:r>
          </w:p>
        </w:tc>
        <w:tc>
          <w:tcPr>
            <w:tcW w:type="dxa" w:w="3062"/>
            <w:vAlign w:val="center"/>
            <w:tcMar>
              <w:top w:w="70" w:type="dxa"/>
              <w:left w:w="80" w:type="dxa"/>
              <w:bottom w:w="70" w:type="dxa"/>
              <w:right w:w="80" w:type="dxa"/>
            </w:tcMar>
          </w:tcPr>
          <w:p>
            <w:r>
              <w:rPr>
                <w:sz w:val="16"/>
              </w:rPr>
              <w:t>Lifecycle source of truth</w:t>
            </w:r>
          </w:p>
        </w:tc>
      </w:tr>
      <w:tr>
        <w:tc>
          <w:tcPr>
            <w:tcW w:type="dxa" w:w="3062"/>
            <w:vAlign w:val="center"/>
            <w:tcMar>
              <w:top w:w="70" w:type="dxa"/>
              <w:left w:w="80" w:type="dxa"/>
              <w:bottom w:w="70" w:type="dxa"/>
              <w:right w:w="80" w:type="dxa"/>
            </w:tcMar>
          </w:tcPr>
          <w:p>
            <w:r>
              <w:rPr>
                <w:sz w:val="16"/>
              </w:rPr>
              <w:t>app.member_entitlement_grant</w:t>
            </w:r>
          </w:p>
        </w:tc>
        <w:tc>
          <w:tcPr>
            <w:tcW w:type="dxa" w:w="3062"/>
            <w:vAlign w:val="center"/>
            <w:tcMar>
              <w:top w:w="70" w:type="dxa"/>
              <w:left w:w="80" w:type="dxa"/>
              <w:bottom w:w="70" w:type="dxa"/>
              <w:right w:w="80" w:type="dxa"/>
            </w:tcMar>
          </w:tcPr>
          <w:p>
            <w:r>
              <w:rPr>
                <w:sz w:val="16"/>
              </w:rPr>
              <w:t>COM-01</w:t>
            </w:r>
          </w:p>
        </w:tc>
        <w:tc>
          <w:tcPr>
            <w:tcW w:type="dxa" w:w="3062"/>
            <w:vAlign w:val="center"/>
            <w:tcMar>
              <w:top w:w="70" w:type="dxa"/>
              <w:left w:w="80" w:type="dxa"/>
              <w:bottom w:w="70" w:type="dxa"/>
              <w:right w:w="80" w:type="dxa"/>
            </w:tcMar>
          </w:tcPr>
          <w:p>
            <w:r>
              <w:rPr>
                <w:sz w:val="16"/>
              </w:rPr>
              <w:t>id, tenant_id, member_id, source, type, quantity, consumed, valid window, policy_version, version</w:t>
            </w:r>
          </w:p>
        </w:tc>
        <w:tc>
          <w:tcPr>
            <w:tcW w:type="dxa" w:w="3062"/>
            <w:vAlign w:val="center"/>
            <w:tcMar>
              <w:top w:w="70" w:type="dxa"/>
              <w:left w:w="80" w:type="dxa"/>
              <w:bottom w:w="70" w:type="dxa"/>
              <w:right w:w="80" w:type="dxa"/>
            </w:tcMar>
          </w:tcPr>
          <w:p>
            <w:r>
              <w:rPr>
                <w:sz w:val="16"/>
              </w:rPr>
              <w:t>check consumed&lt;=quantity; tenant/member/type indexes</w:t>
            </w:r>
          </w:p>
        </w:tc>
        <w:tc>
          <w:tcPr>
            <w:tcW w:type="dxa" w:w="3062"/>
            <w:vAlign w:val="center"/>
            <w:tcMar>
              <w:top w:w="70" w:type="dxa"/>
              <w:left w:w="80" w:type="dxa"/>
              <w:bottom w:w="70" w:type="dxa"/>
              <w:right w:w="80" w:type="dxa"/>
            </w:tcMar>
          </w:tcPr>
          <w:p>
            <w:r>
              <w:rPr>
                <w:sz w:val="16"/>
              </w:rPr>
              <w:t>Fulfilment authority</w:t>
            </w:r>
          </w:p>
        </w:tc>
      </w:tr>
      <w:tr>
        <w:tc>
          <w:tcPr>
            <w:tcW w:type="dxa" w:w="3062"/>
            <w:vAlign w:val="center"/>
            <w:tcMar>
              <w:top w:w="70" w:type="dxa"/>
              <w:left w:w="80" w:type="dxa"/>
              <w:bottom w:w="70" w:type="dxa"/>
              <w:right w:w="80" w:type="dxa"/>
            </w:tcMar>
          </w:tcPr>
          <w:p>
            <w:r>
              <w:rPr>
                <w:sz w:val="16"/>
              </w:rPr>
              <w:t>app.entitlement_reservation</w:t>
            </w:r>
          </w:p>
        </w:tc>
        <w:tc>
          <w:tcPr>
            <w:tcW w:type="dxa" w:w="3062"/>
            <w:vAlign w:val="center"/>
            <w:tcMar>
              <w:top w:w="70" w:type="dxa"/>
              <w:left w:w="80" w:type="dxa"/>
              <w:bottom w:w="70" w:type="dxa"/>
              <w:right w:w="80" w:type="dxa"/>
            </w:tcMar>
          </w:tcPr>
          <w:p>
            <w:r>
              <w:rPr>
                <w:sz w:val="16"/>
              </w:rPr>
              <w:t>COM-01</w:t>
            </w:r>
          </w:p>
        </w:tc>
        <w:tc>
          <w:tcPr>
            <w:tcW w:type="dxa" w:w="3062"/>
            <w:vAlign w:val="center"/>
            <w:tcMar>
              <w:top w:w="70" w:type="dxa"/>
              <w:left w:w="80" w:type="dxa"/>
              <w:bottom w:w="70" w:type="dxa"/>
              <w:right w:w="80" w:type="dxa"/>
            </w:tcMar>
          </w:tcPr>
          <w:p>
            <w:r>
              <w:rPr>
                <w:sz w:val="16"/>
              </w:rPr>
              <w:t>id, grant_id, purpose_ref, qty, expires_at, state, idempotency_key</w:t>
            </w:r>
          </w:p>
        </w:tc>
        <w:tc>
          <w:tcPr>
            <w:tcW w:type="dxa" w:w="3062"/>
            <w:vAlign w:val="center"/>
            <w:tcMar>
              <w:top w:w="70" w:type="dxa"/>
              <w:left w:w="80" w:type="dxa"/>
              <w:bottom w:w="70" w:type="dxa"/>
              <w:right w:w="80" w:type="dxa"/>
            </w:tcMar>
          </w:tcPr>
          <w:p>
            <w:r>
              <w:rPr>
                <w:sz w:val="16"/>
              </w:rPr>
              <w:t>unique active reservation/idempotency; expiry index</w:t>
            </w:r>
          </w:p>
        </w:tc>
        <w:tc>
          <w:tcPr>
            <w:tcW w:type="dxa" w:w="3062"/>
            <w:vAlign w:val="center"/>
            <w:tcMar>
              <w:top w:w="70" w:type="dxa"/>
              <w:left w:w="80" w:type="dxa"/>
              <w:bottom w:w="70" w:type="dxa"/>
              <w:right w:w="80" w:type="dxa"/>
            </w:tcMar>
          </w:tcPr>
          <w:p>
            <w:r>
              <w:rPr>
                <w:sz w:val="16"/>
              </w:rPr>
              <w:t>Atomic reserve/consume/release</w:t>
            </w:r>
          </w:p>
        </w:tc>
      </w:tr>
      <w:tr>
        <w:tc>
          <w:tcPr>
            <w:tcW w:type="dxa" w:w="3062"/>
            <w:vAlign w:val="center"/>
            <w:tcMar>
              <w:top w:w="70" w:type="dxa"/>
              <w:left w:w="80" w:type="dxa"/>
              <w:bottom w:w="70" w:type="dxa"/>
              <w:right w:w="80" w:type="dxa"/>
            </w:tcMar>
          </w:tcPr>
          <w:p>
            <w:r>
              <w:rPr>
                <w:sz w:val="16"/>
              </w:rPr>
              <w:t>app.invoice</w:t>
            </w:r>
          </w:p>
        </w:tc>
        <w:tc>
          <w:tcPr>
            <w:tcW w:type="dxa" w:w="3062"/>
            <w:vAlign w:val="center"/>
            <w:tcMar>
              <w:top w:w="70" w:type="dxa"/>
              <w:left w:w="80" w:type="dxa"/>
              <w:bottom w:w="70" w:type="dxa"/>
              <w:right w:w="80" w:type="dxa"/>
            </w:tcMar>
          </w:tcPr>
          <w:p>
            <w:r>
              <w:rPr>
                <w:sz w:val="16"/>
              </w:rPr>
              <w:t>COM-03</w:t>
            </w:r>
          </w:p>
        </w:tc>
        <w:tc>
          <w:tcPr>
            <w:tcW w:type="dxa" w:w="3062"/>
            <w:vAlign w:val="center"/>
            <w:tcMar>
              <w:top w:w="70" w:type="dxa"/>
              <w:left w:w="80" w:type="dxa"/>
              <w:bottom w:w="70" w:type="dxa"/>
              <w:right w:w="80" w:type="dxa"/>
            </w:tcMar>
          </w:tcPr>
          <w:p>
            <w:r>
              <w:rPr>
                <w:sz w:val="16"/>
              </w:rPr>
              <w:t>id, tenant_id, legal_entity_id, billing_account_id, currency, totals, due_at, state, fiscal_document_id</w:t>
            </w:r>
          </w:p>
        </w:tc>
        <w:tc>
          <w:tcPr>
            <w:tcW w:type="dxa" w:w="3062"/>
            <w:vAlign w:val="center"/>
            <w:tcMar>
              <w:top w:w="70" w:type="dxa"/>
              <w:left w:w="80" w:type="dxa"/>
              <w:bottom w:w="70" w:type="dxa"/>
              <w:right w:w="80" w:type="dxa"/>
            </w:tcMar>
          </w:tcPr>
          <w:p>
            <w:r>
              <w:rPr>
                <w:sz w:val="16"/>
              </w:rPr>
              <w:t>tenant/account/due/state indexes</w:t>
            </w:r>
          </w:p>
        </w:tc>
        <w:tc>
          <w:tcPr>
            <w:tcW w:type="dxa" w:w="3062"/>
            <w:vAlign w:val="center"/>
            <w:tcMar>
              <w:top w:w="70" w:type="dxa"/>
              <w:left w:w="80" w:type="dxa"/>
              <w:bottom w:w="70" w:type="dxa"/>
              <w:right w:w="80" w:type="dxa"/>
            </w:tcMar>
          </w:tcPr>
          <w:p>
            <w:r>
              <w:rPr>
                <w:sz w:val="16"/>
              </w:rPr>
              <w:t>Paid derives from allocations, not boolean edits</w:t>
            </w:r>
          </w:p>
        </w:tc>
      </w:tr>
      <w:tr>
        <w:tc>
          <w:tcPr>
            <w:tcW w:type="dxa" w:w="3062"/>
            <w:vAlign w:val="center"/>
            <w:tcMar>
              <w:top w:w="70" w:type="dxa"/>
              <w:left w:w="80" w:type="dxa"/>
              <w:bottom w:w="70" w:type="dxa"/>
              <w:right w:w="80" w:type="dxa"/>
            </w:tcMar>
          </w:tcPr>
          <w:p>
            <w:r>
              <w:rPr>
                <w:sz w:val="16"/>
              </w:rPr>
              <w:t>app.payment_transaction</w:t>
            </w:r>
          </w:p>
        </w:tc>
        <w:tc>
          <w:tcPr>
            <w:tcW w:type="dxa" w:w="3062"/>
            <w:vAlign w:val="center"/>
            <w:tcMar>
              <w:top w:w="70" w:type="dxa"/>
              <w:left w:w="80" w:type="dxa"/>
              <w:bottom w:w="70" w:type="dxa"/>
              <w:right w:w="80" w:type="dxa"/>
            </w:tcMar>
          </w:tcPr>
          <w:p>
            <w:r>
              <w:rPr>
                <w:sz w:val="16"/>
              </w:rPr>
              <w:t>COM-03</w:t>
            </w:r>
          </w:p>
        </w:tc>
        <w:tc>
          <w:tcPr>
            <w:tcW w:type="dxa" w:w="3062"/>
            <w:vAlign w:val="center"/>
            <w:tcMar>
              <w:top w:w="70" w:type="dxa"/>
              <w:left w:w="80" w:type="dxa"/>
              <w:bottom w:w="70" w:type="dxa"/>
              <w:right w:w="80" w:type="dxa"/>
            </w:tcMar>
          </w:tcPr>
          <w:p>
            <w:r>
              <w:rPr>
                <w:sz w:val="16"/>
              </w:rPr>
              <w:t>id, tenant_id, provider, provider_ref, amount, currency, state, idempotency_key</w:t>
            </w:r>
          </w:p>
        </w:tc>
        <w:tc>
          <w:tcPr>
            <w:tcW w:type="dxa" w:w="3062"/>
            <w:vAlign w:val="center"/>
            <w:tcMar>
              <w:top w:w="70" w:type="dxa"/>
              <w:left w:w="80" w:type="dxa"/>
              <w:bottom w:w="70" w:type="dxa"/>
              <w:right w:w="80" w:type="dxa"/>
            </w:tcMar>
          </w:tcPr>
          <w:p>
            <w:r>
              <w:rPr>
                <w:sz w:val="16"/>
              </w:rPr>
              <w:t>unique tenant/provider/provider_ref; idempotency unique</w:t>
            </w:r>
          </w:p>
        </w:tc>
        <w:tc>
          <w:tcPr>
            <w:tcW w:type="dxa" w:w="3062"/>
            <w:vAlign w:val="center"/>
            <w:tcMar>
              <w:top w:w="70" w:type="dxa"/>
              <w:left w:w="80" w:type="dxa"/>
              <w:bottom w:w="70" w:type="dxa"/>
              <w:right w:w="80" w:type="dxa"/>
            </w:tcMar>
          </w:tcPr>
          <w:p>
            <w:r>
              <w:rPr>
                <w:sz w:val="16"/>
              </w:rPr>
              <w:t>Provider state machine evidence</w:t>
            </w:r>
          </w:p>
        </w:tc>
      </w:tr>
      <w:tr>
        <w:tc>
          <w:tcPr>
            <w:tcW w:type="dxa" w:w="3062"/>
            <w:vAlign w:val="center"/>
            <w:tcMar>
              <w:top w:w="70" w:type="dxa"/>
              <w:left w:w="80" w:type="dxa"/>
              <w:bottom w:w="70" w:type="dxa"/>
              <w:right w:w="80" w:type="dxa"/>
            </w:tcMar>
          </w:tcPr>
          <w:p>
            <w:r>
              <w:rPr>
                <w:sz w:val="16"/>
              </w:rPr>
              <w:t>ledger.journal</w:t>
            </w:r>
          </w:p>
        </w:tc>
        <w:tc>
          <w:tcPr>
            <w:tcW w:type="dxa" w:w="3062"/>
            <w:vAlign w:val="center"/>
            <w:tcMar>
              <w:top w:w="70" w:type="dxa"/>
              <w:left w:w="80" w:type="dxa"/>
              <w:bottom w:w="70" w:type="dxa"/>
              <w:right w:w="80" w:type="dxa"/>
            </w:tcMar>
          </w:tcPr>
          <w:p>
            <w:r>
              <w:rPr>
                <w:sz w:val="16"/>
              </w:rPr>
              <w:t>COM-04</w:t>
            </w:r>
          </w:p>
        </w:tc>
        <w:tc>
          <w:tcPr>
            <w:tcW w:type="dxa" w:w="3062"/>
            <w:vAlign w:val="center"/>
            <w:tcMar>
              <w:top w:w="70" w:type="dxa"/>
              <w:left w:w="80" w:type="dxa"/>
              <w:bottom w:w="70" w:type="dxa"/>
              <w:right w:w="80" w:type="dxa"/>
            </w:tcMar>
          </w:tcPr>
          <w:p>
            <w:r>
              <w:rPr>
                <w:sz w:val="16"/>
              </w:rPr>
              <w:t>id, tenant_id, legal_entity_id, source_type/id, accounting_date, state</w:t>
            </w:r>
          </w:p>
        </w:tc>
        <w:tc>
          <w:tcPr>
            <w:tcW w:type="dxa" w:w="3062"/>
            <w:vAlign w:val="center"/>
            <w:tcMar>
              <w:top w:w="70" w:type="dxa"/>
              <w:left w:w="80" w:type="dxa"/>
              <w:bottom w:w="70" w:type="dxa"/>
              <w:right w:w="80" w:type="dxa"/>
            </w:tcMar>
          </w:tcPr>
          <w:p>
            <w:r>
              <w:rPr>
                <w:sz w:val="16"/>
              </w:rPr>
              <w:t>unique source journal where policy requires</w:t>
            </w:r>
          </w:p>
        </w:tc>
        <w:tc>
          <w:tcPr>
            <w:tcW w:type="dxa" w:w="3062"/>
            <w:vAlign w:val="center"/>
            <w:tcMar>
              <w:top w:w="70" w:type="dxa"/>
              <w:left w:w="80" w:type="dxa"/>
              <w:bottom w:w="70" w:type="dxa"/>
              <w:right w:w="80" w:type="dxa"/>
            </w:tcMar>
          </w:tcPr>
          <w:p>
            <w:r>
              <w:rPr>
                <w:sz w:val="16"/>
              </w:rPr>
              <w:t>Posted journals immutable</w:t>
            </w:r>
          </w:p>
        </w:tc>
      </w:tr>
      <w:tr>
        <w:tc>
          <w:tcPr>
            <w:tcW w:type="dxa" w:w="3062"/>
            <w:vAlign w:val="center"/>
            <w:tcMar>
              <w:top w:w="70" w:type="dxa"/>
              <w:left w:w="80" w:type="dxa"/>
              <w:bottom w:w="70" w:type="dxa"/>
              <w:right w:w="80" w:type="dxa"/>
            </w:tcMar>
          </w:tcPr>
          <w:p>
            <w:r>
              <w:rPr>
                <w:sz w:val="16"/>
              </w:rPr>
              <w:t>ledger.posting</w:t>
            </w:r>
          </w:p>
        </w:tc>
        <w:tc>
          <w:tcPr>
            <w:tcW w:type="dxa" w:w="3062"/>
            <w:vAlign w:val="center"/>
            <w:tcMar>
              <w:top w:w="70" w:type="dxa"/>
              <w:left w:w="80" w:type="dxa"/>
              <w:bottom w:w="70" w:type="dxa"/>
              <w:right w:w="80" w:type="dxa"/>
            </w:tcMar>
          </w:tcPr>
          <w:p>
            <w:r>
              <w:rPr>
                <w:sz w:val="16"/>
              </w:rPr>
              <w:t>COM-04</w:t>
            </w:r>
          </w:p>
        </w:tc>
        <w:tc>
          <w:tcPr>
            <w:tcW w:type="dxa" w:w="3062"/>
            <w:vAlign w:val="center"/>
            <w:tcMar>
              <w:top w:w="70" w:type="dxa"/>
              <w:left w:w="80" w:type="dxa"/>
              <w:bottom w:w="70" w:type="dxa"/>
              <w:right w:w="80" w:type="dxa"/>
            </w:tcMar>
          </w:tcPr>
          <w:p>
            <w:r>
              <w:rPr>
                <w:sz w:val="16"/>
              </w:rPr>
              <w:t>journal_id, line_no, account_id, debit, credit, currency, functional_amount, fx_rate_snapshot_id</w:t>
            </w:r>
          </w:p>
        </w:tc>
        <w:tc>
          <w:tcPr>
            <w:tcW w:type="dxa" w:w="3062"/>
            <w:vAlign w:val="center"/>
            <w:tcMar>
              <w:top w:w="70" w:type="dxa"/>
              <w:left w:w="80" w:type="dxa"/>
              <w:bottom w:w="70" w:type="dxa"/>
              <w:right w:w="80" w:type="dxa"/>
            </w:tcMar>
          </w:tcPr>
          <w:p>
            <w:r>
              <w:rPr>
                <w:sz w:val="16"/>
              </w:rPr>
              <w:t>sum debit == sum credit per journal/currency rules</w:t>
            </w:r>
          </w:p>
        </w:tc>
        <w:tc>
          <w:tcPr>
            <w:tcW w:type="dxa" w:w="3062"/>
            <w:vAlign w:val="center"/>
            <w:tcMar>
              <w:top w:w="70" w:type="dxa"/>
              <w:left w:w="80" w:type="dxa"/>
              <w:bottom w:w="70" w:type="dxa"/>
              <w:right w:w="80" w:type="dxa"/>
            </w:tcMar>
          </w:tcPr>
          <w:p>
            <w:r>
              <w:rPr>
                <w:sz w:val="16"/>
              </w:rPr>
              <w:t>Monthly partition candidate</w:t>
            </w:r>
          </w:p>
        </w:tc>
      </w:tr>
      <w:tr>
        <w:tc>
          <w:tcPr>
            <w:tcW w:type="dxa" w:w="3062"/>
            <w:vAlign w:val="center"/>
            <w:tcMar>
              <w:top w:w="70" w:type="dxa"/>
              <w:left w:w="80" w:type="dxa"/>
              <w:bottom w:w="70" w:type="dxa"/>
              <w:right w:w="80" w:type="dxa"/>
            </w:tcMar>
          </w:tcPr>
          <w:p>
            <w:r>
              <w:rPr>
                <w:sz w:val="16"/>
              </w:rPr>
              <w:t>ledger.revenue_recognition_schedule</w:t>
            </w:r>
          </w:p>
        </w:tc>
        <w:tc>
          <w:tcPr>
            <w:tcW w:type="dxa" w:w="3062"/>
            <w:vAlign w:val="center"/>
            <w:tcMar>
              <w:top w:w="70" w:type="dxa"/>
              <w:left w:w="80" w:type="dxa"/>
              <w:bottom w:w="70" w:type="dxa"/>
              <w:right w:w="80" w:type="dxa"/>
            </w:tcMar>
          </w:tcPr>
          <w:p>
            <w:r>
              <w:rPr>
                <w:sz w:val="16"/>
              </w:rPr>
              <w:t>COM-04</w:t>
            </w:r>
          </w:p>
        </w:tc>
        <w:tc>
          <w:tcPr>
            <w:tcW w:type="dxa" w:w="3062"/>
            <w:vAlign w:val="center"/>
            <w:tcMar>
              <w:top w:w="70" w:type="dxa"/>
              <w:left w:w="80" w:type="dxa"/>
              <w:bottom w:w="70" w:type="dxa"/>
              <w:right w:w="80" w:type="dxa"/>
            </w:tcMar>
          </w:tcPr>
          <w:p>
            <w:r>
              <w:rPr>
                <w:sz w:val="16"/>
              </w:rPr>
              <w:t>id, source_line_id, unearned_account, revenue_account, start/end, method, amount, version</w:t>
            </w:r>
          </w:p>
        </w:tc>
        <w:tc>
          <w:tcPr>
            <w:tcW w:type="dxa" w:w="3062"/>
            <w:vAlign w:val="center"/>
            <w:tcMar>
              <w:top w:w="70" w:type="dxa"/>
              <w:left w:w="80" w:type="dxa"/>
              <w:bottom w:w="70" w:type="dxa"/>
              <w:right w:w="80" w:type="dxa"/>
            </w:tcMar>
          </w:tcPr>
          <w:p>
            <w:r>
              <w:rPr>
                <w:sz w:val="16"/>
              </w:rPr>
              <w:t>one active schedule per source version</w:t>
            </w:r>
          </w:p>
        </w:tc>
        <w:tc>
          <w:tcPr>
            <w:tcW w:type="dxa" w:w="3062"/>
            <w:vAlign w:val="center"/>
            <w:tcMar>
              <w:top w:w="70" w:type="dxa"/>
              <w:left w:w="80" w:type="dxa"/>
              <w:bottom w:w="70" w:type="dxa"/>
              <w:right w:w="80" w:type="dxa"/>
            </w:tcMar>
          </w:tcPr>
          <w:p>
            <w:r>
              <w:rPr>
                <w:sz w:val="16"/>
              </w:rPr>
              <w:t>Posts recognition; schedule replacement references prior</w:t>
            </w:r>
          </w:p>
        </w:tc>
      </w:tr>
      <w:tr>
        <w:tc>
          <w:tcPr>
            <w:tcW w:type="dxa" w:w="3062"/>
            <w:vAlign w:val="center"/>
            <w:tcMar>
              <w:top w:w="70" w:type="dxa"/>
              <w:left w:w="80" w:type="dxa"/>
              <w:bottom w:w="70" w:type="dxa"/>
              <w:right w:w="80" w:type="dxa"/>
            </w:tcMar>
          </w:tcPr>
          <w:p>
            <w:r>
              <w:rPr>
                <w:sz w:val="16"/>
              </w:rPr>
              <w:t>app.order</w:t>
            </w:r>
          </w:p>
        </w:tc>
        <w:tc>
          <w:tcPr>
            <w:tcW w:type="dxa" w:w="3062"/>
            <w:vAlign w:val="center"/>
            <w:tcMar>
              <w:top w:w="70" w:type="dxa"/>
              <w:left w:w="80" w:type="dxa"/>
              <w:bottom w:w="70" w:type="dxa"/>
              <w:right w:w="80" w:type="dxa"/>
            </w:tcMar>
          </w:tcPr>
          <w:p>
            <w:r>
              <w:rPr>
                <w:sz w:val="16"/>
              </w:rPr>
              <w:t>COM-05</w:t>
            </w:r>
          </w:p>
        </w:tc>
        <w:tc>
          <w:tcPr>
            <w:tcW w:type="dxa" w:w="3062"/>
            <w:vAlign w:val="center"/>
            <w:tcMar>
              <w:top w:w="70" w:type="dxa"/>
              <w:left w:w="80" w:type="dxa"/>
              <w:bottom w:w="70" w:type="dxa"/>
              <w:right w:w="80" w:type="dxa"/>
            </w:tcMar>
          </w:tcPr>
          <w:p>
            <w:r>
              <w:rPr>
                <w:sz w:val="16"/>
              </w:rPr>
              <w:t>id, tenant_id, location_id, member_id, state, totals, pricing_snapshot, version</w:t>
            </w:r>
          </w:p>
        </w:tc>
        <w:tc>
          <w:tcPr>
            <w:tcW w:type="dxa" w:w="3062"/>
            <w:vAlign w:val="center"/>
            <w:tcMar>
              <w:top w:w="70" w:type="dxa"/>
              <w:left w:w="80" w:type="dxa"/>
              <w:bottom w:w="70" w:type="dxa"/>
              <w:right w:w="80" w:type="dxa"/>
            </w:tcMar>
          </w:tcPr>
          <w:p>
            <w:r>
              <w:rPr>
                <w:sz w:val="16"/>
              </w:rPr>
              <w:t>tenant/location/time/state indexes</w:t>
            </w:r>
          </w:p>
        </w:tc>
        <w:tc>
          <w:tcPr>
            <w:tcW w:type="dxa" w:w="3062"/>
            <w:vAlign w:val="center"/>
            <w:tcMar>
              <w:top w:w="70" w:type="dxa"/>
              <w:left w:w="80" w:type="dxa"/>
              <w:bottom w:w="70" w:type="dxa"/>
              <w:right w:w="80" w:type="dxa"/>
            </w:tcMar>
          </w:tcPr>
          <w:p>
            <w:r>
              <w:rPr>
                <w:sz w:val="16"/>
              </w:rPr>
              <w:t>Order state separate from payment/fiscal state</w:t>
            </w:r>
          </w:p>
        </w:tc>
      </w:tr>
      <w:tr>
        <w:tc>
          <w:tcPr>
            <w:tcW w:type="dxa" w:w="3062"/>
            <w:vAlign w:val="center"/>
            <w:tcMar>
              <w:top w:w="70" w:type="dxa"/>
              <w:left w:w="80" w:type="dxa"/>
              <w:bottom w:w="70" w:type="dxa"/>
              <w:right w:w="80" w:type="dxa"/>
            </w:tcMar>
          </w:tcPr>
          <w:p>
            <w:r>
              <w:rPr>
                <w:sz w:val="16"/>
              </w:rPr>
              <w:t>app.fiscal_document</w:t>
            </w:r>
          </w:p>
        </w:tc>
        <w:tc>
          <w:tcPr>
            <w:tcW w:type="dxa" w:w="3062"/>
            <w:vAlign w:val="center"/>
            <w:tcMar>
              <w:top w:w="70" w:type="dxa"/>
              <w:left w:w="80" w:type="dxa"/>
              <w:bottom w:w="70" w:type="dxa"/>
              <w:right w:w="80" w:type="dxa"/>
            </w:tcMar>
          </w:tcPr>
          <w:p>
            <w:r>
              <w:rPr>
                <w:sz w:val="16"/>
              </w:rPr>
              <w:t>COM-03</w:t>
            </w:r>
          </w:p>
        </w:tc>
        <w:tc>
          <w:tcPr>
            <w:tcW w:type="dxa" w:w="3062"/>
            <w:vAlign w:val="center"/>
            <w:tcMar>
              <w:top w:w="70" w:type="dxa"/>
              <w:left w:w="80" w:type="dxa"/>
              <w:bottom w:w="70" w:type="dxa"/>
              <w:right w:w="80" w:type="dxa"/>
            </w:tcMar>
          </w:tcPr>
          <w:p>
            <w:r>
              <w:rPr>
                <w:sz w:val="16"/>
              </w:rPr>
              <w:t>id, legal_entity_id, series, serial, provider_uuid/ref, invoice_id, state, issued_at</w:t>
            </w:r>
          </w:p>
        </w:tc>
        <w:tc>
          <w:tcPr>
            <w:tcW w:type="dxa" w:w="3062"/>
            <w:vAlign w:val="center"/>
            <w:tcMar>
              <w:top w:w="70" w:type="dxa"/>
              <w:left w:w="80" w:type="dxa"/>
              <w:bottom w:w="70" w:type="dxa"/>
              <w:right w:w="80" w:type="dxa"/>
            </w:tcMar>
          </w:tcPr>
          <w:p>
            <w:r>
              <w:rPr>
                <w:sz w:val="16"/>
              </w:rPr>
              <w:t>unique legal_entity/series/serial; provider ref unique</w:t>
            </w:r>
          </w:p>
        </w:tc>
        <w:tc>
          <w:tcPr>
            <w:tcW w:type="dxa" w:w="3062"/>
            <w:vAlign w:val="center"/>
            <w:tcMar>
              <w:top w:w="70" w:type="dxa"/>
              <w:left w:w="80" w:type="dxa"/>
              <w:bottom w:w="70" w:type="dxa"/>
              <w:right w:w="80" w:type="dxa"/>
            </w:tcMar>
          </w:tcPr>
          <w:p>
            <w:r>
              <w:rPr>
                <w:sz w:val="16"/>
              </w:rPr>
              <w:t>Jordan fiscal evidence; server-authoritative</w:t>
            </w:r>
          </w:p>
        </w:tc>
      </w:tr>
      <w:tr>
        <w:tc>
          <w:tcPr>
            <w:tcW w:type="dxa" w:w="3062"/>
            <w:vAlign w:val="center"/>
            <w:tcMar>
              <w:top w:w="70" w:type="dxa"/>
              <w:left w:w="80" w:type="dxa"/>
              <w:bottom w:w="70" w:type="dxa"/>
              <w:right w:w="80" w:type="dxa"/>
            </w:tcMar>
          </w:tcPr>
          <w:p>
            <w:r>
              <w:rPr>
                <w:sz w:val="16"/>
              </w:rPr>
              <w:t>app.scheduled_instance</w:t>
            </w:r>
          </w:p>
        </w:tc>
        <w:tc>
          <w:tcPr>
            <w:tcW w:type="dxa" w:w="3062"/>
            <w:vAlign w:val="center"/>
            <w:tcMar>
              <w:top w:w="70" w:type="dxa"/>
              <w:left w:w="80" w:type="dxa"/>
              <w:bottom w:w="70" w:type="dxa"/>
              <w:right w:w="80" w:type="dxa"/>
            </w:tcMar>
          </w:tcPr>
          <w:p>
            <w:r>
              <w:rPr>
                <w:sz w:val="16"/>
              </w:rPr>
              <w:t>OPS-01</w:t>
            </w:r>
          </w:p>
        </w:tc>
        <w:tc>
          <w:tcPr>
            <w:tcW w:type="dxa" w:w="3062"/>
            <w:vAlign w:val="center"/>
            <w:tcMar>
              <w:top w:w="70" w:type="dxa"/>
              <w:left w:w="80" w:type="dxa"/>
              <w:bottom w:w="70" w:type="dxa"/>
              <w:right w:w="80" w:type="dxa"/>
            </w:tcMar>
          </w:tcPr>
          <w:p>
            <w:r>
              <w:rPr>
                <w:sz w:val="16"/>
              </w:rPr>
              <w:t>id, tenant_id, resource/service, start/end, capacity, reserved_count, version</w:t>
            </w:r>
          </w:p>
        </w:tc>
        <w:tc>
          <w:tcPr>
            <w:tcW w:type="dxa" w:w="3062"/>
            <w:vAlign w:val="center"/>
            <w:tcMar>
              <w:top w:w="70" w:type="dxa"/>
              <w:left w:w="80" w:type="dxa"/>
              <w:bottom w:w="70" w:type="dxa"/>
              <w:right w:w="80" w:type="dxa"/>
            </w:tcMar>
          </w:tcPr>
          <w:p>
            <w:r>
              <w:rPr>
                <w:sz w:val="16"/>
              </w:rPr>
              <w:t>resource/time conflict indexes</w:t>
            </w:r>
          </w:p>
        </w:tc>
        <w:tc>
          <w:tcPr>
            <w:tcW w:type="dxa" w:w="3062"/>
            <w:vAlign w:val="center"/>
            <w:tcMar>
              <w:top w:w="70" w:type="dxa"/>
              <w:left w:w="80" w:type="dxa"/>
              <w:bottom w:w="70" w:type="dxa"/>
              <w:right w:w="80" w:type="dxa"/>
            </w:tcMar>
          </w:tcPr>
          <w:p>
            <w:r>
              <w:rPr>
                <w:sz w:val="16"/>
              </w:rPr>
              <w:t>Capacity updates versioned</w:t>
            </w:r>
          </w:p>
        </w:tc>
      </w:tr>
      <w:tr>
        <w:tc>
          <w:tcPr>
            <w:tcW w:type="dxa" w:w="3062"/>
            <w:vAlign w:val="center"/>
            <w:tcMar>
              <w:top w:w="70" w:type="dxa"/>
              <w:left w:w="80" w:type="dxa"/>
              <w:bottom w:w="70" w:type="dxa"/>
              <w:right w:w="80" w:type="dxa"/>
            </w:tcMar>
          </w:tcPr>
          <w:p>
            <w:r>
              <w:rPr>
                <w:sz w:val="16"/>
              </w:rPr>
              <w:t>app.booking</w:t>
            </w:r>
          </w:p>
        </w:tc>
        <w:tc>
          <w:tcPr>
            <w:tcW w:type="dxa" w:w="3062"/>
            <w:vAlign w:val="center"/>
            <w:tcMar>
              <w:top w:w="70" w:type="dxa"/>
              <w:left w:w="80" w:type="dxa"/>
              <w:bottom w:w="70" w:type="dxa"/>
              <w:right w:w="80" w:type="dxa"/>
            </w:tcMar>
          </w:tcPr>
          <w:p>
            <w:r>
              <w:rPr>
                <w:sz w:val="16"/>
              </w:rPr>
              <w:t>OPS-02</w:t>
            </w:r>
          </w:p>
        </w:tc>
        <w:tc>
          <w:tcPr>
            <w:tcW w:type="dxa" w:w="3062"/>
            <w:vAlign w:val="center"/>
            <w:tcMar>
              <w:top w:w="70" w:type="dxa"/>
              <w:left w:w="80" w:type="dxa"/>
              <w:bottom w:w="70" w:type="dxa"/>
              <w:right w:w="80" w:type="dxa"/>
            </w:tcMar>
          </w:tcPr>
          <w:p>
            <w:r>
              <w:rPr>
                <w:sz w:val="16"/>
              </w:rPr>
              <w:t>id, tenant_id, instance_id, member_id, state, entitlement_reservation_id, version</w:t>
            </w:r>
          </w:p>
        </w:tc>
        <w:tc>
          <w:tcPr>
            <w:tcW w:type="dxa" w:w="3062"/>
            <w:vAlign w:val="center"/>
            <w:tcMar>
              <w:top w:w="70" w:type="dxa"/>
              <w:left w:w="80" w:type="dxa"/>
              <w:bottom w:w="70" w:type="dxa"/>
              <w:right w:w="80" w:type="dxa"/>
            </w:tcMar>
          </w:tcPr>
          <w:p>
            <w:r>
              <w:rPr>
                <w:sz w:val="16"/>
              </w:rPr>
              <w:t>unique active member/instance</w:t>
            </w:r>
          </w:p>
        </w:tc>
        <w:tc>
          <w:tcPr>
            <w:tcW w:type="dxa" w:w="3062"/>
            <w:vAlign w:val="center"/>
            <w:tcMar>
              <w:top w:w="70" w:type="dxa"/>
              <w:left w:w="80" w:type="dxa"/>
              <w:bottom w:w="70" w:type="dxa"/>
              <w:right w:w="80" w:type="dxa"/>
            </w:tcMar>
          </w:tcPr>
          <w:p>
            <w:r>
              <w:rPr>
                <w:sz w:val="16"/>
              </w:rPr>
              <w:t>Booking/capacity authority</w:t>
            </w:r>
          </w:p>
        </w:tc>
      </w:tr>
      <w:tr>
        <w:tc>
          <w:tcPr>
            <w:tcW w:type="dxa" w:w="3062"/>
            <w:vAlign w:val="center"/>
            <w:tcMar>
              <w:top w:w="70" w:type="dxa"/>
              <w:left w:w="80" w:type="dxa"/>
              <w:bottom w:w="70" w:type="dxa"/>
              <w:right w:w="80" w:type="dxa"/>
            </w:tcMar>
          </w:tcPr>
          <w:p>
            <w:r>
              <w:rPr>
                <w:sz w:val="16"/>
              </w:rPr>
              <w:t>app.access_decision</w:t>
            </w:r>
          </w:p>
        </w:tc>
        <w:tc>
          <w:tcPr>
            <w:tcW w:type="dxa" w:w="3062"/>
            <w:vAlign w:val="center"/>
            <w:tcMar>
              <w:top w:w="70" w:type="dxa"/>
              <w:left w:w="80" w:type="dxa"/>
              <w:bottom w:w="70" w:type="dxa"/>
              <w:right w:w="80" w:type="dxa"/>
            </w:tcMar>
          </w:tcPr>
          <w:p>
            <w:r>
              <w:rPr>
                <w:sz w:val="16"/>
              </w:rPr>
              <w:t>OPS-03</w:t>
            </w:r>
          </w:p>
        </w:tc>
        <w:tc>
          <w:tcPr>
            <w:tcW w:type="dxa" w:w="3062"/>
            <w:vAlign w:val="center"/>
            <w:tcMar>
              <w:top w:w="70" w:type="dxa"/>
              <w:left w:w="80" w:type="dxa"/>
              <w:bottom w:w="70" w:type="dxa"/>
              <w:right w:w="80" w:type="dxa"/>
            </w:tcMar>
          </w:tcPr>
          <w:p>
            <w:r>
              <w:rPr>
                <w:sz w:val="16"/>
              </w:rPr>
              <w:t>id, tenant_id, location_id, credential_hash, subject_ref, policy_version, snapshot_version, outcome, reason, occurred_at</w:t>
            </w:r>
          </w:p>
        </w:tc>
        <w:tc>
          <w:tcPr>
            <w:tcW w:type="dxa" w:w="3062"/>
            <w:vAlign w:val="center"/>
            <w:tcMar>
              <w:top w:w="70" w:type="dxa"/>
              <w:left w:w="80" w:type="dxa"/>
              <w:bottom w:w="70" w:type="dxa"/>
              <w:right w:w="80" w:type="dxa"/>
            </w:tcMar>
          </w:tcPr>
          <w:p>
            <w:r>
              <w:rPr>
                <w:sz w:val="16"/>
              </w:rPr>
              <w:t>append-only; location/time/credential indexes</w:t>
            </w:r>
          </w:p>
        </w:tc>
        <w:tc>
          <w:tcPr>
            <w:tcW w:type="dxa" w:w="3062"/>
            <w:vAlign w:val="center"/>
            <w:tcMar>
              <w:top w:w="70" w:type="dxa"/>
              <w:left w:w="80" w:type="dxa"/>
              <w:bottom w:w="70" w:type="dxa"/>
              <w:right w:w="80" w:type="dxa"/>
            </w:tcMar>
          </w:tcPr>
          <w:p>
            <w:r>
              <w:rPr>
                <w:sz w:val="16"/>
              </w:rPr>
              <w:t>No raw credential/PII required</w:t>
            </w:r>
          </w:p>
        </w:tc>
      </w:tr>
      <w:tr>
        <w:tc>
          <w:tcPr>
            <w:tcW w:type="dxa" w:w="3062"/>
            <w:vAlign w:val="center"/>
            <w:tcMar>
              <w:top w:w="70" w:type="dxa"/>
              <w:left w:w="80" w:type="dxa"/>
              <w:bottom w:w="70" w:type="dxa"/>
              <w:right w:w="80" w:type="dxa"/>
            </w:tcMar>
          </w:tcPr>
          <w:p>
            <w:r>
              <w:rPr>
                <w:sz w:val="16"/>
              </w:rPr>
              <w:t>app.workout_log</w:t>
            </w:r>
          </w:p>
        </w:tc>
        <w:tc>
          <w:tcPr>
            <w:tcW w:type="dxa" w:w="3062"/>
            <w:vAlign w:val="center"/>
            <w:tcMar>
              <w:top w:w="70" w:type="dxa"/>
              <w:left w:w="80" w:type="dxa"/>
              <w:bottom w:w="70" w:type="dxa"/>
              <w:right w:w="80" w:type="dxa"/>
            </w:tcMar>
          </w:tcPr>
          <w:p>
            <w:r>
              <w:rPr>
                <w:sz w:val="16"/>
              </w:rPr>
              <w:t>COA-02</w:t>
            </w:r>
          </w:p>
        </w:tc>
        <w:tc>
          <w:tcPr>
            <w:tcW w:type="dxa" w:w="3062"/>
            <w:vAlign w:val="center"/>
            <w:tcMar>
              <w:top w:w="70" w:type="dxa"/>
              <w:left w:w="80" w:type="dxa"/>
              <w:bottom w:w="70" w:type="dxa"/>
              <w:right w:w="80" w:type="dxa"/>
            </w:tcMar>
          </w:tcPr>
          <w:p>
            <w:r>
              <w:rPr>
                <w:sz w:val="16"/>
              </w:rPr>
              <w:t>id, tenant_id, member_id, assignment_version, state, started/completed, version</w:t>
            </w:r>
          </w:p>
        </w:tc>
        <w:tc>
          <w:tcPr>
            <w:tcW w:type="dxa" w:w="3062"/>
            <w:vAlign w:val="center"/>
            <w:tcMar>
              <w:top w:w="70" w:type="dxa"/>
              <w:left w:w="80" w:type="dxa"/>
              <w:bottom w:w="70" w:type="dxa"/>
              <w:right w:w="80" w:type="dxa"/>
            </w:tcMar>
          </w:tcPr>
          <w:p>
            <w:r>
              <w:rPr>
                <w:sz w:val="16"/>
              </w:rPr>
              <w:t>member/time indexes; client idempotency</w:t>
            </w:r>
          </w:p>
        </w:tc>
        <w:tc>
          <w:tcPr>
            <w:tcW w:type="dxa" w:w="3062"/>
            <w:vAlign w:val="center"/>
            <w:tcMar>
              <w:top w:w="70" w:type="dxa"/>
              <w:left w:w="80" w:type="dxa"/>
              <w:bottom w:w="70" w:type="dxa"/>
              <w:right w:w="80" w:type="dxa"/>
            </w:tcMar>
          </w:tcPr>
          <w:p>
            <w:r>
              <w:rPr>
                <w:sz w:val="16"/>
              </w:rPr>
              <w:t>Offline merge preserves observations</w:t>
            </w:r>
          </w:p>
        </w:tc>
      </w:tr>
      <w:tr>
        <w:tc>
          <w:tcPr>
            <w:tcW w:type="dxa" w:w="3062"/>
            <w:vAlign w:val="center"/>
            <w:tcMar>
              <w:top w:w="70" w:type="dxa"/>
              <w:left w:w="80" w:type="dxa"/>
              <w:bottom w:w="70" w:type="dxa"/>
              <w:right w:w="80" w:type="dxa"/>
            </w:tcMar>
          </w:tcPr>
          <w:p>
            <w:r>
              <w:rPr>
                <w:sz w:val="16"/>
              </w:rPr>
              <w:t>app.set_log</w:t>
            </w:r>
          </w:p>
        </w:tc>
        <w:tc>
          <w:tcPr>
            <w:tcW w:type="dxa" w:w="3062"/>
            <w:vAlign w:val="center"/>
            <w:tcMar>
              <w:top w:w="70" w:type="dxa"/>
              <w:left w:w="80" w:type="dxa"/>
              <w:bottom w:w="70" w:type="dxa"/>
              <w:right w:w="80" w:type="dxa"/>
            </w:tcMar>
          </w:tcPr>
          <w:p>
            <w:r>
              <w:rPr>
                <w:sz w:val="16"/>
              </w:rPr>
              <w:t>COA-02</w:t>
            </w:r>
          </w:p>
        </w:tc>
        <w:tc>
          <w:tcPr>
            <w:tcW w:type="dxa" w:w="3062"/>
            <w:vAlign w:val="center"/>
            <w:tcMar>
              <w:top w:w="70" w:type="dxa"/>
              <w:left w:w="80" w:type="dxa"/>
              <w:bottom w:w="70" w:type="dxa"/>
              <w:right w:w="80" w:type="dxa"/>
            </w:tcMar>
          </w:tcPr>
          <w:p>
            <w:r>
              <w:rPr>
                <w:sz w:val="16"/>
              </w:rPr>
              <w:t>id, workout_log_id, client_event_id, exercise_ref, set_index, reps, load, unit, observed_at</w:t>
            </w:r>
          </w:p>
        </w:tc>
        <w:tc>
          <w:tcPr>
            <w:tcW w:type="dxa" w:w="3062"/>
            <w:vAlign w:val="center"/>
            <w:tcMar>
              <w:top w:w="70" w:type="dxa"/>
              <w:left w:w="80" w:type="dxa"/>
              <w:bottom w:w="70" w:type="dxa"/>
              <w:right w:w="80" w:type="dxa"/>
            </w:tcMar>
          </w:tcPr>
          <w:p>
            <w:r>
              <w:rPr>
                <w:sz w:val="16"/>
              </w:rPr>
              <w:t>unique workout/client_event_id</w:t>
            </w:r>
          </w:p>
        </w:tc>
        <w:tc>
          <w:tcPr>
            <w:tcW w:type="dxa" w:w="3062"/>
            <w:vAlign w:val="center"/>
            <w:tcMar>
              <w:top w:w="70" w:type="dxa"/>
              <w:left w:w="80" w:type="dxa"/>
              <w:bottom w:w="70" w:type="dxa"/>
              <w:right w:w="80" w:type="dxa"/>
            </w:tcMar>
          </w:tcPr>
          <w:p>
            <w:r>
              <w:rPr>
                <w:sz w:val="16"/>
              </w:rPr>
              <w:t>Append/update until workout completion policy</w:t>
            </w:r>
          </w:p>
        </w:tc>
      </w:tr>
      <w:tr>
        <w:tc>
          <w:tcPr>
            <w:tcW w:type="dxa" w:w="3062"/>
            <w:vAlign w:val="center"/>
            <w:tcMar>
              <w:top w:w="70" w:type="dxa"/>
              <w:left w:w="80" w:type="dxa"/>
              <w:bottom w:w="70" w:type="dxa"/>
              <w:right w:w="80" w:type="dxa"/>
            </w:tcMar>
          </w:tcPr>
          <w:p>
            <w:r>
              <w:rPr>
                <w:sz w:val="16"/>
              </w:rPr>
              <w:t>app.nutrition_plan_version</w:t>
            </w:r>
          </w:p>
        </w:tc>
        <w:tc>
          <w:tcPr>
            <w:tcW w:type="dxa" w:w="3062"/>
            <w:vAlign w:val="center"/>
            <w:tcMar>
              <w:top w:w="70" w:type="dxa"/>
              <w:left w:w="80" w:type="dxa"/>
              <w:bottom w:w="70" w:type="dxa"/>
              <w:right w:w="80" w:type="dxa"/>
            </w:tcMar>
          </w:tcPr>
          <w:p>
            <w:r>
              <w:rPr>
                <w:sz w:val="16"/>
              </w:rPr>
              <w:t>COA-03</w:t>
            </w:r>
          </w:p>
        </w:tc>
        <w:tc>
          <w:tcPr>
            <w:tcW w:type="dxa" w:w="3062"/>
            <w:vAlign w:val="center"/>
            <w:tcMar>
              <w:top w:w="70" w:type="dxa"/>
              <w:left w:w="80" w:type="dxa"/>
              <w:bottom w:w="70" w:type="dxa"/>
              <w:right w:w="80" w:type="dxa"/>
            </w:tcMar>
          </w:tcPr>
          <w:p>
            <w:r>
              <w:rPr>
                <w:sz w:val="16"/>
              </w:rPr>
              <w:t>id, tenant_id, member_id, version_no, targets, constraint_version, state</w:t>
            </w:r>
          </w:p>
        </w:tc>
        <w:tc>
          <w:tcPr>
            <w:tcW w:type="dxa" w:w="3062"/>
            <w:vAlign w:val="center"/>
            <w:tcMar>
              <w:top w:w="70" w:type="dxa"/>
              <w:left w:w="80" w:type="dxa"/>
              <w:bottom w:w="70" w:type="dxa"/>
              <w:right w:w="80" w:type="dxa"/>
            </w:tcMar>
          </w:tcPr>
          <w:p>
            <w:r>
              <w:rPr>
                <w:sz w:val="16"/>
              </w:rPr>
              <w:t>unique plan/version</w:t>
            </w:r>
          </w:p>
        </w:tc>
        <w:tc>
          <w:tcPr>
            <w:tcW w:type="dxa" w:w="3062"/>
            <w:vAlign w:val="center"/>
            <w:tcMar>
              <w:top w:w="70" w:type="dxa"/>
              <w:left w:w="80" w:type="dxa"/>
              <w:bottom w:w="70" w:type="dxa"/>
              <w:right w:w="80" w:type="dxa"/>
            </w:tcMar>
          </w:tcPr>
          <w:p>
            <w:r>
              <w:rPr>
                <w:sz w:val="16"/>
              </w:rPr>
              <w:t>Immutable published version</w:t>
            </w:r>
          </w:p>
        </w:tc>
      </w:tr>
      <w:tr>
        <w:tc>
          <w:tcPr>
            <w:tcW w:type="dxa" w:w="3062"/>
            <w:vAlign w:val="center"/>
            <w:tcMar>
              <w:top w:w="70" w:type="dxa"/>
              <w:left w:w="80" w:type="dxa"/>
              <w:bottom w:w="70" w:type="dxa"/>
              <w:right w:w="80" w:type="dxa"/>
            </w:tcMar>
          </w:tcPr>
          <w:p>
            <w:r>
              <w:rPr>
                <w:sz w:val="16"/>
              </w:rPr>
              <w:t>app.nutrition_constraint_set</w:t>
            </w:r>
          </w:p>
        </w:tc>
        <w:tc>
          <w:tcPr>
            <w:tcW w:type="dxa" w:w="3062"/>
            <w:vAlign w:val="center"/>
            <w:tcMar>
              <w:top w:w="70" w:type="dxa"/>
              <w:left w:w="80" w:type="dxa"/>
              <w:bottom w:w="70" w:type="dxa"/>
              <w:right w:w="80" w:type="dxa"/>
            </w:tcMar>
          </w:tcPr>
          <w:p>
            <w:r>
              <w:rPr>
                <w:sz w:val="16"/>
              </w:rPr>
              <w:t>COA-03</w:t>
            </w:r>
          </w:p>
        </w:tc>
        <w:tc>
          <w:tcPr>
            <w:tcW w:type="dxa" w:w="3062"/>
            <w:vAlign w:val="center"/>
            <w:tcMar>
              <w:top w:w="70" w:type="dxa"/>
              <w:left w:w="80" w:type="dxa"/>
              <w:bottom w:w="70" w:type="dxa"/>
              <w:right w:w="80" w:type="dxa"/>
            </w:tcMar>
          </w:tcPr>
          <w:p>
            <w:r>
              <w:rPr>
                <w:sz w:val="16"/>
              </w:rPr>
              <w:t>id, tenant_id, member_id, version, typed constraints, effective_at, reviewer_ref</w:t>
            </w:r>
          </w:p>
        </w:tc>
        <w:tc>
          <w:tcPr>
            <w:tcW w:type="dxa" w:w="3062"/>
            <w:vAlign w:val="center"/>
            <w:tcMar>
              <w:top w:w="70" w:type="dxa"/>
              <w:left w:w="80" w:type="dxa"/>
              <w:bottom w:w="70" w:type="dxa"/>
              <w:right w:w="80" w:type="dxa"/>
            </w:tcMar>
          </w:tcPr>
          <w:p>
            <w:r>
              <w:rPr>
                <w:sz w:val="16"/>
              </w:rPr>
              <w:t>version unique per member</w:t>
            </w:r>
          </w:p>
        </w:tc>
        <w:tc>
          <w:tcPr>
            <w:tcW w:type="dxa" w:w="3062"/>
            <w:vAlign w:val="center"/>
            <w:tcMar>
              <w:top w:w="70" w:type="dxa"/>
              <w:left w:w="80" w:type="dxa"/>
              <w:bottom w:w="70" w:type="dxa"/>
              <w:right w:w="80" w:type="dxa"/>
            </w:tcMar>
          </w:tcPr>
          <w:p>
            <w:r>
              <w:rPr>
                <w:sz w:val="16"/>
              </w:rPr>
              <w:t>Blocking validator input</w:t>
            </w:r>
          </w:p>
        </w:tc>
      </w:tr>
      <w:tr>
        <w:tc>
          <w:tcPr>
            <w:tcW w:type="dxa" w:w="3062"/>
            <w:vAlign w:val="center"/>
            <w:tcMar>
              <w:top w:w="70" w:type="dxa"/>
              <w:left w:w="80" w:type="dxa"/>
              <w:bottom w:w="70" w:type="dxa"/>
              <w:right w:w="80" w:type="dxa"/>
            </w:tcMar>
          </w:tcPr>
          <w:p>
            <w:r>
              <w:rPr>
                <w:sz w:val="16"/>
              </w:rPr>
              <w:t>app.conversation_message</w:t>
            </w:r>
          </w:p>
        </w:tc>
        <w:tc>
          <w:tcPr>
            <w:tcW w:type="dxa" w:w="3062"/>
            <w:vAlign w:val="center"/>
            <w:tcMar>
              <w:top w:w="70" w:type="dxa"/>
              <w:left w:w="80" w:type="dxa"/>
              <w:bottom w:w="70" w:type="dxa"/>
              <w:right w:w="80" w:type="dxa"/>
            </w:tcMar>
          </w:tcPr>
          <w:p>
            <w:r>
              <w:rPr>
                <w:sz w:val="16"/>
              </w:rPr>
              <w:t>ENG-01</w:t>
            </w:r>
          </w:p>
        </w:tc>
        <w:tc>
          <w:tcPr>
            <w:tcW w:type="dxa" w:w="3062"/>
            <w:vAlign w:val="center"/>
            <w:tcMar>
              <w:top w:w="70" w:type="dxa"/>
              <w:left w:w="80" w:type="dxa"/>
              <w:bottom w:w="70" w:type="dxa"/>
              <w:right w:w="80" w:type="dxa"/>
            </w:tcMar>
          </w:tcPr>
          <w:p>
            <w:r>
              <w:rPr>
                <w:sz w:val="16"/>
              </w:rPr>
              <w:t>id, tenant_id, conversation_id, sender_ref, content_ref/classification, created_at</w:t>
            </w:r>
          </w:p>
        </w:tc>
        <w:tc>
          <w:tcPr>
            <w:tcW w:type="dxa" w:w="3062"/>
            <w:vAlign w:val="center"/>
            <w:tcMar>
              <w:top w:w="70" w:type="dxa"/>
              <w:left w:w="80" w:type="dxa"/>
              <w:bottom w:w="70" w:type="dxa"/>
              <w:right w:w="80" w:type="dxa"/>
            </w:tcMar>
          </w:tcPr>
          <w:p>
            <w:r>
              <w:rPr>
                <w:sz w:val="16"/>
              </w:rPr>
              <w:t>conversation/time; provider ref unique where present</w:t>
            </w:r>
          </w:p>
        </w:tc>
        <w:tc>
          <w:tcPr>
            <w:tcW w:type="dxa" w:w="3062"/>
            <w:vAlign w:val="center"/>
            <w:tcMar>
              <w:top w:w="70" w:type="dxa"/>
              <w:left w:w="80" w:type="dxa"/>
              <w:bottom w:w="70" w:type="dxa"/>
              <w:right w:w="80" w:type="dxa"/>
            </w:tcMar>
          </w:tcPr>
          <w:p>
            <w:r>
              <w:rPr>
                <w:sz w:val="16"/>
              </w:rPr>
              <w:t>Provider delivery separate</w:t>
            </w:r>
          </w:p>
        </w:tc>
      </w:tr>
      <w:tr>
        <w:tc>
          <w:tcPr>
            <w:tcW w:type="dxa" w:w="3062"/>
            <w:vAlign w:val="center"/>
            <w:tcMar>
              <w:top w:w="70" w:type="dxa"/>
              <w:left w:w="80" w:type="dxa"/>
              <w:bottom w:w="70" w:type="dxa"/>
              <w:right w:w="80" w:type="dxa"/>
            </w:tcMar>
          </w:tcPr>
          <w:p>
            <w:r>
              <w:rPr>
                <w:sz w:val="16"/>
              </w:rPr>
              <w:t>audit.audit_record</w:t>
            </w:r>
          </w:p>
        </w:tc>
        <w:tc>
          <w:tcPr>
            <w:tcW w:type="dxa" w:w="3062"/>
            <w:vAlign w:val="center"/>
            <w:tcMar>
              <w:top w:w="70" w:type="dxa"/>
              <w:left w:w="80" w:type="dxa"/>
              <w:bottom w:w="70" w:type="dxa"/>
              <w:right w:w="80" w:type="dxa"/>
            </w:tcMar>
          </w:tcPr>
          <w:p>
            <w:r>
              <w:rPr>
                <w:sz w:val="16"/>
              </w:rPr>
              <w:t>IAM-03/SEC-01</w:t>
            </w:r>
          </w:p>
        </w:tc>
        <w:tc>
          <w:tcPr>
            <w:tcW w:type="dxa" w:w="3062"/>
            <w:vAlign w:val="center"/>
            <w:tcMar>
              <w:top w:w="70" w:type="dxa"/>
              <w:left w:w="80" w:type="dxa"/>
              <w:bottom w:w="70" w:type="dxa"/>
              <w:right w:w="80" w:type="dxa"/>
            </w:tcMar>
          </w:tcPr>
          <w:p>
            <w:r>
              <w:rPr>
                <w:sz w:val="16"/>
              </w:rPr>
              <w:t>id, tenant_id, actor_chain, action, resource, purpose, before/after refs, outcome, occurred_at</w:t>
            </w:r>
          </w:p>
        </w:tc>
        <w:tc>
          <w:tcPr>
            <w:tcW w:type="dxa" w:w="3062"/>
            <w:vAlign w:val="center"/>
            <w:tcMar>
              <w:top w:w="70" w:type="dxa"/>
              <w:left w:w="80" w:type="dxa"/>
              <w:bottom w:w="70" w:type="dxa"/>
              <w:right w:w="80" w:type="dxa"/>
            </w:tcMar>
          </w:tcPr>
          <w:p>
            <w:r>
              <w:rPr>
                <w:sz w:val="16"/>
              </w:rPr>
              <w:t>append-only; tenant/resource/time indexes</w:t>
            </w:r>
          </w:p>
        </w:tc>
        <w:tc>
          <w:tcPr>
            <w:tcW w:type="dxa" w:w="3062"/>
            <w:vAlign w:val="center"/>
            <w:tcMar>
              <w:top w:w="70" w:type="dxa"/>
              <w:left w:w="80" w:type="dxa"/>
              <w:bottom w:w="70" w:type="dxa"/>
              <w:right w:w="80" w:type="dxa"/>
            </w:tcMar>
          </w:tcPr>
          <w:p>
            <w:r>
              <w:rPr>
                <w:sz w:val="16"/>
              </w:rPr>
              <w:t>High-risk evidence archive</w:t>
            </w:r>
          </w:p>
        </w:tc>
      </w:tr>
      <w:tr>
        <w:tc>
          <w:tcPr>
            <w:tcW w:type="dxa" w:w="3062"/>
            <w:vAlign w:val="center"/>
            <w:tcMar>
              <w:top w:w="70" w:type="dxa"/>
              <w:left w:w="80" w:type="dxa"/>
              <w:bottom w:w="70" w:type="dxa"/>
              <w:right w:w="80" w:type="dxa"/>
            </w:tcMar>
          </w:tcPr>
          <w:p>
            <w:r>
              <w:rPr>
                <w:sz w:val="16"/>
              </w:rPr>
              <w:t>app.outbox_event</w:t>
            </w:r>
          </w:p>
        </w:tc>
        <w:tc>
          <w:tcPr>
            <w:tcW w:type="dxa" w:w="3062"/>
            <w:vAlign w:val="center"/>
            <w:tcMar>
              <w:top w:w="70" w:type="dxa"/>
              <w:left w:w="80" w:type="dxa"/>
              <w:bottom w:w="70" w:type="dxa"/>
              <w:right w:w="80" w:type="dxa"/>
            </w:tcMar>
          </w:tcPr>
          <w:p>
            <w:r>
              <w:rPr>
                <w:sz w:val="16"/>
              </w:rPr>
              <w:t>DAT-01</w:t>
            </w:r>
          </w:p>
        </w:tc>
        <w:tc>
          <w:tcPr>
            <w:tcW w:type="dxa" w:w="3062"/>
            <w:vAlign w:val="center"/>
            <w:tcMar>
              <w:top w:w="70" w:type="dxa"/>
              <w:left w:w="80" w:type="dxa"/>
              <w:bottom w:w="70" w:type="dxa"/>
              <w:right w:w="80" w:type="dxa"/>
            </w:tcMar>
          </w:tcPr>
          <w:p>
            <w:r>
              <w:rPr>
                <w:sz w:val="16"/>
              </w:rPr>
              <w:t>event_id, tenant_id, aggregate, type, schema_version, payload_ref/minimized payload, occurred_at, published_at</w:t>
            </w:r>
          </w:p>
        </w:tc>
        <w:tc>
          <w:tcPr>
            <w:tcW w:type="dxa" w:w="3062"/>
            <w:vAlign w:val="center"/>
            <w:tcMar>
              <w:top w:w="70" w:type="dxa"/>
              <w:left w:w="80" w:type="dxa"/>
              <w:bottom w:w="70" w:type="dxa"/>
              <w:right w:w="80" w:type="dxa"/>
            </w:tcMar>
          </w:tcPr>
          <w:p>
            <w:r>
              <w:rPr>
                <w:sz w:val="16"/>
              </w:rPr>
              <w:t>event_id unique; unpublished partial index</w:t>
            </w:r>
          </w:p>
        </w:tc>
        <w:tc>
          <w:tcPr>
            <w:tcW w:type="dxa" w:w="3062"/>
            <w:vAlign w:val="center"/>
            <w:tcMar>
              <w:top w:w="70" w:type="dxa"/>
              <w:left w:w="80" w:type="dxa"/>
              <w:bottom w:w="70" w:type="dxa"/>
              <w:right w:w="80" w:type="dxa"/>
            </w:tcMar>
          </w:tcPr>
          <w:p>
            <w:r>
              <w:rPr>
                <w:sz w:val="16"/>
              </w:rPr>
              <w:t>Atomic with domain transaction</w:t>
            </w:r>
          </w:p>
        </w:tc>
      </w:tr>
      <w:tr>
        <w:tc>
          <w:tcPr>
            <w:tcW w:type="dxa" w:w="3062"/>
            <w:vAlign w:val="center"/>
            <w:tcMar>
              <w:top w:w="70" w:type="dxa"/>
              <w:left w:w="80" w:type="dxa"/>
              <w:bottom w:w="70" w:type="dxa"/>
              <w:right w:w="80" w:type="dxa"/>
            </w:tcMar>
          </w:tcPr>
          <w:p>
            <w:r>
              <w:rPr>
                <w:sz w:val="16"/>
              </w:rPr>
              <w:t>app.idempotency_record</w:t>
            </w:r>
          </w:p>
        </w:tc>
        <w:tc>
          <w:tcPr>
            <w:tcW w:type="dxa" w:w="3062"/>
            <w:vAlign w:val="center"/>
            <w:tcMar>
              <w:top w:w="70" w:type="dxa"/>
              <w:left w:w="80" w:type="dxa"/>
              <w:bottom w:w="70" w:type="dxa"/>
              <w:right w:w="80" w:type="dxa"/>
            </w:tcMar>
          </w:tcPr>
          <w:p>
            <w:r>
              <w:rPr>
                <w:sz w:val="16"/>
              </w:rPr>
              <w:t>Platform</w:t>
            </w:r>
          </w:p>
        </w:tc>
        <w:tc>
          <w:tcPr>
            <w:tcW w:type="dxa" w:w="3062"/>
            <w:vAlign w:val="center"/>
            <w:tcMar>
              <w:top w:w="70" w:type="dxa"/>
              <w:left w:w="80" w:type="dxa"/>
              <w:bottom w:w="70" w:type="dxa"/>
              <w:right w:w="80" w:type="dxa"/>
            </w:tcMar>
          </w:tcPr>
          <w:p>
            <w:r>
              <w:rPr>
                <w:sz w:val="16"/>
              </w:rPr>
              <w:t>tenant_id, method, route, key, request_hash, result_ref/status, expires_at</w:t>
            </w:r>
          </w:p>
        </w:tc>
        <w:tc>
          <w:tcPr>
            <w:tcW w:type="dxa" w:w="3062"/>
            <w:vAlign w:val="center"/>
            <w:tcMar>
              <w:top w:w="70" w:type="dxa"/>
              <w:left w:w="80" w:type="dxa"/>
              <w:bottom w:w="70" w:type="dxa"/>
              <w:right w:w="80" w:type="dxa"/>
            </w:tcMar>
          </w:tcPr>
          <w:p>
            <w:r>
              <w:rPr>
                <w:sz w:val="16"/>
              </w:rPr>
              <w:t>unique tenant/method/route/key</w:t>
            </w:r>
          </w:p>
        </w:tc>
        <w:tc>
          <w:tcPr>
            <w:tcW w:type="dxa" w:w="3062"/>
            <w:vAlign w:val="center"/>
            <w:tcMar>
              <w:top w:w="70" w:type="dxa"/>
              <w:left w:w="80" w:type="dxa"/>
              <w:bottom w:w="70" w:type="dxa"/>
              <w:right w:w="80" w:type="dxa"/>
            </w:tcMar>
          </w:tcPr>
          <w:p>
            <w:r>
              <w:rPr>
                <w:sz w:val="16"/>
              </w:rPr>
              <w:t>409 on body mismatch; stored response replay</w:t>
            </w:r>
          </w:p>
        </w:tc>
      </w:tr>
      <w:tr>
        <w:tc>
          <w:tcPr>
            <w:tcW w:type="dxa" w:w="3062"/>
            <w:vAlign w:val="center"/>
            <w:tcMar>
              <w:top w:w="70" w:type="dxa"/>
              <w:left w:w="80" w:type="dxa"/>
              <w:bottom w:w="70" w:type="dxa"/>
              <w:right w:w="80" w:type="dxa"/>
            </w:tcMar>
          </w:tcPr>
          <w:p>
            <w:r>
              <w:rPr>
                <w:sz w:val="16"/>
              </w:rPr>
              <w:t>control.integration_install</w:t>
            </w:r>
          </w:p>
        </w:tc>
        <w:tc>
          <w:tcPr>
            <w:tcW w:type="dxa" w:w="3062"/>
            <w:vAlign w:val="center"/>
            <w:tcMar>
              <w:top w:w="70" w:type="dxa"/>
              <w:left w:w="80" w:type="dxa"/>
              <w:bottom w:w="70" w:type="dxa"/>
              <w:right w:w="80" w:type="dxa"/>
            </w:tcMar>
          </w:tcPr>
          <w:p>
            <w:r>
              <w:rPr>
                <w:sz w:val="16"/>
              </w:rPr>
              <w:t>ECO-02</w:t>
            </w:r>
          </w:p>
        </w:tc>
        <w:tc>
          <w:tcPr>
            <w:tcW w:type="dxa" w:w="3062"/>
            <w:vAlign w:val="center"/>
            <w:tcMar>
              <w:top w:w="70" w:type="dxa"/>
              <w:left w:w="80" w:type="dxa"/>
              <w:bottom w:w="70" w:type="dxa"/>
              <w:right w:w="80" w:type="dxa"/>
            </w:tcMar>
          </w:tcPr>
          <w:p>
            <w:r>
              <w:rPr>
                <w:sz w:val="16"/>
              </w:rPr>
              <w:t>id, tenant_id, provider, secret_ref, scope, status, cursor, health</w:t>
            </w:r>
          </w:p>
        </w:tc>
        <w:tc>
          <w:tcPr>
            <w:tcW w:type="dxa" w:w="3062"/>
            <w:vAlign w:val="center"/>
            <w:tcMar>
              <w:top w:w="70" w:type="dxa"/>
              <w:left w:w="80" w:type="dxa"/>
              <w:bottom w:w="70" w:type="dxa"/>
              <w:right w:w="80" w:type="dxa"/>
            </w:tcMar>
          </w:tcPr>
          <w:p>
            <w:r>
              <w:rPr>
                <w:sz w:val="16"/>
              </w:rPr>
              <w:t>tenant/provider unique rules</w:t>
            </w:r>
          </w:p>
        </w:tc>
        <w:tc>
          <w:tcPr>
            <w:tcW w:type="dxa" w:w="3062"/>
            <w:vAlign w:val="center"/>
            <w:tcMar>
              <w:top w:w="70" w:type="dxa"/>
              <w:left w:w="80" w:type="dxa"/>
              <w:bottom w:w="70" w:type="dxa"/>
              <w:right w:w="80" w:type="dxa"/>
            </w:tcMar>
          </w:tcPr>
          <w:p>
            <w:r>
              <w:rPr>
                <w:sz w:val="16"/>
              </w:rPr>
              <w:t>Secrets live in vault</w:t>
            </w:r>
          </w:p>
        </w:tc>
      </w:tr>
      <w:tr>
        <w:tc>
          <w:tcPr>
            <w:tcW w:type="dxa" w:w="3062"/>
            <w:vAlign w:val="center"/>
            <w:tcMar>
              <w:top w:w="70" w:type="dxa"/>
              <w:left w:w="80" w:type="dxa"/>
              <w:bottom w:w="70" w:type="dxa"/>
              <w:right w:w="80" w:type="dxa"/>
            </w:tcMar>
          </w:tcPr>
          <w:p>
            <w:r>
              <w:rPr>
                <w:sz w:val="16"/>
              </w:rPr>
              <w:t>control.deletion_job</w:t>
            </w:r>
          </w:p>
        </w:tc>
        <w:tc>
          <w:tcPr>
            <w:tcW w:type="dxa" w:w="3062"/>
            <w:vAlign w:val="center"/>
            <w:tcMar>
              <w:top w:w="70" w:type="dxa"/>
              <w:left w:w="80" w:type="dxa"/>
              <w:bottom w:w="70" w:type="dxa"/>
              <w:right w:w="80" w:type="dxa"/>
            </w:tcMar>
          </w:tcPr>
          <w:p>
            <w:r>
              <w:rPr>
                <w:sz w:val="16"/>
              </w:rPr>
              <w:t>SEC-01</w:t>
            </w:r>
          </w:p>
        </w:tc>
        <w:tc>
          <w:tcPr>
            <w:tcW w:type="dxa" w:w="3062"/>
            <w:vAlign w:val="center"/>
            <w:tcMar>
              <w:top w:w="70" w:type="dxa"/>
              <w:left w:w="80" w:type="dxa"/>
              <w:bottom w:w="70" w:type="dxa"/>
              <w:right w:w="80" w:type="dxa"/>
            </w:tcMar>
          </w:tcPr>
          <w:p>
            <w:r>
              <w:rPr>
                <w:sz w:val="16"/>
              </w:rPr>
              <w:t>id, tenant_id, subject_ref, legal_hold_state, per_store_status, evidence_refs</w:t>
            </w:r>
          </w:p>
        </w:tc>
        <w:tc>
          <w:tcPr>
            <w:tcW w:type="dxa" w:w="3062"/>
            <w:vAlign w:val="center"/>
            <w:tcMar>
              <w:top w:w="70" w:type="dxa"/>
              <w:left w:w="80" w:type="dxa"/>
              <w:bottom w:w="70" w:type="dxa"/>
              <w:right w:w="80" w:type="dxa"/>
            </w:tcMar>
          </w:tcPr>
          <w:p>
            <w:r>
              <w:rPr>
                <w:sz w:val="16"/>
              </w:rPr>
              <w:t>one active job per subject/request</w:t>
            </w:r>
          </w:p>
        </w:tc>
        <w:tc>
          <w:tcPr>
            <w:tcW w:type="dxa" w:w="3062"/>
            <w:vAlign w:val="center"/>
            <w:tcMar>
              <w:top w:w="70" w:type="dxa"/>
              <w:left w:w="80" w:type="dxa"/>
              <w:bottom w:w="70" w:type="dxa"/>
              <w:right w:w="80" w:type="dxa"/>
            </w:tcMar>
          </w:tcPr>
          <w:p>
            <w:r>
              <w:rPr>
                <w:sz w:val="16"/>
              </w:rPr>
              <w:t>Completion only when every required store/provider proves outcome</w:t>
            </w:r>
          </w:p>
        </w:tc>
      </w:tr>
    </w:tbl>
    <w:p>
      <w:pPr>
        <w:pStyle w:val="Heading2"/>
      </w:pPr>
      <w:r>
        <w:t>E.2 Critical API command/query inventory</w:t>
      </w:r>
    </w:p>
    <w:tbl>
      <w:tblPr>
        <w:tblStyle w:val="TableGrid"/>
        <w:tblW w:type="dxa" w:w="15308"/>
        <w:tblLayout w:type="autofit"/>
        <w:tblLook w:firstColumn="1" w:firstRow="1" w:lastColumn="0" w:lastRow="0" w:noHBand="0" w:noVBand="1" w:val="04A0"/>
        <w:jc w:val="center"/>
      </w:tblPr>
      <w:tblGrid>
        <w:gridCol w:w="3827"/>
        <w:gridCol w:w="3827"/>
        <w:gridCol w:w="3827"/>
        <w:gridCol w:w="3827"/>
      </w:tblGrid>
      <w:tr>
        <w:trPr>
          <w:tblHeader w:val="true"/>
        </w:trPr>
        <w:tc>
          <w:tcPr>
            <w:tcW w:type="dxa" w:w="1631"/>
            <w:vAlign w:val="center"/>
          </w:tcPr>
          <w:p>
            <w:pPr>
              <w:spacing w:before="0" w:after="30"/>
            </w:pPr>
            <w:r>
              <w:rPr>
                <w:b/>
                <w:sz w:val="15"/>
              </w:rPr>
              <w:t>Domain / contract</w:t>
            </w:r>
          </w:p>
        </w:tc>
        <w:tc>
          <w:tcPr>
            <w:tcW w:type="dxa" w:w="3050"/>
            <w:vAlign w:val="center"/>
          </w:tcPr>
          <w:p>
            <w:pPr>
              <w:spacing w:before="0" w:after="30"/>
            </w:pPr>
            <w:r>
              <w:rPr>
                <w:b/>
                <w:sz w:val="15"/>
              </w:rPr>
              <w:t>Critical commands</w:t>
            </w:r>
          </w:p>
        </w:tc>
        <w:tc>
          <w:tcPr>
            <w:tcW w:type="dxa" w:w="2837"/>
            <w:vAlign w:val="center"/>
          </w:tcPr>
          <w:p>
            <w:pPr>
              <w:spacing w:before="0" w:after="30"/>
            </w:pPr>
            <w:r>
              <w:rPr>
                <w:b/>
                <w:sz w:val="15"/>
              </w:rPr>
              <w:t>Critical queries / read models</w:t>
            </w:r>
          </w:p>
        </w:tc>
        <w:tc>
          <w:tcPr>
            <w:tcW w:type="dxa" w:w="2837"/>
            <w:vAlign w:val="center"/>
          </w:tcPr>
          <w:p>
            <w:pPr>
              <w:spacing w:before="0" w:after="30"/>
            </w:pPr>
            <w:r>
              <w:rPr>
                <w:b/>
                <w:sz w:val="15"/>
              </w:rPr>
              <w:t>Notes</w:t>
            </w:r>
          </w:p>
        </w:tc>
      </w:tr>
      <w:tr>
        <w:tc>
          <w:tcPr>
            <w:tcW w:type="dxa" w:w="1631"/>
            <w:vAlign w:val="center"/>
          </w:tcPr>
          <w:p>
            <w:pPr>
              <w:spacing w:before="0" w:after="30"/>
            </w:pPr>
            <w:r>
              <w:rPr>
                <w:sz w:val="15"/>
              </w:rPr>
              <w:t>PLT-01 Tenancy</w:t>
            </w:r>
          </w:p>
        </w:tc>
        <w:tc>
          <w:tcPr>
            <w:tcW w:type="dxa" w:w="3050"/>
            <w:vAlign w:val="center"/>
          </w:tcPr>
          <w:p>
            <w:pPr>
              <w:spacing w:before="0" w:after="30"/>
            </w:pPr>
            <w:r>
              <w:rPr>
                <w:sz w:val="15"/>
              </w:rPr>
              <w:t>ProvisionTenant; SuspendTenant; RelocateTenant; OpenLocation</w:t>
            </w:r>
          </w:p>
        </w:tc>
        <w:tc>
          <w:tcPr>
            <w:tcW w:type="dxa" w:w="2837"/>
            <w:vAlign w:val="center"/>
          </w:tcPr>
          <w:p>
            <w:pPr>
              <w:spacing w:before="0" w:after="30"/>
            </w:pPr>
            <w:r>
              <w:rPr>
                <w:sz w:val="15"/>
              </w:rPr>
              <w:t>TenantPlacement; OrganizationHierarchy; LocationConfig</w:t>
            </w:r>
          </w:p>
        </w:tc>
        <w:tc>
          <w:tcPr>
            <w:tcW w:type="dxa" w:w="2837"/>
            <w:vAlign w:val="center"/>
          </w:tcPr>
          <w:p>
            <w:pPr>
              <w:spacing w:before="0" w:after="30"/>
            </w:pPr>
            <w:r>
              <w:rPr>
                <w:sz w:val="15"/>
              </w:rPr>
              <w:t>Control-plane placement is authoritative; product plane uses signed/current tenant scope.</w:t>
            </w:r>
          </w:p>
        </w:tc>
      </w:tr>
      <w:tr>
        <w:tc>
          <w:tcPr>
            <w:tcW w:type="dxa" w:w="1631"/>
            <w:vAlign w:val="center"/>
          </w:tcPr>
          <w:p>
            <w:pPr>
              <w:spacing w:before="0" w:after="30"/>
            </w:pPr>
            <w:r>
              <w:rPr>
                <w:sz w:val="15"/>
              </w:rPr>
              <w:t>IAM-03 Authorization</w:t>
            </w:r>
          </w:p>
        </w:tc>
        <w:tc>
          <w:tcPr>
            <w:tcW w:type="dxa" w:w="3050"/>
            <w:vAlign w:val="center"/>
          </w:tcPr>
          <w:p>
            <w:pPr>
              <w:spacing w:before="0" w:after="30"/>
            </w:pPr>
            <w:r>
              <w:rPr>
                <w:sz w:val="15"/>
              </w:rPr>
              <w:t>Authorize; RequestApproval; Approve/Reject; CreateSupportDelegation</w:t>
            </w:r>
          </w:p>
        </w:tc>
        <w:tc>
          <w:tcPr>
            <w:tcW w:type="dxa" w:w="2837"/>
            <w:vAlign w:val="center"/>
          </w:tcPr>
          <w:p>
            <w:pPr>
              <w:spacing w:before="0" w:after="30"/>
            </w:pPr>
            <w:r>
              <w:rPr>
                <w:sz w:val="15"/>
              </w:rPr>
              <w:t>EffectivePermissions; ApprovalStatus; DelegatedActorChain</w:t>
            </w:r>
          </w:p>
        </w:tc>
        <w:tc>
          <w:tcPr>
            <w:tcW w:type="dxa" w:w="2837"/>
            <w:vAlign w:val="center"/>
          </w:tcPr>
          <w:p>
            <w:pPr>
              <w:spacing w:before="0" w:after="30"/>
            </w:pPr>
            <w:r>
              <w:rPr>
                <w:sz w:val="15"/>
              </w:rPr>
              <w:t>Permission + scope + assurance + purpose are evaluated server-side.</w:t>
            </w:r>
          </w:p>
        </w:tc>
      </w:tr>
      <w:tr>
        <w:tc>
          <w:tcPr>
            <w:tcW w:type="dxa" w:w="1631"/>
            <w:vAlign w:val="center"/>
          </w:tcPr>
          <w:p>
            <w:pPr>
              <w:spacing w:before="0" w:after="30"/>
            </w:pPr>
            <w:r>
              <w:rPr>
                <w:sz w:val="15"/>
              </w:rPr>
              <w:t>COM-01 Membership / Entitlement</w:t>
            </w:r>
          </w:p>
        </w:tc>
        <w:tc>
          <w:tcPr>
            <w:tcW w:type="dxa" w:w="3050"/>
            <w:vAlign w:val="center"/>
          </w:tcPr>
          <w:p>
            <w:pPr>
              <w:spacing w:before="0" w:after="30"/>
            </w:pPr>
            <w:r>
              <w:rPr>
                <w:sz w:val="15"/>
              </w:rPr>
              <w:t>ActivateMembership; Freeze/Resume; Renew; Cancel; ReserveEntitlement; ConsumeEntitlement; ReleaseEntitlement</w:t>
            </w:r>
          </w:p>
        </w:tc>
        <w:tc>
          <w:tcPr>
            <w:tcW w:type="dxa" w:w="2837"/>
            <w:vAlign w:val="center"/>
          </w:tcPr>
          <w:p>
            <w:pPr>
              <w:spacing w:before="0" w:after="30"/>
            </w:pPr>
            <w:r>
              <w:rPr>
                <w:sz w:val="15"/>
              </w:rPr>
              <w:t>MembershipDetail; EntitlementAvailability; ReservationStatus</w:t>
            </w:r>
          </w:p>
        </w:tc>
        <w:tc>
          <w:tcPr>
            <w:tcW w:type="dxa" w:w="2837"/>
            <w:vAlign w:val="center"/>
          </w:tcPr>
          <w:p>
            <w:pPr>
              <w:spacing w:before="0" w:after="30"/>
            </w:pPr>
            <w:r>
              <w:rPr>
                <w:sz w:val="15"/>
              </w:rPr>
              <w:t>Optimistic versioning; finite grants use reserve/consume/release.</w:t>
            </w:r>
          </w:p>
        </w:tc>
      </w:tr>
      <w:tr>
        <w:tc>
          <w:tcPr>
            <w:tcW w:type="dxa" w:w="1631"/>
            <w:vAlign w:val="center"/>
          </w:tcPr>
          <w:p>
            <w:pPr>
              <w:spacing w:before="0" w:after="30"/>
            </w:pPr>
            <w:r>
              <w:rPr>
                <w:sz w:val="15"/>
              </w:rPr>
              <w:t>COM-03 Billing / Payments</w:t>
            </w:r>
          </w:p>
        </w:tc>
        <w:tc>
          <w:tcPr>
            <w:tcW w:type="dxa" w:w="3050"/>
            <w:vAlign w:val="center"/>
          </w:tcPr>
          <w:p>
            <w:pPr>
              <w:spacing w:before="0" w:after="30"/>
            </w:pPr>
            <w:r>
              <w:rPr>
                <w:sz w:val="15"/>
              </w:rPr>
              <w:t>IssueInvoice; CreatePaymentIntent; ApplyPayment; StartDunning; RefundPayment; FiscalizeDocument</w:t>
            </w:r>
          </w:p>
        </w:tc>
        <w:tc>
          <w:tcPr>
            <w:tcW w:type="dxa" w:w="2837"/>
            <w:vAlign w:val="center"/>
          </w:tcPr>
          <w:p>
            <w:pPr>
              <w:spacing w:before="0" w:after="30"/>
            </w:pPr>
            <w:r>
              <w:rPr>
                <w:sz w:val="15"/>
              </w:rPr>
              <w:t>BillingAccount; InvoiceDetail; PaymentState; FiscalStatus</w:t>
            </w:r>
          </w:p>
        </w:tc>
        <w:tc>
          <w:tcPr>
            <w:tcW w:type="dxa" w:w="2837"/>
            <w:vAlign w:val="center"/>
          </w:tcPr>
          <w:p>
            <w:pPr>
              <w:spacing w:before="0" w:after="30"/>
            </w:pPr>
            <w:r>
              <w:rPr>
                <w:sz w:val="15"/>
              </w:rPr>
              <w:t>Provider state is verified; financial idempotency and fiscal fail-closed rules apply.</w:t>
            </w:r>
          </w:p>
        </w:tc>
      </w:tr>
      <w:tr>
        <w:tc>
          <w:tcPr>
            <w:tcW w:type="dxa" w:w="1631"/>
            <w:vAlign w:val="center"/>
          </w:tcPr>
          <w:p>
            <w:pPr>
              <w:spacing w:before="0" w:after="30"/>
            </w:pPr>
            <w:r>
              <w:rPr>
                <w:sz w:val="15"/>
              </w:rPr>
              <w:t>COM-04 Ledger / Wallet</w:t>
            </w:r>
          </w:p>
        </w:tc>
        <w:tc>
          <w:tcPr>
            <w:tcW w:type="dxa" w:w="3050"/>
            <w:vAlign w:val="center"/>
          </w:tcPr>
          <w:p>
            <w:pPr>
              <w:spacing w:before="0" w:after="30"/>
            </w:pPr>
            <w:r>
              <w:rPr>
                <w:sz w:val="15"/>
              </w:rPr>
              <w:t>PostJournal; Credit/DebitWallet; ImportSettlement; Reconcile; PostRevenueRecognition</w:t>
            </w:r>
          </w:p>
        </w:tc>
        <w:tc>
          <w:tcPr>
            <w:tcW w:type="dxa" w:w="2837"/>
            <w:vAlign w:val="center"/>
          </w:tcPr>
          <w:p>
            <w:pPr>
              <w:spacing w:before="0" w:after="30"/>
            </w:pPr>
            <w:r>
              <w:rPr>
                <w:sz w:val="15"/>
              </w:rPr>
              <w:t>LedgerBalance; WalletStatement; ReconciliationCase; RevenueSchedule</w:t>
            </w:r>
          </w:p>
        </w:tc>
        <w:tc>
          <w:tcPr>
            <w:tcW w:type="dxa" w:w="2837"/>
            <w:vAlign w:val="center"/>
          </w:tcPr>
          <w:p>
            <w:pPr>
              <w:spacing w:before="0" w:after="30"/>
            </w:pPr>
            <w:r>
              <w:rPr>
                <w:sz w:val="15"/>
              </w:rPr>
              <w:t>Append-only double entry; corrections are new postings.</w:t>
            </w:r>
          </w:p>
        </w:tc>
      </w:tr>
      <w:tr>
        <w:tc>
          <w:tcPr>
            <w:tcW w:type="dxa" w:w="1631"/>
            <w:vAlign w:val="center"/>
          </w:tcPr>
          <w:p>
            <w:pPr>
              <w:spacing w:before="0" w:after="30"/>
            </w:pPr>
            <w:r>
              <w:rPr>
                <w:sz w:val="15"/>
              </w:rPr>
              <w:t>COM-05 POS / Orders</w:t>
            </w:r>
          </w:p>
        </w:tc>
        <w:tc>
          <w:tcPr>
            <w:tcW w:type="dxa" w:w="3050"/>
            <w:vAlign w:val="center"/>
          </w:tcPr>
          <w:p>
            <w:pPr>
              <w:spacing w:before="0" w:after="30"/>
            </w:pPr>
            <w:r>
              <w:rPr>
                <w:sz w:val="15"/>
              </w:rPr>
              <w:t>CreateCart; CompleteOrder; Open/CloseCashShift; ReturnOrder; FulfillOrder</w:t>
            </w:r>
          </w:p>
        </w:tc>
        <w:tc>
          <w:tcPr>
            <w:tcW w:type="dxa" w:w="2837"/>
            <w:vAlign w:val="center"/>
          </w:tcPr>
          <w:p>
            <w:pPr>
              <w:spacing w:before="0" w:after="30"/>
            </w:pPr>
            <w:r>
              <w:rPr>
                <w:sz w:val="15"/>
              </w:rPr>
              <w:t>POSCatalog; Cart; OrderDetail; Receipt; CashShiftSummary</w:t>
            </w:r>
          </w:p>
        </w:tc>
        <w:tc>
          <w:tcPr>
            <w:tcW w:type="dxa" w:w="2837"/>
            <w:vAlign w:val="center"/>
          </w:tcPr>
          <w:p>
            <w:pPr>
              <w:spacing w:before="0" w:after="30"/>
            </w:pPr>
            <w:r>
              <w:rPr>
                <w:sz w:val="15"/>
              </w:rPr>
              <w:t>Order, payment, fiscal and fulfillment states remain distinct.</w:t>
            </w:r>
          </w:p>
        </w:tc>
      </w:tr>
      <w:tr>
        <w:tc>
          <w:tcPr>
            <w:tcW w:type="dxa" w:w="1631"/>
            <w:vAlign w:val="center"/>
          </w:tcPr>
          <w:p>
            <w:pPr>
              <w:spacing w:before="0" w:after="30"/>
            </w:pPr>
            <w:r>
              <w:rPr>
                <w:sz w:val="15"/>
              </w:rPr>
              <w:t>OPS-02 Booking</w:t>
            </w:r>
          </w:p>
        </w:tc>
        <w:tc>
          <w:tcPr>
            <w:tcW w:type="dxa" w:w="3050"/>
            <w:vAlign w:val="center"/>
          </w:tcPr>
          <w:p>
            <w:pPr>
              <w:spacing w:before="0" w:after="30"/>
            </w:pPr>
            <w:r>
              <w:rPr>
                <w:sz w:val="15"/>
              </w:rPr>
              <w:t>CreateBooking; CancelBooking; JoinWaitlist; PromoteWaitlist; CheckInBooking</w:t>
            </w:r>
          </w:p>
        </w:tc>
        <w:tc>
          <w:tcPr>
            <w:tcW w:type="dxa" w:w="2837"/>
            <w:vAlign w:val="center"/>
          </w:tcPr>
          <w:p>
            <w:pPr>
              <w:spacing w:before="0" w:after="30"/>
            </w:pPr>
            <w:r>
              <w:rPr>
                <w:sz w:val="15"/>
              </w:rPr>
              <w:t>Availability; BookingDetail; WaitlistState</w:t>
            </w:r>
          </w:p>
        </w:tc>
        <w:tc>
          <w:tcPr>
            <w:tcW w:type="dxa" w:w="2837"/>
            <w:vAlign w:val="center"/>
          </w:tcPr>
          <w:p>
            <w:pPr>
              <w:spacing w:before="0" w:after="30"/>
            </w:pPr>
            <w:r>
              <w:rPr>
                <w:sz w:val="15"/>
              </w:rPr>
              <w:t>Capacity/eligibility/entitlement are revalidated at state transitions.</w:t>
            </w:r>
          </w:p>
        </w:tc>
      </w:tr>
      <w:tr>
        <w:tc>
          <w:tcPr>
            <w:tcW w:type="dxa" w:w="1631"/>
            <w:vAlign w:val="center"/>
          </w:tcPr>
          <w:p>
            <w:pPr>
              <w:spacing w:before="0" w:after="30"/>
            </w:pPr>
            <w:r>
              <w:rPr>
                <w:sz w:val="15"/>
              </w:rPr>
              <w:t>OPS-03 Access</w:t>
            </w:r>
          </w:p>
        </w:tc>
        <w:tc>
          <w:tcPr>
            <w:tcW w:type="dxa" w:w="3050"/>
            <w:vAlign w:val="center"/>
          </w:tcPr>
          <w:p>
            <w:pPr>
              <w:spacing w:before="0" w:after="30"/>
            </w:pPr>
            <w:r>
              <w:rPr>
                <w:sz w:val="15"/>
              </w:rPr>
              <w:t>EvaluateAccess; OverrideAccess; RevokeCredential; EmergencyUnlock</w:t>
            </w:r>
          </w:p>
        </w:tc>
        <w:tc>
          <w:tcPr>
            <w:tcW w:type="dxa" w:w="2837"/>
            <w:vAlign w:val="center"/>
          </w:tcPr>
          <w:p>
            <w:pPr>
              <w:spacing w:before="0" w:after="30"/>
            </w:pPr>
            <w:r>
              <w:rPr>
                <w:sz w:val="15"/>
              </w:rPr>
              <w:t>AccessDecision; CredentialStatus; EdgeSnapshotVersion; OccupancyAdvisory</w:t>
            </w:r>
          </w:p>
        </w:tc>
        <w:tc>
          <w:tcPr>
            <w:tcW w:type="dxa" w:w="2837"/>
            <w:vAlign w:val="center"/>
          </w:tcPr>
          <w:p>
            <w:pPr>
              <w:spacing w:before="0" w:after="30"/>
            </w:pPr>
            <w:r>
              <w:rPr>
                <w:sz w:val="15"/>
              </w:rPr>
              <w:t>Credential is identification only; authorization uses current/signed policy and life-safety rules.</w:t>
            </w:r>
          </w:p>
        </w:tc>
      </w:tr>
      <w:tr>
        <w:tc>
          <w:tcPr>
            <w:tcW w:type="dxa" w:w="1631"/>
            <w:vAlign w:val="center"/>
          </w:tcPr>
          <w:p>
            <w:pPr>
              <w:spacing w:before="0" w:after="30"/>
            </w:pPr>
            <w:r>
              <w:rPr>
                <w:sz w:val="15"/>
              </w:rPr>
              <w:t>COA-02/03 Coaching</w:t>
            </w:r>
          </w:p>
        </w:tc>
        <w:tc>
          <w:tcPr>
            <w:tcW w:type="dxa" w:w="3050"/>
            <w:vAlign w:val="center"/>
          </w:tcPr>
          <w:p>
            <w:pPr>
              <w:spacing w:before="0" w:after="30"/>
            </w:pPr>
            <w:r>
              <w:rPr>
                <w:sz w:val="15"/>
              </w:rPr>
              <w:t>AssignProgram; LogSet; CompleteWorkout; PublishNutritionPlan; SwapMeal; LogMeal</w:t>
            </w:r>
          </w:p>
        </w:tc>
        <w:tc>
          <w:tcPr>
            <w:tcW w:type="dxa" w:w="2837"/>
            <w:vAlign w:val="center"/>
          </w:tcPr>
          <w:p>
            <w:pPr>
              <w:spacing w:before="0" w:after="30"/>
            </w:pPr>
            <w:r>
              <w:rPr>
                <w:sz w:val="15"/>
              </w:rPr>
              <w:t>CoachToday; WorkoutExecution; NutritionToday; Adherence</w:t>
            </w:r>
          </w:p>
        </w:tc>
        <w:tc>
          <w:tcPr>
            <w:tcW w:type="dxa" w:w="2837"/>
            <w:vAlign w:val="center"/>
          </w:tcPr>
          <w:p>
            <w:pPr>
              <w:spacing w:before="0" w:after="30"/>
            </w:pPr>
            <w:r>
              <w:rPr>
                <w:sz w:val="15"/>
              </w:rPr>
              <w:t>Offline observations preserve idempotency/provenance; nutrition hard constraints fail closed.</w:t>
            </w:r>
          </w:p>
        </w:tc>
      </w:tr>
      <w:tr>
        <w:tc>
          <w:tcPr>
            <w:tcW w:type="dxa" w:w="1631"/>
            <w:vAlign w:val="center"/>
          </w:tcPr>
          <w:p>
            <w:pPr>
              <w:spacing w:before="0" w:after="30"/>
            </w:pPr>
            <w:r>
              <w:rPr>
                <w:sz w:val="15"/>
              </w:rPr>
              <w:t>SEC-01 Privacy</w:t>
            </w:r>
          </w:p>
        </w:tc>
        <w:tc>
          <w:tcPr>
            <w:tcW w:type="dxa" w:w="3050"/>
            <w:vAlign w:val="center"/>
          </w:tcPr>
          <w:p>
            <w:pPr>
              <w:spacing w:before="0" w:after="30"/>
            </w:pPr>
            <w:r>
              <w:rPr>
                <w:sz w:val="15"/>
              </w:rPr>
              <w:t>Grant/WithdrawConsent; SubmitDSAR; ExecuteDeletion; Place/ReleaseLegalHold</w:t>
            </w:r>
          </w:p>
        </w:tc>
        <w:tc>
          <w:tcPr>
            <w:tcW w:type="dxa" w:w="2837"/>
            <w:vAlign w:val="center"/>
          </w:tcPr>
          <w:p>
            <w:pPr>
              <w:spacing w:before="0" w:after="30"/>
            </w:pPr>
            <w:r>
              <w:rPr>
                <w:sz w:val="15"/>
              </w:rPr>
              <w:t>ConsentState; DSARStatus; DeletionJobStatus; RetentionPolicy</w:t>
            </w:r>
          </w:p>
        </w:tc>
        <w:tc>
          <w:tcPr>
            <w:tcW w:type="dxa" w:w="2837"/>
            <w:vAlign w:val="center"/>
          </w:tcPr>
          <w:p>
            <w:pPr>
              <w:spacing w:before="0" w:after="30"/>
            </w:pPr>
            <w:r>
              <w:rPr>
                <w:sz w:val="15"/>
              </w:rPr>
              <w:t>Deletion completion requires per-store evidence and legal-hold checks.</w:t>
            </w:r>
          </w:p>
        </w:tc>
      </w:tr>
    </w:tbl>
    <w:p>
      <w:pPr>
        <w:pStyle w:val="Heading1"/>
      </w:pPr>
      <w:r>
        <w:t>Appendix F. UX-to-API Contract Artifact</w:t>
      </w:r>
    </w:p>
    <w:p>
      <w:pPr>
        <w:pStyle w:val="Bullet1"/>
      </w:pPr>
      <w:r>
        <w:t>The approved Veyro V1 design/prototype owns the canonical Screen IDs. The implementation repository MUST materialize contracts/ui/screen-contracts.yaml directly from the canonical design-registry export and validate it against OpenAPI, AsyncAPI and the frontend route registry.</w:t>
      </w:r>
    </w:p>
    <w:p>
      <w:pPr>
        <w:pStyle w:val="Bullet1"/>
      </w:pPr>
      <w:r>
        <w:t>Mandatory fields: screen_id, surface, route, primary_read_model, queries[], commands[], realtime_channels[], permissions[], assurance, masking_variant, offline_mode, expected_error_codes[], empty/loading/error states and owner_domain.</w:t>
      </w:r>
    </w:p>
    <w:p>
      <w:pPr>
        <w:pStyle w:val="Bullet1"/>
      </w:pPr>
      <w:r>
        <w:t>Release gate: count(Screen IDs in the canonical design registry marked V1) == count(screen-contract manifest rows) == count(frontend route-registry V1 rows). Any mismatch is P1 and blocks feature freeze. This architecture document deliberately specifies the contract and gate instead of inventing Screen IDs not present in the source design artifact.</w:t>
      </w:r>
    </w:p>
    <w:p>
      <w:pPr>
        <w:pStyle w:val="Heading1"/>
      </w:pPr>
      <w:r>
        <w:t>Appendix G. Jordan External Validation References</w:t>
      </w:r>
    </w:p>
    <w:p>
      <w:pPr/>
      <w:r>
        <w:t>These references define external validation inputs, not self-certification. Current official specifications, legal interpretations and provider onboarding requirements must be revalidated at the named release gates.</w:t>
      </w:r>
    </w:p>
    <w:tbl>
      <w:tblPr>
        <w:tblStyle w:val="TableGrid"/>
        <w:tblW w:type="dxa" w:w="15308"/>
        <w:jc w:val="center"/>
        <w:tblLayout w:type="autofit"/>
        <w:tblLook w:firstColumn="1" w:firstRow="1" w:lastColumn="0" w:lastRow="0" w:noHBand="0" w:noVBand="1" w:val="04A0"/>
      </w:tblPr>
      <w:tblGrid>
        <w:gridCol w:w="3827"/>
        <w:gridCol w:w="3827"/>
        <w:gridCol w:w="3827"/>
        <w:gridCol w:w="3827"/>
      </w:tblGrid>
      <w:tr>
        <w:trPr>
          <w:tblHeader w:val="true"/>
        </w:trPr>
        <w:tc>
          <w:tcPr>
            <w:tcW w:type="dxa" w:w="3827"/>
            <w:vAlign w:val="center"/>
            <w:tcMar>
              <w:top w:w="70" w:type="dxa"/>
              <w:left w:w="80" w:type="dxa"/>
              <w:bottom w:w="70" w:type="dxa"/>
              <w:right w:w="80" w:type="dxa"/>
            </w:tcMar>
          </w:tcPr>
          <w:p>
            <w:r>
              <w:rPr>
                <w:b/>
                <w:sz w:val="16"/>
              </w:rPr>
              <w:t>Reference</w:t>
            </w:r>
          </w:p>
        </w:tc>
        <w:tc>
          <w:tcPr>
            <w:tcW w:type="dxa" w:w="3827"/>
            <w:vAlign w:val="center"/>
            <w:tcMar>
              <w:top w:w="70" w:type="dxa"/>
              <w:left w:w="80" w:type="dxa"/>
              <w:bottom w:w="70" w:type="dxa"/>
              <w:right w:w="80" w:type="dxa"/>
            </w:tcMar>
          </w:tcPr>
          <w:p>
            <w:r>
              <w:rPr>
                <w:b/>
                <w:sz w:val="16"/>
              </w:rPr>
              <w:t>Authority</w:t>
            </w:r>
          </w:p>
        </w:tc>
        <w:tc>
          <w:tcPr>
            <w:tcW w:type="dxa" w:w="3827"/>
            <w:vAlign w:val="center"/>
            <w:tcMar>
              <w:top w:w="70" w:type="dxa"/>
              <w:left w:w="80" w:type="dxa"/>
              <w:bottom w:w="70" w:type="dxa"/>
              <w:right w:w="80" w:type="dxa"/>
            </w:tcMar>
          </w:tcPr>
          <w:p>
            <w:r>
              <w:rPr>
                <w:b/>
                <w:sz w:val="16"/>
              </w:rPr>
              <w:t>URL</w:t>
            </w:r>
          </w:p>
        </w:tc>
        <w:tc>
          <w:tcPr>
            <w:tcW w:type="dxa" w:w="3827"/>
            <w:vAlign w:val="center"/>
            <w:tcMar>
              <w:top w:w="70" w:type="dxa"/>
              <w:left w:w="80" w:type="dxa"/>
              <w:bottom w:w="70" w:type="dxa"/>
              <w:right w:w="80" w:type="dxa"/>
            </w:tcMar>
          </w:tcPr>
          <w:p>
            <w:r>
              <w:rPr>
                <w:b/>
                <w:sz w:val="16"/>
              </w:rPr>
              <w:t>Architecture use</w:t>
            </w:r>
          </w:p>
        </w:tc>
      </w:tr>
      <w:tr>
        <w:tc>
          <w:tcPr>
            <w:tcW w:type="dxa" w:w="3827"/>
            <w:vAlign w:val="center"/>
            <w:tcMar>
              <w:top w:w="70" w:type="dxa"/>
              <w:left w:w="80" w:type="dxa"/>
              <w:bottom w:w="70" w:type="dxa"/>
              <w:right w:w="80" w:type="dxa"/>
            </w:tcMar>
          </w:tcPr>
          <w:p>
            <w:r>
              <w:rPr>
                <w:sz w:val="16"/>
              </w:rPr>
              <w:t>Jordan Personal Data Protection Law No. (24) of 2023</w:t>
            </w:r>
          </w:p>
        </w:tc>
        <w:tc>
          <w:tcPr>
            <w:tcW w:type="dxa" w:w="3827"/>
            <w:vAlign w:val="center"/>
            <w:tcMar>
              <w:top w:w="70" w:type="dxa"/>
              <w:left w:w="80" w:type="dxa"/>
              <w:bottom w:w="70" w:type="dxa"/>
              <w:right w:w="80" w:type="dxa"/>
            </w:tcMar>
          </w:tcPr>
          <w:p>
            <w:r>
              <w:rPr>
                <w:sz w:val="16"/>
              </w:rPr>
              <w:t>Ministry of Digital Economy and Entrepreneurship (MODEE)</w:t>
            </w:r>
          </w:p>
        </w:tc>
        <w:tc>
          <w:tcPr>
            <w:tcW w:type="dxa" w:w="3827"/>
            <w:vAlign w:val="center"/>
            <w:tcMar>
              <w:top w:w="70" w:type="dxa"/>
              <w:left w:w="80" w:type="dxa"/>
              <w:bottom w:w="70" w:type="dxa"/>
              <w:right w:w="80" w:type="dxa"/>
            </w:tcMar>
          </w:tcPr>
          <w:p>
            <w:r>
              <w:rPr>
                <w:sz w:val="16"/>
              </w:rPr>
              <w:t>https://www.modee.gov.jo/EN/Pages/Personal_Data_Protection_Unit</w:t>
            </w:r>
          </w:p>
        </w:tc>
        <w:tc>
          <w:tcPr>
            <w:tcW w:type="dxa" w:w="3827"/>
            <w:vAlign w:val="center"/>
            <w:tcMar>
              <w:top w:w="70" w:type="dxa"/>
              <w:left w:w="80" w:type="dxa"/>
              <w:bottom w:w="70" w:type="dxa"/>
              <w:right w:w="80" w:type="dxa"/>
            </w:tcMar>
          </w:tcPr>
          <w:p>
            <w:r>
              <w:rPr>
                <w:sz w:val="16"/>
              </w:rPr>
              <w:t>Law in force since 17 Mar 2024; current regulations/instructions must be checked at each release.</w:t>
            </w:r>
          </w:p>
        </w:tc>
      </w:tr>
      <w:tr>
        <w:tc>
          <w:tcPr>
            <w:tcW w:type="dxa" w:w="3827"/>
            <w:vAlign w:val="center"/>
            <w:tcMar>
              <w:top w:w="70" w:type="dxa"/>
              <w:left w:w="80" w:type="dxa"/>
              <w:bottom w:w="70" w:type="dxa"/>
              <w:right w:w="80" w:type="dxa"/>
            </w:tcMar>
          </w:tcPr>
          <w:p>
            <w:r>
              <w:rPr>
                <w:sz w:val="16"/>
              </w:rPr>
              <w:t>Jordan PDPL regulations/instructions and DPIA materials</w:t>
            </w:r>
          </w:p>
        </w:tc>
        <w:tc>
          <w:tcPr>
            <w:tcW w:type="dxa" w:w="3827"/>
            <w:vAlign w:val="center"/>
            <w:tcMar>
              <w:top w:w="70" w:type="dxa"/>
              <w:left w:w="80" w:type="dxa"/>
              <w:bottom w:w="70" w:type="dxa"/>
              <w:right w:w="80" w:type="dxa"/>
            </w:tcMar>
          </w:tcPr>
          <w:p>
            <w:r>
              <w:rPr>
                <w:sz w:val="16"/>
              </w:rPr>
              <w:t>MODEE Personal Data Protection Directorate</w:t>
            </w:r>
          </w:p>
        </w:tc>
        <w:tc>
          <w:tcPr>
            <w:tcW w:type="dxa" w:w="3827"/>
            <w:vAlign w:val="center"/>
            <w:tcMar>
              <w:top w:w="70" w:type="dxa"/>
              <w:left w:w="80" w:type="dxa"/>
              <w:bottom w:w="70" w:type="dxa"/>
              <w:right w:w="80" w:type="dxa"/>
            </w:tcMar>
          </w:tcPr>
          <w:p>
            <w:r>
              <w:rPr>
                <w:sz w:val="16"/>
              </w:rPr>
              <w:t>https://www.modee.gov.jo/EN/List/The_law_regulations_and_instructions</w:t>
            </w:r>
          </w:p>
        </w:tc>
        <w:tc>
          <w:tcPr>
            <w:tcW w:type="dxa" w:w="3827"/>
            <w:vAlign w:val="center"/>
            <w:tcMar>
              <w:top w:w="70" w:type="dxa"/>
              <w:left w:w="80" w:type="dxa"/>
              <w:bottom w:w="70" w:type="dxa"/>
              <w:right w:w="80" w:type="dxa"/>
            </w:tcMar>
          </w:tcPr>
          <w:p>
            <w:r>
              <w:rPr>
                <w:sz w:val="16"/>
              </w:rPr>
              <w:t>Foundation privacy/DPIA/DSAR operating baseline.</w:t>
            </w:r>
          </w:p>
        </w:tc>
      </w:tr>
      <w:tr>
        <w:tc>
          <w:tcPr>
            <w:tcW w:type="dxa" w:w="3827"/>
            <w:vAlign w:val="center"/>
            <w:tcMar>
              <w:top w:w="70" w:type="dxa"/>
              <w:left w:w="80" w:type="dxa"/>
              <w:bottom w:w="70" w:type="dxa"/>
              <w:right w:w="80" w:type="dxa"/>
            </w:tcMar>
          </w:tcPr>
          <w:p>
            <w:r>
              <w:rPr>
                <w:sz w:val="16"/>
              </w:rPr>
              <w:t>National Electronic Invoicing System manuals</w:t>
            </w:r>
          </w:p>
        </w:tc>
        <w:tc>
          <w:tcPr>
            <w:tcW w:type="dxa" w:w="3827"/>
            <w:vAlign w:val="center"/>
            <w:tcMar>
              <w:top w:w="70" w:type="dxa"/>
              <w:left w:w="80" w:type="dxa"/>
              <w:bottom w:w="70" w:type="dxa"/>
              <w:right w:w="80" w:type="dxa"/>
            </w:tcMar>
          </w:tcPr>
          <w:p>
            <w:r>
              <w:rPr>
                <w:sz w:val="16"/>
              </w:rPr>
              <w:t>Jordan Income and Sales Tax Department (ISTD)</w:t>
            </w:r>
          </w:p>
        </w:tc>
        <w:tc>
          <w:tcPr>
            <w:tcW w:type="dxa" w:w="3827"/>
            <w:vAlign w:val="center"/>
            <w:tcMar>
              <w:top w:w="70" w:type="dxa"/>
              <w:left w:w="80" w:type="dxa"/>
              <w:bottom w:w="70" w:type="dxa"/>
              <w:right w:w="80" w:type="dxa"/>
            </w:tcMar>
          </w:tcPr>
          <w:p>
            <w:r>
              <w:rPr>
                <w:sz w:val="16"/>
              </w:rPr>
              <w:t>https://istd.gov.jo/EN/List/Electronic_billing_User_Manual</w:t>
            </w:r>
          </w:p>
        </w:tc>
        <w:tc>
          <w:tcPr>
            <w:tcW w:type="dxa" w:w="3827"/>
            <w:vAlign w:val="center"/>
            <w:tcMar>
              <w:top w:w="70" w:type="dxa"/>
              <w:left w:w="80" w:type="dxa"/>
              <w:bottom w:w="70" w:type="dxa"/>
              <w:right w:w="80" w:type="dxa"/>
            </w:tcMar>
          </w:tcPr>
          <w:p>
            <w:r>
              <w:rPr>
                <w:sz w:val="16"/>
              </w:rPr>
              <w:t>Technical linking/issuing behavior must be certified against current manual.</w:t>
            </w:r>
          </w:p>
        </w:tc>
      </w:tr>
      <w:tr>
        <w:tc>
          <w:tcPr>
            <w:tcW w:type="dxa" w:w="3827"/>
            <w:vAlign w:val="center"/>
            <w:tcMar>
              <w:top w:w="70" w:type="dxa"/>
              <w:left w:w="80" w:type="dxa"/>
              <w:bottom w:w="70" w:type="dxa"/>
              <w:right w:w="80" w:type="dxa"/>
            </w:tcMar>
          </w:tcPr>
          <w:p>
            <w:r>
              <w:rPr>
                <w:sz w:val="16"/>
              </w:rPr>
              <w:t>Invoicing Regulation No. 34 of 2019 / current amendments</w:t>
            </w:r>
          </w:p>
        </w:tc>
        <w:tc>
          <w:tcPr>
            <w:tcW w:type="dxa" w:w="3827"/>
            <w:vAlign w:val="center"/>
            <w:tcMar>
              <w:top w:w="70" w:type="dxa"/>
              <w:left w:w="80" w:type="dxa"/>
              <w:bottom w:w="70" w:type="dxa"/>
              <w:right w:w="80" w:type="dxa"/>
            </w:tcMar>
          </w:tcPr>
          <w:p>
            <w:r>
              <w:rPr>
                <w:sz w:val="16"/>
              </w:rPr>
              <w:t>ISTD</w:t>
            </w:r>
          </w:p>
        </w:tc>
        <w:tc>
          <w:tcPr>
            <w:tcW w:type="dxa" w:w="3827"/>
            <w:vAlign w:val="center"/>
            <w:tcMar>
              <w:top w:w="70" w:type="dxa"/>
              <w:left w:w="80" w:type="dxa"/>
              <w:bottom w:w="70" w:type="dxa"/>
              <w:right w:w="80" w:type="dxa"/>
            </w:tcMar>
          </w:tcPr>
          <w:p>
            <w:r>
              <w:rPr>
                <w:sz w:val="16"/>
              </w:rPr>
              <w:t>https://istd.gov.jo/EBV4.0/Root_Storage/EN/Invoice/Regulation_for_Organizing_and_Controlling_Invoicing_Affairs_%2834%29_Of_2019.pdf</w:t>
            </w:r>
          </w:p>
        </w:tc>
        <w:tc>
          <w:tcPr>
            <w:tcW w:type="dxa" w:w="3827"/>
            <w:vAlign w:val="center"/>
            <w:tcMar>
              <w:top w:w="70" w:type="dxa"/>
              <w:left w:w="80" w:type="dxa"/>
              <w:bottom w:w="70" w:type="dxa"/>
              <w:right w:w="80" w:type="dxa"/>
            </w:tcMar>
          </w:tcPr>
          <w:p>
            <w:r>
              <w:rPr>
                <w:sz w:val="16"/>
              </w:rPr>
              <w:t>Invoice serial/date/content and e-invoice validity baseline; legal interpretation stays with qualified counsel/ISTD.</w:t>
            </w:r>
          </w:p>
        </w:tc>
      </w:tr>
      <w:tr>
        <w:tc>
          <w:tcPr>
            <w:tcW w:type="dxa" w:w="3827"/>
            <w:vAlign w:val="center"/>
            <w:tcMar>
              <w:top w:w="70" w:type="dxa"/>
              <w:left w:w="80" w:type="dxa"/>
              <w:bottom w:w="70" w:type="dxa"/>
              <w:right w:w="80" w:type="dxa"/>
            </w:tcMar>
          </w:tcPr>
          <w:p>
            <w:r>
              <w:rPr>
                <w:sz w:val="16"/>
              </w:rPr>
              <w:t>CliQ Instant Payment System</w:t>
            </w:r>
          </w:p>
        </w:tc>
        <w:tc>
          <w:tcPr>
            <w:tcW w:type="dxa" w:w="3827"/>
            <w:vAlign w:val="center"/>
            <w:tcMar>
              <w:top w:w="70" w:type="dxa"/>
              <w:left w:w="80" w:type="dxa"/>
              <w:bottom w:w="70" w:type="dxa"/>
              <w:right w:w="80" w:type="dxa"/>
            </w:tcMar>
          </w:tcPr>
          <w:p>
            <w:r>
              <w:rPr>
                <w:sz w:val="16"/>
              </w:rPr>
              <w:t>JoPACC</w:t>
            </w:r>
          </w:p>
        </w:tc>
        <w:tc>
          <w:tcPr>
            <w:tcW w:type="dxa" w:w="3827"/>
            <w:vAlign w:val="center"/>
            <w:tcMar>
              <w:top w:w="70" w:type="dxa"/>
              <w:left w:w="80" w:type="dxa"/>
              <w:bottom w:w="70" w:type="dxa"/>
              <w:right w:w="80" w:type="dxa"/>
            </w:tcMar>
          </w:tcPr>
          <w:p>
            <w:r>
              <w:rPr>
                <w:sz w:val="16"/>
              </w:rPr>
              <w:t>https://www.jopacc.com/</w:t>
            </w:r>
          </w:p>
        </w:tc>
        <w:tc>
          <w:tcPr>
            <w:tcW w:type="dxa" w:w="3827"/>
            <w:vAlign w:val="center"/>
            <w:tcMar>
              <w:top w:w="70" w:type="dxa"/>
              <w:left w:w="80" w:type="dxa"/>
              <w:bottom w:w="70" w:type="dxa"/>
              <w:right w:w="80" w:type="dxa"/>
            </w:tcMar>
          </w:tcPr>
          <w:p>
            <w:r>
              <w:rPr>
                <w:sz w:val="16"/>
              </w:rPr>
              <w:t>Use through an authorized bank/payment-partner integration; Veyro does not assume direct scheme participation.</w:t>
            </w:r>
          </w:p>
        </w:tc>
      </w:tr>
      <w:tr>
        <w:tc>
          <w:tcPr>
            <w:tcW w:type="dxa" w:w="3827"/>
            <w:vAlign w:val="center"/>
            <w:tcMar>
              <w:top w:w="70" w:type="dxa"/>
              <w:left w:w="80" w:type="dxa"/>
              <w:bottom w:w="70" w:type="dxa"/>
              <w:right w:w="80" w:type="dxa"/>
            </w:tcMar>
          </w:tcPr>
          <w:p>
            <w:r>
              <w:rPr>
                <w:sz w:val="16"/>
              </w:rPr>
              <w:t>eFAWATEERcom</w:t>
            </w:r>
          </w:p>
        </w:tc>
        <w:tc>
          <w:tcPr>
            <w:tcW w:type="dxa" w:w="3827"/>
            <w:vAlign w:val="center"/>
            <w:tcMar>
              <w:top w:w="70" w:type="dxa"/>
              <w:left w:w="80" w:type="dxa"/>
              <w:bottom w:w="70" w:type="dxa"/>
              <w:right w:w="80" w:type="dxa"/>
            </w:tcMar>
          </w:tcPr>
          <w:p>
            <w:r>
              <w:rPr>
                <w:sz w:val="16"/>
              </w:rPr>
              <w:t>Jordan bill payment ecosystem / ISTD references</w:t>
            </w:r>
          </w:p>
        </w:tc>
        <w:tc>
          <w:tcPr>
            <w:tcW w:type="dxa" w:w="3827"/>
            <w:vAlign w:val="center"/>
            <w:tcMar>
              <w:top w:w="70" w:type="dxa"/>
              <w:left w:w="80" w:type="dxa"/>
              <w:bottom w:w="70" w:type="dxa"/>
              <w:right w:w="80" w:type="dxa"/>
            </w:tcMar>
          </w:tcPr>
          <w:p>
            <w:r>
              <w:rPr>
                <w:sz w:val="16"/>
              </w:rPr>
              <w:t>https://istd.gov.jo/AR/Pages/%D8%A7%D9%84%D8%AF%D9%81%D8%B9_%D8%A7%D9%84%D8%A7%D9%84%D9%83%D8%AA%D8%B1%D9%88%D9%86%D9%8A___eFawateercom</w:t>
            </w:r>
          </w:p>
        </w:tc>
        <w:tc>
          <w:tcPr>
            <w:tcW w:type="dxa" w:w="3827"/>
            <w:vAlign w:val="center"/>
            <w:tcMar>
              <w:top w:w="70" w:type="dxa"/>
              <w:left w:w="80" w:type="dxa"/>
              <w:bottom w:w="70" w:type="dxa"/>
              <w:right w:w="80" w:type="dxa"/>
            </w:tcMar>
          </w:tcPr>
          <w:p>
            <w:r>
              <w:rPr>
                <w:sz w:val="16"/>
              </w:rPr>
              <w:t>Optional regional payment/bill-presentment adapter where commercial access applies.</w:t>
            </w:r>
          </w:p>
        </w:tc>
      </w:tr>
      <w:tr>
        <w:tc>
          <w:tcPr>
            <w:tcW w:type="dxa" w:w="3827"/>
            <w:vAlign w:val="center"/>
            <w:tcMar>
              <w:top w:w="70" w:type="dxa"/>
              <w:left w:w="80" w:type="dxa"/>
              <w:bottom w:w="70" w:type="dxa"/>
              <w:right w:w="80" w:type="dxa"/>
            </w:tcMar>
          </w:tcPr>
          <w:p>
            <w:r>
              <w:rPr>
                <w:sz w:val="16"/>
              </w:rPr>
              <w:t>AWS Middle East Regions</w:t>
            </w:r>
          </w:p>
        </w:tc>
        <w:tc>
          <w:tcPr>
            <w:tcW w:type="dxa" w:w="3827"/>
            <w:vAlign w:val="center"/>
            <w:tcMar>
              <w:top w:w="70" w:type="dxa"/>
              <w:left w:w="80" w:type="dxa"/>
              <w:bottom w:w="70" w:type="dxa"/>
              <w:right w:w="80" w:type="dxa"/>
            </w:tcMar>
          </w:tcPr>
          <w:p>
            <w:r>
              <w:rPr>
                <w:sz w:val="16"/>
              </w:rPr>
              <w:t>AWS Global Infrastructure</w:t>
            </w:r>
          </w:p>
        </w:tc>
        <w:tc>
          <w:tcPr>
            <w:tcW w:type="dxa" w:w="3827"/>
            <w:vAlign w:val="center"/>
            <w:tcMar>
              <w:top w:w="70" w:type="dxa"/>
              <w:left w:w="80" w:type="dxa"/>
              <w:bottom w:w="70" w:type="dxa"/>
              <w:right w:w="80" w:type="dxa"/>
            </w:tcMar>
          </w:tcPr>
          <w:p>
            <w:r>
              <w:rPr>
                <w:sz w:val="16"/>
              </w:rPr>
              <w:t>https://docs.aws.amazon.com/global-infrastructure/latest/regions/aws-regions.html</w:t>
            </w:r>
          </w:p>
        </w:tc>
        <w:tc>
          <w:tcPr>
            <w:tcW w:type="dxa" w:w="3827"/>
            <w:vAlign w:val="center"/>
            <w:tcMar>
              <w:top w:w="70" w:type="dxa"/>
              <w:left w:w="80" w:type="dxa"/>
              <w:bottom w:w="70" w:type="dxa"/>
              <w:right w:w="80" w:type="dxa"/>
            </w:tcMar>
          </w:tcPr>
          <w:p>
            <w:r>
              <w:rPr>
                <w:sz w:val="16"/>
              </w:rPr>
              <w:t>Reference regions: me-south-1 Bahrain and me-central-1 UAE; verify required service availability before provisioning.</w:t>
            </w:r>
          </w:p>
        </w:tc>
      </w:tr>
    </w:tbl>
    <w:p>
      <w:pPr>
        <w:pStyle w:val="Heading1"/>
      </w:pPr>
      <w:r>
        <w:t>Appendix H. Capacity, Cost and Extraction Triggers</w:t>
      </w:r>
    </w:p>
    <w:p>
      <w:pPr>
        <w:pStyle w:val="Bullet1"/>
      </w:pPr>
      <w:r>
        <w:t>The V1 event transport remains queue-based until sustained business-event throughput exceeds 1,000 events/s, a consumer requires long-horizon ordered replay that the S3 archive cannot meet operationally, or queue fan-out/operability becomes more expensive than a managed streaming service.</w:t>
      </w:r>
    </w:p>
    <w:p>
      <w:pPr>
        <w:pStyle w:val="Bullet1"/>
      </w:pPr>
      <w:r>
        <w:t>PostgreSQL FTS/pg_trgm remains the search implementation until measured p95 or corpus/permission-filtering cost exceeds the §22 SLO at 3× projected peak; search stays behind an interface so OpenSearch can be introduced without changing product contracts.</w:t>
      </w:r>
    </w:p>
    <w:p>
      <w:pPr>
        <w:pStyle w:val="Bullet1"/>
      </w:pPr>
      <w:r>
        <w:t>A business domain is extracted from the modular monolith only when it independently needs stronger SLO/scale/isolation, has stable API/event contracts, and extraction removes more operational risk than it adds. Access decision is the first likely extraction because edge-local SLO differs from general product APIs.</w:t>
      </w:r>
    </w:p>
    <w:p>
      <w:pPr>
        <w:pStyle w:val="Heading1"/>
      </w:pPr>
      <w:r>
        <w:t>Appendix I. Domain Invariant Registry</w:t>
      </w:r>
    </w:p>
    <w:p>
      <w:r>
        <w:t>INV-&lt;DOMAIN&gt; is a resolvable invariant-test artifact, not a placeholder. Each ID below binds the domain Critical Controls to property/invariant tests in §27 and to the domain command/state-transition contract in §10. A requirement trace may cite INV-&lt;DOMAIN&gt; only when its implementation/test proves the relevant invariant set below.</w:t>
      </w:r>
    </w:p>
    <w:tbl>
      <w:tblPr>
        <w:tblStyle w:val="TableGrid"/>
        <w:tblW w:type="dxa" w:w="15308"/>
        <w:tblLayout w:type="autofit"/>
        <w:tblLook w:firstColumn="1" w:firstRow="1" w:lastColumn="0" w:lastRow="0" w:noHBand="0" w:noVBand="1" w:val="04A0"/>
        <w:jc w:val="center"/>
      </w:tblPr>
      <w:tblGrid>
        <w:gridCol w:w="3827"/>
        <w:gridCol w:w="3827"/>
        <w:gridCol w:w="3827"/>
        <w:gridCol w:w="3827"/>
      </w:tblGrid>
      <w:tr>
        <w:trPr>
          <w:tblHeader w:val="true"/>
        </w:trPr>
        <w:tc>
          <w:tcPr>
            <w:tcW w:type="dxa" w:w="1277"/>
            <w:vAlign w:val="center"/>
          </w:tcPr>
          <w:p>
            <w:pPr>
              <w:spacing w:before="0" w:after="30"/>
            </w:pPr>
            <w:r>
              <w:rPr>
                <w:b/>
                <w:sz w:val="14"/>
              </w:rPr>
              <w:t>Invariant ID</w:t>
            </w:r>
          </w:p>
        </w:tc>
        <w:tc>
          <w:tcPr>
            <w:tcW w:type="dxa" w:w="2553"/>
            <w:vAlign w:val="center"/>
          </w:tcPr>
          <w:p>
            <w:pPr>
              <w:spacing w:before="0" w:after="30"/>
            </w:pPr>
            <w:r>
              <w:rPr>
                <w:b/>
                <w:sz w:val="14"/>
              </w:rPr>
              <w:t>Domain</w:t>
            </w:r>
          </w:p>
        </w:tc>
        <w:tc>
          <w:tcPr>
            <w:tcW w:type="dxa" w:w="4256"/>
            <w:vAlign w:val="center"/>
          </w:tcPr>
          <w:p>
            <w:pPr>
              <w:spacing w:before="0" w:after="30"/>
            </w:pPr>
            <w:r>
              <w:rPr>
                <w:b/>
                <w:sz w:val="14"/>
              </w:rPr>
              <w:t>Canonical invariant set</w:t>
            </w:r>
          </w:p>
        </w:tc>
        <w:tc>
          <w:tcPr>
            <w:tcW w:type="dxa" w:w="2979"/>
            <w:vAlign w:val="center"/>
          </w:tcPr>
          <w:p>
            <w:pPr>
              <w:spacing w:before="0" w:after="30"/>
            </w:pPr>
            <w:r>
              <w:rPr>
                <w:b/>
                <w:sz w:val="14"/>
              </w:rPr>
              <w:t>Test / enforcement anchor</w:t>
            </w:r>
          </w:p>
        </w:tc>
      </w:tr>
      <w:tr>
        <w:tc>
          <w:tcPr>
            <w:tcW w:type="dxa" w:w="1277"/>
            <w:vAlign w:val="center"/>
          </w:tcPr>
          <w:p>
            <w:pPr>
              <w:spacing w:before="0" w:after="30"/>
            </w:pPr>
            <w:r>
              <w:rPr>
                <w:sz w:val="14"/>
              </w:rPr>
              <w:t>INV-PLT-01</w:t>
            </w:r>
          </w:p>
        </w:tc>
        <w:tc>
          <w:tcPr>
            <w:tcW w:type="dxa" w:w="2553"/>
            <w:vAlign w:val="center"/>
          </w:tcPr>
          <w:p>
            <w:pPr>
              <w:spacing w:before="0" w:after="30"/>
            </w:pPr>
            <w:r>
              <w:rPr>
                <w:sz w:val="14"/>
              </w:rPr>
              <w:t>PLT-01 - Tenant, Organization, Brand &amp; Location Management</w:t>
            </w:r>
          </w:p>
        </w:tc>
        <w:tc>
          <w:tcPr>
            <w:tcW w:type="dxa" w:w="4256"/>
            <w:vAlign w:val="center"/>
          </w:tcPr>
          <w:p>
            <w:pPr>
              <w:spacing w:before="0" w:after="30"/>
            </w:pPr>
            <w:r>
              <w:rPr>
                <w:sz w:val="14"/>
              </w:rPr>
              <w:t>No cross-tenant query, cache, file, event or search result is permitted. Destructive lifecycle actions require approvals, retention checks and an immutable audit record.</w:t>
            </w:r>
          </w:p>
        </w:tc>
        <w:tc>
          <w:tcPr>
            <w:tcW w:type="dxa" w:w="2979"/>
            <w:vAlign w:val="center"/>
          </w:tcPr>
          <w:p>
            <w:pPr>
              <w:spacing w:before="0" w:after="30"/>
            </w:pPr>
            <w:r>
              <w:rPr>
                <w:sz w:val="14"/>
              </w:rPr>
              <w:t>§10 PLT-01 Critical Controls + command/state transitions; §27 property/invariant tests; RB-PLT-01 recovery evidence; requirement-specific API/event contract tests.</w:t>
            </w:r>
          </w:p>
        </w:tc>
      </w:tr>
      <w:tr>
        <w:tc>
          <w:tcPr>
            <w:tcW w:type="dxa" w:w="1277"/>
            <w:vAlign w:val="center"/>
          </w:tcPr>
          <w:p>
            <w:pPr>
              <w:spacing w:before="0" w:after="30"/>
            </w:pPr>
            <w:r>
              <w:rPr>
                <w:sz w:val="14"/>
              </w:rPr>
              <w:t>INV-PLT-02</w:t>
            </w:r>
          </w:p>
        </w:tc>
        <w:tc>
          <w:tcPr>
            <w:tcW w:type="dxa" w:w="2553"/>
            <w:vAlign w:val="center"/>
          </w:tcPr>
          <w:p>
            <w:pPr>
              <w:spacing w:before="0" w:after="30"/>
            </w:pPr>
            <w:r>
              <w:rPr>
                <w:sz w:val="14"/>
              </w:rPr>
              <w:t>PLT-02 - Configuration, Feature Flags &amp; Experimentation</w:t>
            </w:r>
          </w:p>
        </w:tc>
        <w:tc>
          <w:tcPr>
            <w:tcW w:type="dxa" w:w="4256"/>
            <w:vAlign w:val="center"/>
          </w:tcPr>
          <w:p>
            <w:pPr>
              <w:spacing w:before="0" w:after="30"/>
            </w:pPr>
            <w:r>
              <w:rPr>
                <w:sz w:val="14"/>
              </w:rPr>
              <w:t>Financial, security and access-control flags require owner approval and change windows. Every evaluation remains tenant-safe and every change is reversible.</w:t>
            </w:r>
          </w:p>
        </w:tc>
        <w:tc>
          <w:tcPr>
            <w:tcW w:type="dxa" w:w="2979"/>
            <w:vAlign w:val="center"/>
          </w:tcPr>
          <w:p>
            <w:pPr>
              <w:spacing w:before="0" w:after="30"/>
            </w:pPr>
            <w:r>
              <w:rPr>
                <w:sz w:val="14"/>
              </w:rPr>
              <w:t>§10 PLT-02 Critical Controls + command/state transitions; §27 property/invariant tests; RB-PLT-02 recovery evidence; requirement-specific API/event contract tests.</w:t>
            </w:r>
          </w:p>
        </w:tc>
      </w:tr>
      <w:tr>
        <w:tc>
          <w:tcPr>
            <w:tcW w:type="dxa" w:w="1277"/>
            <w:vAlign w:val="center"/>
          </w:tcPr>
          <w:p>
            <w:pPr>
              <w:spacing w:before="0" w:after="30"/>
            </w:pPr>
            <w:r>
              <w:rPr>
                <w:sz w:val="14"/>
              </w:rPr>
              <w:t>INV-PLT-03</w:t>
            </w:r>
          </w:p>
        </w:tc>
        <w:tc>
          <w:tcPr>
            <w:tcW w:type="dxa" w:w="2553"/>
            <w:vAlign w:val="center"/>
          </w:tcPr>
          <w:p>
            <w:pPr>
              <w:spacing w:before="0" w:after="30"/>
            </w:pPr>
            <w:r>
              <w:rPr>
                <w:sz w:val="14"/>
              </w:rPr>
              <w:t>PLT-03 - SaaS Plans, Subscription Billing, Metering &amp; Entitlements</w:t>
            </w:r>
          </w:p>
        </w:tc>
        <w:tc>
          <w:tcPr>
            <w:tcW w:type="dxa" w:w="4256"/>
            <w:vAlign w:val="center"/>
          </w:tcPr>
          <w:p>
            <w:pPr>
              <w:spacing w:before="0" w:after="30"/>
            </w:pPr>
            <w:r>
              <w:rPr>
                <w:sz w:val="14"/>
              </w:rPr>
              <w:t>Metering records are idempotent, attributable and auditable. A plan change may never silently remove operationally critical tenant data.</w:t>
            </w:r>
          </w:p>
        </w:tc>
        <w:tc>
          <w:tcPr>
            <w:tcW w:type="dxa" w:w="2979"/>
            <w:vAlign w:val="center"/>
          </w:tcPr>
          <w:p>
            <w:pPr>
              <w:spacing w:before="0" w:after="30"/>
            </w:pPr>
            <w:r>
              <w:rPr>
                <w:sz w:val="14"/>
              </w:rPr>
              <w:t>§10 PLT-03 Critical Controls + command/state transitions; §27 property/invariant tests; RB-PLT-03 recovery evidence; requirement-specific API/event contract tests.</w:t>
            </w:r>
          </w:p>
        </w:tc>
      </w:tr>
      <w:tr>
        <w:tc>
          <w:tcPr>
            <w:tcW w:type="dxa" w:w="1277"/>
            <w:vAlign w:val="center"/>
          </w:tcPr>
          <w:p>
            <w:pPr>
              <w:spacing w:before="0" w:after="30"/>
            </w:pPr>
            <w:r>
              <w:rPr>
                <w:sz w:val="14"/>
              </w:rPr>
              <w:t>INV-PLT-04</w:t>
            </w:r>
          </w:p>
        </w:tc>
        <w:tc>
          <w:tcPr>
            <w:tcW w:type="dxa" w:w="2553"/>
            <w:vAlign w:val="center"/>
          </w:tcPr>
          <w:p>
            <w:pPr>
              <w:spacing w:before="0" w:after="30"/>
            </w:pPr>
            <w:r>
              <w:rPr>
                <w:sz w:val="14"/>
              </w:rPr>
              <w:t>PLT-04 - Internal Administration, Support &amp; Customer Success</w:t>
            </w:r>
          </w:p>
        </w:tc>
        <w:tc>
          <w:tcPr>
            <w:tcW w:type="dxa" w:w="4256"/>
            <w:vAlign w:val="center"/>
          </w:tcPr>
          <w:p>
            <w:pPr>
              <w:spacing w:before="0" w:after="30"/>
            </w:pPr>
            <w:r>
              <w:rPr>
                <w:sz w:val="14"/>
              </w:rPr>
              <w:t>Support staff never receive standing access to customer data. Sensitive actions require explicit tenant consent or documented emergency procedure.</w:t>
            </w:r>
          </w:p>
        </w:tc>
        <w:tc>
          <w:tcPr>
            <w:tcW w:type="dxa" w:w="2979"/>
            <w:vAlign w:val="center"/>
          </w:tcPr>
          <w:p>
            <w:pPr>
              <w:spacing w:before="0" w:after="30"/>
            </w:pPr>
            <w:r>
              <w:rPr>
                <w:sz w:val="14"/>
              </w:rPr>
              <w:t>§10 PLT-04 Critical Controls + command/state transitions; §27 property/invariant tests; RB-PLT-04 recovery evidence; requirement-specific API/event contract tests.</w:t>
            </w:r>
          </w:p>
        </w:tc>
      </w:tr>
      <w:tr>
        <w:tc>
          <w:tcPr>
            <w:tcW w:type="dxa" w:w="1277"/>
            <w:vAlign w:val="center"/>
          </w:tcPr>
          <w:p>
            <w:pPr>
              <w:spacing w:before="0" w:after="30"/>
            </w:pPr>
            <w:r>
              <w:rPr>
                <w:sz w:val="14"/>
              </w:rPr>
              <w:t>INV-IAM-01</w:t>
            </w:r>
          </w:p>
        </w:tc>
        <w:tc>
          <w:tcPr>
            <w:tcW w:type="dxa" w:w="2553"/>
            <w:vAlign w:val="center"/>
          </w:tcPr>
          <w:p>
            <w:pPr>
              <w:spacing w:before="0" w:after="30"/>
            </w:pPr>
            <w:r>
              <w:rPr>
                <w:sz w:val="14"/>
              </w:rPr>
              <w:t>IAM-01 - Identity, Authentication, Passkeys &amp; Device Sessions</w:t>
            </w:r>
          </w:p>
        </w:tc>
        <w:tc>
          <w:tcPr>
            <w:tcW w:type="dxa" w:w="4256"/>
            <w:vAlign w:val="center"/>
          </w:tcPr>
          <w:p>
            <w:pPr>
              <w:spacing w:before="0" w:after="30"/>
            </w:pPr>
            <w:r>
              <w:rPr>
                <w:sz w:val="14"/>
              </w:rPr>
              <w:t>Biometric templates from Apple Face ID/Touch ID never leave the user device. Recovery and support procedures cannot bypass tenant authorization without exceptional audit.</w:t>
            </w:r>
          </w:p>
        </w:tc>
        <w:tc>
          <w:tcPr>
            <w:tcW w:type="dxa" w:w="2979"/>
            <w:vAlign w:val="center"/>
          </w:tcPr>
          <w:p>
            <w:pPr>
              <w:spacing w:before="0" w:after="30"/>
            </w:pPr>
            <w:r>
              <w:rPr>
                <w:sz w:val="14"/>
              </w:rPr>
              <w:t>§10 IAM-01 Critical Controls + command/state transitions; §27 property/invariant tests; RB-IAM-01 recovery evidence; requirement-specific API/event contract tests.</w:t>
            </w:r>
          </w:p>
        </w:tc>
      </w:tr>
      <w:tr>
        <w:tc>
          <w:tcPr>
            <w:tcW w:type="dxa" w:w="1277"/>
            <w:vAlign w:val="center"/>
          </w:tcPr>
          <w:p>
            <w:pPr>
              <w:spacing w:before="0" w:after="30"/>
            </w:pPr>
            <w:r>
              <w:rPr>
                <w:sz w:val="14"/>
              </w:rPr>
              <w:t>INV-IAM-02</w:t>
            </w:r>
          </w:p>
        </w:tc>
        <w:tc>
          <w:tcPr>
            <w:tcW w:type="dxa" w:w="2553"/>
            <w:vAlign w:val="center"/>
          </w:tcPr>
          <w:p>
            <w:pPr>
              <w:spacing w:before="0" w:after="30"/>
            </w:pPr>
            <w:r>
              <w:rPr>
                <w:sz w:val="14"/>
              </w:rPr>
              <w:t>IAM-02 - Biometric Identity &amp; Physical Access Methods</w:t>
            </w:r>
          </w:p>
        </w:tc>
        <w:tc>
          <w:tcPr>
            <w:tcW w:type="dxa" w:w="4256"/>
            <w:vAlign w:val="center"/>
          </w:tcPr>
          <w:p>
            <w:pPr>
              <w:spacing w:before="0" w:after="30"/>
            </w:pPr>
            <w:r>
              <w:rPr>
                <w:sz w:val="14"/>
              </w:rPr>
              <w:t>Biometric access is opt-in and never the only access method. Raw enrollment imagery is minimized and deleted according to documented policy.</w:t>
            </w:r>
          </w:p>
        </w:tc>
        <w:tc>
          <w:tcPr>
            <w:tcW w:type="dxa" w:w="2979"/>
            <w:vAlign w:val="center"/>
          </w:tcPr>
          <w:p>
            <w:pPr>
              <w:spacing w:before="0" w:after="30"/>
            </w:pPr>
            <w:r>
              <w:rPr>
                <w:sz w:val="14"/>
              </w:rPr>
              <w:t>§10 IAM-02 Critical Controls + command/state transitions; §27 property/invariant tests; RB-IAM-02 recovery evidence; requirement-specific API/event contract tests.</w:t>
            </w:r>
          </w:p>
        </w:tc>
      </w:tr>
      <w:tr>
        <w:tc>
          <w:tcPr>
            <w:tcW w:type="dxa" w:w="1277"/>
            <w:vAlign w:val="center"/>
          </w:tcPr>
          <w:p>
            <w:pPr>
              <w:spacing w:before="0" w:after="30"/>
            </w:pPr>
            <w:r>
              <w:rPr>
                <w:sz w:val="14"/>
              </w:rPr>
              <w:t>INV-IAM-03</w:t>
            </w:r>
          </w:p>
        </w:tc>
        <w:tc>
          <w:tcPr>
            <w:tcW w:type="dxa" w:w="2553"/>
            <w:vAlign w:val="center"/>
          </w:tcPr>
          <w:p>
            <w:pPr>
              <w:spacing w:before="0" w:after="30"/>
            </w:pPr>
            <w:r>
              <w:rPr>
                <w:sz w:val="14"/>
              </w:rPr>
              <w:t>IAM-03 - Authorization, Roles, Permissions, Approvals &amp; Audit</w:t>
            </w:r>
          </w:p>
        </w:tc>
        <w:tc>
          <w:tcPr>
            <w:tcW w:type="dxa" w:w="4256"/>
            <w:vAlign w:val="center"/>
          </w:tcPr>
          <w:p>
            <w:pPr>
              <w:spacing w:before="0" w:after="30"/>
            </w:pPr>
            <w:r>
              <w:rPr>
                <w:sz w:val="14"/>
              </w:rPr>
              <w:t>Default deny and least privilege are mandatory. Audit records are write-once, integrity-protected and retention-controlled.</w:t>
            </w:r>
          </w:p>
        </w:tc>
        <w:tc>
          <w:tcPr>
            <w:tcW w:type="dxa" w:w="2979"/>
            <w:vAlign w:val="center"/>
          </w:tcPr>
          <w:p>
            <w:pPr>
              <w:spacing w:before="0" w:after="30"/>
            </w:pPr>
            <w:r>
              <w:rPr>
                <w:sz w:val="14"/>
              </w:rPr>
              <w:t>§10 IAM-03 Critical Controls + command/state transitions; §27 property/invariant tests; RB-IAM-03 recovery evidence; requirement-specific API/event contract tests.</w:t>
            </w:r>
          </w:p>
        </w:tc>
      </w:tr>
      <w:tr>
        <w:tc>
          <w:tcPr>
            <w:tcW w:type="dxa" w:w="1277"/>
            <w:vAlign w:val="center"/>
          </w:tcPr>
          <w:p>
            <w:pPr>
              <w:spacing w:before="0" w:after="30"/>
            </w:pPr>
            <w:r>
              <w:rPr>
                <w:sz w:val="14"/>
              </w:rPr>
              <w:t>INV-PPL-01</w:t>
            </w:r>
          </w:p>
        </w:tc>
        <w:tc>
          <w:tcPr>
            <w:tcW w:type="dxa" w:w="2553"/>
            <w:vAlign w:val="center"/>
          </w:tcPr>
          <w:p>
            <w:pPr>
              <w:spacing w:before="0" w:after="30"/>
            </w:pPr>
            <w:r>
              <w:rPr>
                <w:sz w:val="14"/>
              </w:rPr>
              <w:t>PPL-01 - People, Profiles &amp; Member 360</w:t>
            </w:r>
          </w:p>
        </w:tc>
        <w:tc>
          <w:tcPr>
            <w:tcW w:type="dxa" w:w="4256"/>
            <w:vAlign w:val="center"/>
          </w:tcPr>
          <w:p>
            <w:pPr>
              <w:spacing w:before="0" w:after="30"/>
            </w:pPr>
            <w:r>
              <w:rPr>
                <w:sz w:val="14"/>
              </w:rPr>
              <w:t>Each data attribute has one authoritative owner and defined visibility. Merges are reviewable, reversible where feasible and fully audited.</w:t>
            </w:r>
          </w:p>
        </w:tc>
        <w:tc>
          <w:tcPr>
            <w:tcW w:type="dxa" w:w="2979"/>
            <w:vAlign w:val="center"/>
          </w:tcPr>
          <w:p>
            <w:pPr>
              <w:spacing w:before="0" w:after="30"/>
            </w:pPr>
            <w:r>
              <w:rPr>
                <w:sz w:val="14"/>
              </w:rPr>
              <w:t>§10 PPL-01 Critical Controls + command/state transitions; §27 property/invariant tests; RB-PPL-01 recovery evidence; requirement-specific API/event contract tests.</w:t>
            </w:r>
          </w:p>
        </w:tc>
      </w:tr>
      <w:tr>
        <w:tc>
          <w:tcPr>
            <w:tcW w:type="dxa" w:w="1277"/>
            <w:vAlign w:val="center"/>
          </w:tcPr>
          <w:p>
            <w:pPr>
              <w:spacing w:before="0" w:after="30"/>
            </w:pPr>
            <w:r>
              <w:rPr>
                <w:sz w:val="14"/>
              </w:rPr>
              <w:t>INV-PPL-02</w:t>
            </w:r>
          </w:p>
        </w:tc>
        <w:tc>
          <w:tcPr>
            <w:tcW w:type="dxa" w:w="2553"/>
            <w:vAlign w:val="center"/>
          </w:tcPr>
          <w:p>
            <w:pPr>
              <w:spacing w:before="0" w:after="30"/>
            </w:pPr>
            <w:r>
              <w:rPr>
                <w:sz w:val="14"/>
              </w:rPr>
              <w:t>PPL-02 - Households, Dependents, Guests &amp; Eligibility</w:t>
            </w:r>
          </w:p>
        </w:tc>
        <w:tc>
          <w:tcPr>
            <w:tcW w:type="dxa" w:w="4256"/>
            <w:vAlign w:val="center"/>
          </w:tcPr>
          <w:p>
            <w:pPr>
              <w:spacing w:before="0" w:after="30"/>
            </w:pPr>
            <w:r>
              <w:rPr>
                <w:sz w:val="14"/>
              </w:rPr>
              <w:t>Guardianship and consent must be validated before exposing minor data. Temporary access expires automatically and cannot silently become permanent.</w:t>
            </w:r>
          </w:p>
        </w:tc>
        <w:tc>
          <w:tcPr>
            <w:tcW w:type="dxa" w:w="2979"/>
            <w:vAlign w:val="center"/>
          </w:tcPr>
          <w:p>
            <w:pPr>
              <w:spacing w:before="0" w:after="30"/>
            </w:pPr>
            <w:r>
              <w:rPr>
                <w:sz w:val="14"/>
              </w:rPr>
              <w:t>§10 PPL-02 Critical Controls + command/state transitions; §27 property/invariant tests; RB-PPL-02 recovery evidence; requirement-specific API/event contract tests.</w:t>
            </w:r>
          </w:p>
        </w:tc>
      </w:tr>
      <w:tr>
        <w:tc>
          <w:tcPr>
            <w:tcW w:type="dxa" w:w="1277"/>
            <w:vAlign w:val="center"/>
          </w:tcPr>
          <w:p>
            <w:pPr>
              <w:spacing w:before="0" w:after="30"/>
            </w:pPr>
            <w:r>
              <w:rPr>
                <w:sz w:val="14"/>
              </w:rPr>
              <w:t>INV-GRO-01</w:t>
            </w:r>
          </w:p>
        </w:tc>
        <w:tc>
          <w:tcPr>
            <w:tcW w:type="dxa" w:w="2553"/>
            <w:vAlign w:val="center"/>
          </w:tcPr>
          <w:p>
            <w:pPr>
              <w:spacing w:before="0" w:after="30"/>
            </w:pPr>
            <w:r>
              <w:rPr>
                <w:sz w:val="14"/>
              </w:rPr>
              <w:t>GRO-01 - CRM, Leads, Sales Pipeline &amp; Trials</w:t>
            </w:r>
          </w:p>
        </w:tc>
        <w:tc>
          <w:tcPr>
            <w:tcW w:type="dxa" w:w="4256"/>
            <w:vAlign w:val="center"/>
          </w:tcPr>
          <w:p>
            <w:pPr>
              <w:spacing w:before="0" w:after="30"/>
            </w:pPr>
            <w:r>
              <w:rPr>
                <w:sz w:val="14"/>
              </w:rPr>
              <w:t>Marketing consent and channel opt-in are evaluated before outreach. Automated scoring informs prioritization but never hides leads from authorized review.</w:t>
            </w:r>
          </w:p>
        </w:tc>
        <w:tc>
          <w:tcPr>
            <w:tcW w:type="dxa" w:w="2979"/>
            <w:vAlign w:val="center"/>
          </w:tcPr>
          <w:p>
            <w:pPr>
              <w:spacing w:before="0" w:after="30"/>
            </w:pPr>
            <w:r>
              <w:rPr>
                <w:sz w:val="14"/>
              </w:rPr>
              <w:t>§10 GRO-01 Critical Controls + command/state transitions; §27 property/invariant tests; RB-GRO-01 recovery evidence; requirement-specific API/event contract tests.</w:t>
            </w:r>
          </w:p>
        </w:tc>
      </w:tr>
      <w:tr>
        <w:tc>
          <w:tcPr>
            <w:tcW w:type="dxa" w:w="1277"/>
            <w:vAlign w:val="center"/>
          </w:tcPr>
          <w:p>
            <w:pPr>
              <w:spacing w:before="0" w:after="30"/>
            </w:pPr>
            <w:r>
              <w:rPr>
                <w:sz w:val="14"/>
              </w:rPr>
              <w:t>INV-GRO-02</w:t>
            </w:r>
          </w:p>
        </w:tc>
        <w:tc>
          <w:tcPr>
            <w:tcW w:type="dxa" w:w="2553"/>
            <w:vAlign w:val="center"/>
          </w:tcPr>
          <w:p>
            <w:pPr>
              <w:spacing w:before="0" w:after="30"/>
            </w:pPr>
            <w:r>
              <w:rPr>
                <w:sz w:val="14"/>
              </w:rPr>
              <w:t>GRO-02 - Marketing, Referrals, Offers &amp; Growth Journeys</w:t>
            </w:r>
          </w:p>
        </w:tc>
        <w:tc>
          <w:tcPr>
            <w:tcW w:type="dxa" w:w="4256"/>
            <w:vAlign w:val="center"/>
          </w:tcPr>
          <w:p>
            <w:pPr>
              <w:spacing w:before="0" w:after="30"/>
            </w:pPr>
            <w:r>
              <w:rPr>
                <w:sz w:val="14"/>
              </w:rPr>
              <w:t>Channel preferences, quiet hours and regulatory consent are mandatory. Referral and promotion abuse is detected before reward settlement.</w:t>
            </w:r>
          </w:p>
        </w:tc>
        <w:tc>
          <w:tcPr>
            <w:tcW w:type="dxa" w:w="2979"/>
            <w:vAlign w:val="center"/>
          </w:tcPr>
          <w:p>
            <w:pPr>
              <w:spacing w:before="0" w:after="30"/>
            </w:pPr>
            <w:r>
              <w:rPr>
                <w:sz w:val="14"/>
              </w:rPr>
              <w:t>§10 GRO-02 Critical Controls + command/state transitions; §27 property/invariant tests; RB-GRO-02 recovery evidence; requirement-specific API/event contract tests.</w:t>
            </w:r>
          </w:p>
        </w:tc>
      </w:tr>
      <w:tr>
        <w:tc>
          <w:tcPr>
            <w:tcW w:type="dxa" w:w="1277"/>
            <w:vAlign w:val="center"/>
          </w:tcPr>
          <w:p>
            <w:pPr>
              <w:spacing w:before="0" w:after="30"/>
            </w:pPr>
            <w:r>
              <w:rPr>
                <w:sz w:val="14"/>
              </w:rPr>
              <w:t>INV-COM-01</w:t>
            </w:r>
          </w:p>
        </w:tc>
        <w:tc>
          <w:tcPr>
            <w:tcW w:type="dxa" w:w="2553"/>
            <w:vAlign w:val="center"/>
          </w:tcPr>
          <w:p>
            <w:pPr>
              <w:spacing w:before="0" w:after="30"/>
            </w:pPr>
            <w:r>
              <w:rPr>
                <w:sz w:val="14"/>
              </w:rPr>
              <w:t>COM-01 - Memberships, Contracts, Entitlements &amp; Lifecycle</w:t>
            </w:r>
          </w:p>
        </w:tc>
        <w:tc>
          <w:tcPr>
            <w:tcW w:type="dxa" w:w="4256"/>
            <w:vAlign w:val="center"/>
          </w:tcPr>
          <w:p>
            <w:pPr>
              <w:spacing w:before="0" w:after="30"/>
            </w:pPr>
            <w:r>
              <w:rPr>
                <w:sz w:val="14"/>
              </w:rPr>
              <w:t>Membership state, billing state and access state are related but never conflated. Lifecycle calculations are deterministic, effective-dated and auditable.</w:t>
            </w:r>
          </w:p>
        </w:tc>
        <w:tc>
          <w:tcPr>
            <w:tcW w:type="dxa" w:w="2979"/>
            <w:vAlign w:val="center"/>
          </w:tcPr>
          <w:p>
            <w:pPr>
              <w:spacing w:before="0" w:after="30"/>
            </w:pPr>
            <w:r>
              <w:rPr>
                <w:sz w:val="14"/>
              </w:rPr>
              <w:t>§10 COM-01 Critical Controls + command/state transitions; §27 property/invariant tests; RB-COM-01 recovery evidence; requirement-specific API/event contract tests.</w:t>
            </w:r>
          </w:p>
        </w:tc>
      </w:tr>
      <w:tr>
        <w:tc>
          <w:tcPr>
            <w:tcW w:type="dxa" w:w="1277"/>
            <w:vAlign w:val="center"/>
          </w:tcPr>
          <w:p>
            <w:pPr>
              <w:spacing w:before="0" w:after="30"/>
            </w:pPr>
            <w:r>
              <w:rPr>
                <w:sz w:val="14"/>
              </w:rPr>
              <w:t>INV-COM-02</w:t>
            </w:r>
          </w:p>
        </w:tc>
        <w:tc>
          <w:tcPr>
            <w:tcW w:type="dxa" w:w="2553"/>
            <w:vAlign w:val="center"/>
          </w:tcPr>
          <w:p>
            <w:pPr>
              <w:spacing w:before="0" w:after="30"/>
            </w:pPr>
            <w:r>
              <w:rPr>
                <w:sz w:val="14"/>
              </w:rPr>
              <w:t>COM-02 - Catalog, Pricing, Promotions &amp; Packages</w:t>
            </w:r>
          </w:p>
        </w:tc>
        <w:tc>
          <w:tcPr>
            <w:tcW w:type="dxa" w:w="4256"/>
            <w:vAlign w:val="center"/>
          </w:tcPr>
          <w:p>
            <w:pPr>
              <w:spacing w:before="0" w:after="30"/>
            </w:pPr>
            <w:r>
              <w:rPr>
                <w:sz w:val="14"/>
              </w:rPr>
              <w:t>Pricing resolution is deterministic and returns an explanation. Manual price overrides and high discounts require explicit permission and audit.</w:t>
            </w:r>
          </w:p>
        </w:tc>
        <w:tc>
          <w:tcPr>
            <w:tcW w:type="dxa" w:w="2979"/>
            <w:vAlign w:val="center"/>
          </w:tcPr>
          <w:p>
            <w:pPr>
              <w:spacing w:before="0" w:after="30"/>
            </w:pPr>
            <w:r>
              <w:rPr>
                <w:sz w:val="14"/>
              </w:rPr>
              <w:t>§10 COM-02 Critical Controls + command/state transitions; §27 property/invariant tests; RB-COM-02 recovery evidence; requirement-specific API/event contract tests.</w:t>
            </w:r>
          </w:p>
        </w:tc>
      </w:tr>
      <w:tr>
        <w:tc>
          <w:tcPr>
            <w:tcW w:type="dxa" w:w="1277"/>
            <w:vAlign w:val="center"/>
          </w:tcPr>
          <w:p>
            <w:pPr>
              <w:spacing w:before="0" w:after="30"/>
            </w:pPr>
            <w:r>
              <w:rPr>
                <w:sz w:val="14"/>
              </w:rPr>
              <w:t>INV-COM-03</w:t>
            </w:r>
          </w:p>
        </w:tc>
        <w:tc>
          <w:tcPr>
            <w:tcW w:type="dxa" w:w="2553"/>
            <w:vAlign w:val="center"/>
          </w:tcPr>
          <w:p>
            <w:pPr>
              <w:spacing w:before="0" w:after="30"/>
            </w:pPr>
            <w:r>
              <w:rPr>
                <w:sz w:val="14"/>
              </w:rPr>
              <w:t>COM-03 - Member Billing, Payments, Tax &amp; Revenue Recovery</w:t>
            </w:r>
          </w:p>
        </w:tc>
        <w:tc>
          <w:tcPr>
            <w:tcW w:type="dxa" w:w="4256"/>
            <w:vAlign w:val="center"/>
          </w:tcPr>
          <w:p>
            <w:pPr>
              <w:spacing w:before="0" w:after="30"/>
            </w:pPr>
            <w:r>
              <w:rPr>
                <w:sz w:val="14"/>
              </w:rPr>
              <w:t>Payment data uses tokenization; sensitive card data never enters Veyro systems unless explicitly certified. Refunds, voids and write-offs follow limits, approvals and ledger entries.</w:t>
            </w:r>
          </w:p>
        </w:tc>
        <w:tc>
          <w:tcPr>
            <w:tcW w:type="dxa" w:w="2979"/>
            <w:vAlign w:val="center"/>
          </w:tcPr>
          <w:p>
            <w:pPr>
              <w:spacing w:before="0" w:after="30"/>
            </w:pPr>
            <w:r>
              <w:rPr>
                <w:sz w:val="14"/>
              </w:rPr>
              <w:t>§10 COM-03 Critical Controls + command/state transitions; §27 property/invariant tests; RB-COM-03 recovery evidence; requirement-specific API/event contract tests.</w:t>
            </w:r>
          </w:p>
        </w:tc>
      </w:tr>
      <w:tr>
        <w:tc>
          <w:tcPr>
            <w:tcW w:type="dxa" w:w="1277"/>
            <w:vAlign w:val="center"/>
          </w:tcPr>
          <w:p>
            <w:pPr>
              <w:spacing w:before="0" w:after="30"/>
            </w:pPr>
            <w:r>
              <w:rPr>
                <w:sz w:val="14"/>
              </w:rPr>
              <w:t>INV-COM-04</w:t>
            </w:r>
          </w:p>
        </w:tc>
        <w:tc>
          <w:tcPr>
            <w:tcW w:type="dxa" w:w="2553"/>
            <w:vAlign w:val="center"/>
          </w:tcPr>
          <w:p>
            <w:pPr>
              <w:spacing w:before="0" w:after="30"/>
            </w:pPr>
            <w:r>
              <w:rPr>
                <w:sz w:val="14"/>
              </w:rPr>
              <w:t>COM-04 - Financial Ledger, Wallet, Credits &amp; Reconciliation</w:t>
            </w:r>
          </w:p>
        </w:tc>
        <w:tc>
          <w:tcPr>
            <w:tcW w:type="dxa" w:w="4256"/>
            <w:vAlign w:val="center"/>
          </w:tcPr>
          <w:p>
            <w:pPr>
              <w:spacing w:before="0" w:after="30"/>
            </w:pPr>
            <w:r>
              <w:rPr>
                <w:sz w:val="14"/>
              </w:rPr>
              <w:t>Posted financial entries are never edited or deleted; corrections use compensating entries. Promotional, refundable and cash-equivalent balances remain distinct.</w:t>
            </w:r>
          </w:p>
        </w:tc>
        <w:tc>
          <w:tcPr>
            <w:tcW w:type="dxa" w:w="2979"/>
            <w:vAlign w:val="center"/>
          </w:tcPr>
          <w:p>
            <w:pPr>
              <w:spacing w:before="0" w:after="30"/>
            </w:pPr>
            <w:r>
              <w:rPr>
                <w:sz w:val="14"/>
              </w:rPr>
              <w:t>§10 COM-04 Critical Controls + command/state transitions; §27 property/invariant tests; RB-COM-04 recovery evidence; requirement-specific API/event contract tests.</w:t>
            </w:r>
          </w:p>
        </w:tc>
      </w:tr>
      <w:tr>
        <w:tc>
          <w:tcPr>
            <w:tcW w:type="dxa" w:w="1277"/>
            <w:vAlign w:val="center"/>
          </w:tcPr>
          <w:p>
            <w:pPr>
              <w:spacing w:before="0" w:after="30"/>
            </w:pPr>
            <w:r>
              <w:rPr>
                <w:sz w:val="14"/>
              </w:rPr>
              <w:t>INV-COM-05</w:t>
            </w:r>
          </w:p>
        </w:tc>
        <w:tc>
          <w:tcPr>
            <w:tcW w:type="dxa" w:w="2553"/>
            <w:vAlign w:val="center"/>
          </w:tcPr>
          <w:p>
            <w:pPr>
              <w:spacing w:before="0" w:after="30"/>
            </w:pPr>
            <w:r>
              <w:rPr>
                <w:sz w:val="14"/>
              </w:rPr>
              <w:t>COM-05 - Point of Sale, Ecommerce &amp; Order Fulfillment</w:t>
            </w:r>
          </w:p>
        </w:tc>
        <w:tc>
          <w:tcPr>
            <w:tcW w:type="dxa" w:w="4256"/>
            <w:vAlign w:val="center"/>
          </w:tcPr>
          <w:p>
            <w:pPr>
              <w:spacing w:before="0" w:after="30"/>
            </w:pPr>
            <w:r>
              <w:rPr>
                <w:sz w:val="14"/>
              </w:rPr>
              <w:t>Price overrides, discounts, refunds and cash adjustments follow permission limits. Order completion is idempotent and fulfillment cannot silently duplicate.</w:t>
            </w:r>
          </w:p>
        </w:tc>
        <w:tc>
          <w:tcPr>
            <w:tcW w:type="dxa" w:w="2979"/>
            <w:vAlign w:val="center"/>
          </w:tcPr>
          <w:p>
            <w:pPr>
              <w:spacing w:before="0" w:after="30"/>
            </w:pPr>
            <w:r>
              <w:rPr>
                <w:sz w:val="14"/>
              </w:rPr>
              <w:t>§10 COM-05 Critical Controls + command/state transitions; §27 property/invariant tests; RB-COM-05 recovery evidence; requirement-specific API/event contract tests.</w:t>
            </w:r>
          </w:p>
        </w:tc>
      </w:tr>
      <w:tr>
        <w:tc>
          <w:tcPr>
            <w:tcW w:type="dxa" w:w="1277"/>
            <w:vAlign w:val="center"/>
          </w:tcPr>
          <w:p>
            <w:pPr>
              <w:spacing w:before="0" w:after="30"/>
            </w:pPr>
            <w:r>
              <w:rPr>
                <w:sz w:val="14"/>
              </w:rPr>
              <w:t>INV-COM-06</w:t>
            </w:r>
          </w:p>
        </w:tc>
        <w:tc>
          <w:tcPr>
            <w:tcW w:type="dxa" w:w="2553"/>
            <w:vAlign w:val="center"/>
          </w:tcPr>
          <w:p>
            <w:pPr>
              <w:spacing w:before="0" w:after="30"/>
            </w:pPr>
            <w:r>
              <w:rPr>
                <w:sz w:val="14"/>
              </w:rPr>
              <w:t>COM-06 - Inventory, Purchasing, Suppliers &amp; Stock Control</w:t>
            </w:r>
          </w:p>
        </w:tc>
        <w:tc>
          <w:tcPr>
            <w:tcW w:type="dxa" w:w="4256"/>
            <w:vAlign w:val="center"/>
          </w:tcPr>
          <w:p>
            <w:pPr>
              <w:spacing w:before="0" w:after="30"/>
            </w:pPr>
            <w:r>
              <w:rPr>
                <w:sz w:val="14"/>
              </w:rPr>
              <w:t>Inventory adjustments require reason, actor and approval above threshold. Expired or quarantined stock cannot be sold.</w:t>
            </w:r>
          </w:p>
        </w:tc>
        <w:tc>
          <w:tcPr>
            <w:tcW w:type="dxa" w:w="2979"/>
            <w:vAlign w:val="center"/>
          </w:tcPr>
          <w:p>
            <w:pPr>
              <w:spacing w:before="0" w:after="30"/>
            </w:pPr>
            <w:r>
              <w:rPr>
                <w:sz w:val="14"/>
              </w:rPr>
              <w:t>§10 COM-06 Critical Controls + command/state transitions; §27 property/invariant tests; RB-COM-06 recovery evidence; requirement-specific API/event contract tests.</w:t>
            </w:r>
          </w:p>
        </w:tc>
      </w:tr>
      <w:tr>
        <w:tc>
          <w:tcPr>
            <w:tcW w:type="dxa" w:w="1277"/>
            <w:vAlign w:val="center"/>
          </w:tcPr>
          <w:p>
            <w:pPr>
              <w:spacing w:before="0" w:after="30"/>
            </w:pPr>
            <w:r>
              <w:rPr>
                <w:sz w:val="14"/>
              </w:rPr>
              <w:t>INV-OPS-01</w:t>
            </w:r>
          </w:p>
        </w:tc>
        <w:tc>
          <w:tcPr>
            <w:tcW w:type="dxa" w:w="2553"/>
            <w:vAlign w:val="center"/>
          </w:tcPr>
          <w:p>
            <w:pPr>
              <w:spacing w:before="0" w:after="30"/>
            </w:pPr>
            <w:r>
              <w:rPr>
                <w:sz w:val="14"/>
              </w:rPr>
              <w:t>OPS-01 - Scheduling, Resources &amp; Capacity</w:t>
            </w:r>
          </w:p>
        </w:tc>
        <w:tc>
          <w:tcPr>
            <w:tcW w:type="dxa" w:w="4256"/>
            <w:vAlign w:val="center"/>
          </w:tcPr>
          <w:p>
            <w:pPr>
              <w:spacing w:before="0" w:after="30"/>
            </w:pPr>
            <w:r>
              <w:rPr>
                <w:sz w:val="14"/>
              </w:rPr>
              <w:t>All schedule changes are effective-dated and impact-assessed before publication. Resource conflicts cannot be overridden without permission and reason.</w:t>
            </w:r>
          </w:p>
        </w:tc>
        <w:tc>
          <w:tcPr>
            <w:tcW w:type="dxa" w:w="2979"/>
            <w:vAlign w:val="center"/>
          </w:tcPr>
          <w:p>
            <w:pPr>
              <w:spacing w:before="0" w:after="30"/>
            </w:pPr>
            <w:r>
              <w:rPr>
                <w:sz w:val="14"/>
              </w:rPr>
              <w:t>§10 OPS-01 Critical Controls + command/state transitions; §27 property/invariant tests; RB-OPS-01 recovery evidence; requirement-specific API/event contract tests.</w:t>
            </w:r>
          </w:p>
        </w:tc>
      </w:tr>
      <w:tr>
        <w:tc>
          <w:tcPr>
            <w:tcW w:type="dxa" w:w="1277"/>
            <w:vAlign w:val="center"/>
          </w:tcPr>
          <w:p>
            <w:pPr>
              <w:spacing w:before="0" w:after="30"/>
            </w:pPr>
            <w:r>
              <w:rPr>
                <w:sz w:val="14"/>
              </w:rPr>
              <w:t>INV-OPS-02</w:t>
            </w:r>
          </w:p>
        </w:tc>
        <w:tc>
          <w:tcPr>
            <w:tcW w:type="dxa" w:w="2553"/>
            <w:vAlign w:val="center"/>
          </w:tcPr>
          <w:p>
            <w:pPr>
              <w:spacing w:before="0" w:after="30"/>
            </w:pPr>
            <w:r>
              <w:rPr>
                <w:sz w:val="14"/>
              </w:rPr>
              <w:t>OPS-02 - Booking, Waitlist &amp; No-show Intelligence</w:t>
            </w:r>
          </w:p>
        </w:tc>
        <w:tc>
          <w:tcPr>
            <w:tcW w:type="dxa" w:w="4256"/>
            <w:vAlign w:val="center"/>
          </w:tcPr>
          <w:p>
            <w:pPr>
              <w:spacing w:before="0" w:after="30"/>
            </w:pPr>
            <w:r>
              <w:rPr>
                <w:sz w:val="14"/>
              </w:rPr>
              <w:t>Booking decisions return an understandable eligibility or denial explanation. Predictive scoring may influence communication and capacity strategy but not discriminate unlawfully.</w:t>
            </w:r>
          </w:p>
        </w:tc>
        <w:tc>
          <w:tcPr>
            <w:tcW w:type="dxa" w:w="2979"/>
            <w:vAlign w:val="center"/>
          </w:tcPr>
          <w:p>
            <w:pPr>
              <w:spacing w:before="0" w:after="30"/>
            </w:pPr>
            <w:r>
              <w:rPr>
                <w:sz w:val="14"/>
              </w:rPr>
              <w:t>§10 OPS-02 Critical Controls + command/state transitions; §27 property/invariant tests; RB-OPS-02 recovery evidence; requirement-specific API/event contract tests.</w:t>
            </w:r>
          </w:p>
        </w:tc>
      </w:tr>
      <w:tr>
        <w:tc>
          <w:tcPr>
            <w:tcW w:type="dxa" w:w="1277"/>
            <w:vAlign w:val="center"/>
          </w:tcPr>
          <w:p>
            <w:pPr>
              <w:spacing w:before="0" w:after="30"/>
            </w:pPr>
            <w:r>
              <w:rPr>
                <w:sz w:val="14"/>
              </w:rPr>
              <w:t>INV-OPS-03</w:t>
            </w:r>
          </w:p>
        </w:tc>
        <w:tc>
          <w:tcPr>
            <w:tcW w:type="dxa" w:w="2553"/>
            <w:vAlign w:val="center"/>
          </w:tcPr>
          <w:p>
            <w:pPr>
              <w:spacing w:before="0" w:after="30"/>
            </w:pPr>
            <w:r>
              <w:rPr>
                <w:sz w:val="14"/>
              </w:rPr>
              <w:t>OPS-03 - Check-in, Access Control &amp; Entitlement Decisions</w:t>
            </w:r>
          </w:p>
        </w:tc>
        <w:tc>
          <w:tcPr>
            <w:tcW w:type="dxa" w:w="4256"/>
            <w:vAlign w:val="center"/>
          </w:tcPr>
          <w:p>
            <w:pPr>
              <w:spacing w:before="0" w:after="30"/>
            </w:pPr>
            <w:r>
              <w:rPr>
                <w:sz w:val="14"/>
              </w:rPr>
              <w:t>Offline access uses time-limited signed data and risk-bounded policy. Access denial never reveals sensitive financial or health information publicly.</w:t>
            </w:r>
          </w:p>
        </w:tc>
        <w:tc>
          <w:tcPr>
            <w:tcW w:type="dxa" w:w="2979"/>
            <w:vAlign w:val="center"/>
          </w:tcPr>
          <w:p>
            <w:pPr>
              <w:spacing w:before="0" w:after="30"/>
            </w:pPr>
            <w:r>
              <w:rPr>
                <w:sz w:val="14"/>
              </w:rPr>
              <w:t>§10 OPS-03 Critical Controls + command/state transitions; §27 property/invariant tests; RB-OPS-03 recovery evidence; requirement-specific API/event contract tests.</w:t>
            </w:r>
          </w:p>
        </w:tc>
      </w:tr>
      <w:tr>
        <w:tc>
          <w:tcPr>
            <w:tcW w:type="dxa" w:w="1277"/>
            <w:vAlign w:val="center"/>
          </w:tcPr>
          <w:p>
            <w:pPr>
              <w:spacing w:before="0" w:after="30"/>
            </w:pPr>
            <w:r>
              <w:rPr>
                <w:sz w:val="14"/>
              </w:rPr>
              <w:t>INV-OPS-04</w:t>
            </w:r>
          </w:p>
        </w:tc>
        <w:tc>
          <w:tcPr>
            <w:tcW w:type="dxa" w:w="2553"/>
            <w:vAlign w:val="center"/>
          </w:tcPr>
          <w:p>
            <w:pPr>
              <w:spacing w:before="0" w:after="30"/>
            </w:pPr>
            <w:r>
              <w:rPr>
                <w:sz w:val="14"/>
              </w:rPr>
              <w:t>OPS-04 - Front Desk, Kiosk, Guest &amp; Visitor Operations</w:t>
            </w:r>
          </w:p>
        </w:tc>
        <w:tc>
          <w:tcPr>
            <w:tcW w:type="dxa" w:w="4256"/>
            <w:vAlign w:val="center"/>
          </w:tcPr>
          <w:p>
            <w:pPr>
              <w:spacing w:before="0" w:after="30"/>
            </w:pPr>
            <w:r>
              <w:rPr>
                <w:sz w:val="14"/>
              </w:rPr>
              <w:t>Kiosk data is minimized, automatically cleared and protected from shoulder surfing. Staff overrides are permissioned, reason-coded and time-bounded.</w:t>
            </w:r>
          </w:p>
        </w:tc>
        <w:tc>
          <w:tcPr>
            <w:tcW w:type="dxa" w:w="2979"/>
            <w:vAlign w:val="center"/>
          </w:tcPr>
          <w:p>
            <w:pPr>
              <w:spacing w:before="0" w:after="30"/>
            </w:pPr>
            <w:r>
              <w:rPr>
                <w:sz w:val="14"/>
              </w:rPr>
              <w:t>§10 OPS-04 Critical Controls + command/state transitions; §27 property/invariant tests; RB-OPS-04 recovery evidence; requirement-specific API/event contract tests.</w:t>
            </w:r>
          </w:p>
        </w:tc>
      </w:tr>
      <w:tr>
        <w:tc>
          <w:tcPr>
            <w:tcW w:type="dxa" w:w="1277"/>
            <w:vAlign w:val="center"/>
          </w:tcPr>
          <w:p>
            <w:pPr>
              <w:spacing w:before="0" w:after="30"/>
            </w:pPr>
            <w:r>
              <w:rPr>
                <w:sz w:val="14"/>
              </w:rPr>
              <w:t>INV-OPS-05</w:t>
            </w:r>
          </w:p>
        </w:tc>
        <w:tc>
          <w:tcPr>
            <w:tcW w:type="dxa" w:w="2553"/>
            <w:vAlign w:val="center"/>
          </w:tcPr>
          <w:p>
            <w:pPr>
              <w:spacing w:before="0" w:after="30"/>
            </w:pPr>
            <w:r>
              <w:rPr>
                <w:sz w:val="14"/>
              </w:rPr>
              <w:t>OPS-05 - Staff, Shifts, Attendance, Payroll &amp; Commissions</w:t>
            </w:r>
          </w:p>
        </w:tc>
        <w:tc>
          <w:tcPr>
            <w:tcW w:type="dxa" w:w="4256"/>
            <w:vAlign w:val="center"/>
          </w:tcPr>
          <w:p>
            <w:pPr>
              <w:spacing w:before="0" w:after="30"/>
            </w:pPr>
            <w:r>
              <w:rPr>
                <w:sz w:val="14"/>
              </w:rPr>
              <w:t>Payroll-affecting corrections require reason, approval and locked-period controls. Local labor requirements are configurable and reviewed regionally.</w:t>
            </w:r>
          </w:p>
        </w:tc>
        <w:tc>
          <w:tcPr>
            <w:tcW w:type="dxa" w:w="2979"/>
            <w:vAlign w:val="center"/>
          </w:tcPr>
          <w:p>
            <w:pPr>
              <w:spacing w:before="0" w:after="30"/>
            </w:pPr>
            <w:r>
              <w:rPr>
                <w:sz w:val="14"/>
              </w:rPr>
              <w:t>§10 OPS-05 Critical Controls + command/state transitions; §27 property/invariant tests; RB-OPS-05 recovery evidence; requirement-specific API/event contract tests.</w:t>
            </w:r>
          </w:p>
        </w:tc>
      </w:tr>
      <w:tr>
        <w:tc>
          <w:tcPr>
            <w:tcW w:type="dxa" w:w="1277"/>
            <w:vAlign w:val="center"/>
          </w:tcPr>
          <w:p>
            <w:pPr>
              <w:spacing w:before="0" w:after="30"/>
            </w:pPr>
            <w:r>
              <w:rPr>
                <w:sz w:val="14"/>
              </w:rPr>
              <w:t>INV-OPS-06</w:t>
            </w:r>
          </w:p>
        </w:tc>
        <w:tc>
          <w:tcPr>
            <w:tcW w:type="dxa" w:w="2553"/>
            <w:vAlign w:val="center"/>
          </w:tcPr>
          <w:p>
            <w:pPr>
              <w:spacing w:before="0" w:after="30"/>
            </w:pPr>
            <w:r>
              <w:rPr>
                <w:sz w:val="14"/>
              </w:rPr>
              <w:t>OPS-06 - Facilities, Equipment, Assets &amp; Maintenance</w:t>
            </w:r>
          </w:p>
        </w:tc>
        <w:tc>
          <w:tcPr>
            <w:tcW w:type="dxa" w:w="4256"/>
            <w:vAlign w:val="center"/>
          </w:tcPr>
          <w:p>
            <w:pPr>
              <w:spacing w:before="0" w:after="30"/>
            </w:pPr>
            <w:r>
              <w:rPr>
                <w:sz w:val="14"/>
              </w:rPr>
              <w:t>Safety-critical assets can be immediately isolated from use and booking. Maintenance evidence and compliance records follow retention policy.</w:t>
            </w:r>
          </w:p>
        </w:tc>
        <w:tc>
          <w:tcPr>
            <w:tcW w:type="dxa" w:w="2979"/>
            <w:vAlign w:val="center"/>
          </w:tcPr>
          <w:p>
            <w:pPr>
              <w:spacing w:before="0" w:after="30"/>
            </w:pPr>
            <w:r>
              <w:rPr>
                <w:sz w:val="14"/>
              </w:rPr>
              <w:t>§10 OPS-06 Critical Controls + command/state transitions; §27 property/invariant tests; RB-OPS-06 recovery evidence; requirement-specific API/event contract tests.</w:t>
            </w:r>
          </w:p>
        </w:tc>
      </w:tr>
      <w:tr>
        <w:tc>
          <w:tcPr>
            <w:tcW w:type="dxa" w:w="1277"/>
            <w:vAlign w:val="center"/>
          </w:tcPr>
          <w:p>
            <w:pPr>
              <w:spacing w:before="0" w:after="30"/>
            </w:pPr>
            <w:r>
              <w:rPr>
                <w:sz w:val="14"/>
              </w:rPr>
              <w:t>INV-COA-01</w:t>
            </w:r>
          </w:p>
        </w:tc>
        <w:tc>
          <w:tcPr>
            <w:tcW w:type="dxa" w:w="2553"/>
            <w:vAlign w:val="center"/>
          </w:tcPr>
          <w:p>
            <w:pPr>
              <w:spacing w:before="0" w:after="30"/>
            </w:pPr>
            <w:r>
              <w:rPr>
                <w:sz w:val="14"/>
              </w:rPr>
              <w:t>COA-01 - Coach Workspace &amp; Client Management</w:t>
            </w:r>
          </w:p>
        </w:tc>
        <w:tc>
          <w:tcPr>
            <w:tcW w:type="dxa" w:w="4256"/>
            <w:vAlign w:val="center"/>
          </w:tcPr>
          <w:p>
            <w:pPr>
              <w:spacing w:before="0" w:after="30"/>
            </w:pPr>
            <w:r>
              <w:rPr>
                <w:sz w:val="14"/>
              </w:rPr>
              <w:t>Coaches only see clients and sensitive fields authorized by relationship and policy. Session credit consumption requires attendance evidence and dispute workflow.</w:t>
            </w:r>
          </w:p>
        </w:tc>
        <w:tc>
          <w:tcPr>
            <w:tcW w:type="dxa" w:w="2979"/>
            <w:vAlign w:val="center"/>
          </w:tcPr>
          <w:p>
            <w:pPr>
              <w:spacing w:before="0" w:after="30"/>
            </w:pPr>
            <w:r>
              <w:rPr>
                <w:sz w:val="14"/>
              </w:rPr>
              <w:t>§10 COA-01 Critical Controls + command/state transitions; §27 property/invariant tests; RB-COA-01 recovery evidence; requirement-specific API/event contract tests.</w:t>
            </w:r>
          </w:p>
        </w:tc>
      </w:tr>
      <w:tr>
        <w:tc>
          <w:tcPr>
            <w:tcW w:type="dxa" w:w="1277"/>
            <w:vAlign w:val="center"/>
          </w:tcPr>
          <w:p>
            <w:pPr>
              <w:spacing w:before="0" w:after="30"/>
            </w:pPr>
            <w:r>
              <w:rPr>
                <w:sz w:val="14"/>
              </w:rPr>
              <w:t>INV-COA-02</w:t>
            </w:r>
          </w:p>
        </w:tc>
        <w:tc>
          <w:tcPr>
            <w:tcW w:type="dxa" w:w="2553"/>
            <w:vAlign w:val="center"/>
          </w:tcPr>
          <w:p>
            <w:pPr>
              <w:spacing w:before="0" w:after="30"/>
            </w:pPr>
            <w:r>
              <w:rPr>
                <w:sz w:val="14"/>
              </w:rPr>
              <w:t>COA-02 - Training Programs, Workouts &amp; Exercise Logging</w:t>
            </w:r>
          </w:p>
        </w:tc>
        <w:tc>
          <w:tcPr>
            <w:tcW w:type="dxa" w:w="4256"/>
            <w:vAlign w:val="center"/>
          </w:tcPr>
          <w:p>
            <w:pPr>
              <w:spacing w:before="0" w:after="30"/>
            </w:pPr>
            <w:r>
              <w:rPr>
                <w:sz w:val="14"/>
              </w:rPr>
              <w:t>Health limitations and contraindications must be evaluated before assignment or AI generation. AI changes remain drafts until an authorized coach approves them, except low-risk member substitutions allowed by policy.</w:t>
            </w:r>
          </w:p>
        </w:tc>
        <w:tc>
          <w:tcPr>
            <w:tcW w:type="dxa" w:w="2979"/>
            <w:vAlign w:val="center"/>
          </w:tcPr>
          <w:p>
            <w:pPr>
              <w:spacing w:before="0" w:after="30"/>
            </w:pPr>
            <w:r>
              <w:rPr>
                <w:sz w:val="14"/>
              </w:rPr>
              <w:t>§10 COA-02 Critical Controls + command/state transitions; §27 property/invariant tests; RB-COA-02 recovery evidence; requirement-specific API/event contract tests.</w:t>
            </w:r>
          </w:p>
        </w:tc>
      </w:tr>
      <w:tr>
        <w:tc>
          <w:tcPr>
            <w:tcW w:type="dxa" w:w="1277"/>
            <w:vAlign w:val="center"/>
          </w:tcPr>
          <w:p>
            <w:pPr>
              <w:spacing w:before="0" w:after="30"/>
            </w:pPr>
            <w:r>
              <w:rPr>
                <w:sz w:val="14"/>
              </w:rPr>
              <w:t>INV-COA-03</w:t>
            </w:r>
          </w:p>
        </w:tc>
        <w:tc>
          <w:tcPr>
            <w:tcW w:type="dxa" w:w="2553"/>
            <w:vAlign w:val="center"/>
          </w:tcPr>
          <w:p>
            <w:pPr>
              <w:spacing w:before="0" w:after="30"/>
            </w:pPr>
            <w:r>
              <w:rPr>
                <w:sz w:val="14"/>
              </w:rPr>
              <w:t>COA-03 - Nutrition Planning, Meals, Logging &amp; Adherence</w:t>
            </w:r>
          </w:p>
        </w:tc>
        <w:tc>
          <w:tcPr>
            <w:tcW w:type="dxa" w:w="4256"/>
            <w:vAlign w:val="center"/>
          </w:tcPr>
          <w:p>
            <w:pPr>
              <w:spacing w:before="0" w:after="30"/>
            </w:pPr>
            <w:r>
              <w:rPr>
                <w:sz w:val="14"/>
              </w:rPr>
              <w:t>Nutrition guidance is not diagnosis or medical treatment; high-risk cases require qualified review. Allergen rules are hard constraints and cannot be overridden silently by AI or meal swaps. Photo estimates and food data display uncertainty and source where relevant.</w:t>
            </w:r>
          </w:p>
        </w:tc>
        <w:tc>
          <w:tcPr>
            <w:tcW w:type="dxa" w:w="2979"/>
            <w:vAlign w:val="center"/>
          </w:tcPr>
          <w:p>
            <w:pPr>
              <w:spacing w:before="0" w:after="30"/>
            </w:pPr>
            <w:r>
              <w:rPr>
                <w:sz w:val="14"/>
              </w:rPr>
              <w:t>§10 COA-03 Critical Controls + command/state transitions; §27 property/invariant tests; RB-COA-03 recovery evidence; requirement-specific API/event contract tests.</w:t>
            </w:r>
          </w:p>
        </w:tc>
      </w:tr>
      <w:tr>
        <w:tc>
          <w:tcPr>
            <w:tcW w:type="dxa" w:w="1277"/>
            <w:vAlign w:val="center"/>
          </w:tcPr>
          <w:p>
            <w:pPr>
              <w:spacing w:before="0" w:after="30"/>
            </w:pPr>
            <w:r>
              <w:rPr>
                <w:sz w:val="14"/>
              </w:rPr>
              <w:t>INV-COA-04</w:t>
            </w:r>
          </w:p>
        </w:tc>
        <w:tc>
          <w:tcPr>
            <w:tcW w:type="dxa" w:w="2553"/>
            <w:vAlign w:val="center"/>
          </w:tcPr>
          <w:p>
            <w:pPr>
              <w:spacing w:before="0" w:after="30"/>
            </w:pPr>
            <w:r>
              <w:rPr>
                <w:sz w:val="14"/>
              </w:rPr>
              <w:t>COA-04 - Assessments, Measurements, Progress &amp; Outcomes</w:t>
            </w:r>
          </w:p>
        </w:tc>
        <w:tc>
          <w:tcPr>
            <w:tcW w:type="dxa" w:w="4256"/>
            <w:vAlign w:val="center"/>
          </w:tcPr>
          <w:p>
            <w:pPr>
              <w:spacing w:before="0" w:after="30"/>
            </w:pPr>
            <w:r>
              <w:rPr>
                <w:sz w:val="14"/>
              </w:rPr>
              <w:t>Measurement source, unit and timestamp are immutable provenance. Sensitive images and health-like data use explicit access and retention policy.</w:t>
            </w:r>
          </w:p>
        </w:tc>
        <w:tc>
          <w:tcPr>
            <w:tcW w:type="dxa" w:w="2979"/>
            <w:vAlign w:val="center"/>
          </w:tcPr>
          <w:p>
            <w:pPr>
              <w:spacing w:before="0" w:after="30"/>
            </w:pPr>
            <w:r>
              <w:rPr>
                <w:sz w:val="14"/>
              </w:rPr>
              <w:t>§10 COA-04 Critical Controls + command/state transitions; §27 property/invariant tests; RB-COA-04 recovery evidence; requirement-specific API/event contract tests.</w:t>
            </w:r>
          </w:p>
        </w:tc>
      </w:tr>
      <w:tr>
        <w:tc>
          <w:tcPr>
            <w:tcW w:type="dxa" w:w="1277"/>
            <w:vAlign w:val="center"/>
          </w:tcPr>
          <w:p>
            <w:pPr>
              <w:spacing w:before="0" w:after="30"/>
            </w:pPr>
            <w:r>
              <w:rPr>
                <w:sz w:val="14"/>
              </w:rPr>
              <w:t>INV-COA-05</w:t>
            </w:r>
          </w:p>
        </w:tc>
        <w:tc>
          <w:tcPr>
            <w:tcW w:type="dxa" w:w="2553"/>
            <w:vAlign w:val="center"/>
          </w:tcPr>
          <w:p>
            <w:pPr>
              <w:spacing w:before="0" w:after="30"/>
            </w:pPr>
            <w:r>
              <w:rPr>
                <w:sz w:val="14"/>
              </w:rPr>
              <w:t>COA-05 - Health, Safety, Consent &amp; Incident Management</w:t>
            </w:r>
          </w:p>
        </w:tc>
        <w:tc>
          <w:tcPr>
            <w:tcW w:type="dxa" w:w="4256"/>
            <w:vAlign w:val="center"/>
          </w:tcPr>
          <w:p>
            <w:pPr>
              <w:spacing w:before="0" w:after="30"/>
            </w:pPr>
            <w:r>
              <w:rPr>
                <w:sz w:val="14"/>
              </w:rPr>
              <w:t>Veyro must not present itself as a medical diagnosis or treatment system. Only minimum necessary health context is exposed to each role. Emergency access is exceptional, time-limited and reviewed.</w:t>
            </w:r>
          </w:p>
        </w:tc>
        <w:tc>
          <w:tcPr>
            <w:tcW w:type="dxa" w:w="2979"/>
            <w:vAlign w:val="center"/>
          </w:tcPr>
          <w:p>
            <w:pPr>
              <w:spacing w:before="0" w:after="30"/>
            </w:pPr>
            <w:r>
              <w:rPr>
                <w:sz w:val="14"/>
              </w:rPr>
              <w:t>§10 COA-05 Critical Controls + command/state transitions; §27 property/invariant tests; RB-COA-05 recovery evidence; requirement-specific API/event contract tests.</w:t>
            </w:r>
          </w:p>
        </w:tc>
      </w:tr>
      <w:tr>
        <w:tc>
          <w:tcPr>
            <w:tcW w:type="dxa" w:w="1277"/>
            <w:vAlign w:val="center"/>
          </w:tcPr>
          <w:p>
            <w:pPr>
              <w:spacing w:before="0" w:after="30"/>
            </w:pPr>
            <w:r>
              <w:rPr>
                <w:sz w:val="14"/>
              </w:rPr>
              <w:t>INV-ENG-01</w:t>
            </w:r>
          </w:p>
        </w:tc>
        <w:tc>
          <w:tcPr>
            <w:tcW w:type="dxa" w:w="2553"/>
            <w:vAlign w:val="center"/>
          </w:tcPr>
          <w:p>
            <w:pPr>
              <w:spacing w:before="0" w:after="30"/>
            </w:pPr>
            <w:r>
              <w:rPr>
                <w:sz w:val="14"/>
              </w:rPr>
              <w:t>ENG-01 - Unified Inbox, Messaging &amp; Contextual Communication</w:t>
            </w:r>
          </w:p>
        </w:tc>
        <w:tc>
          <w:tcPr>
            <w:tcW w:type="dxa" w:w="4256"/>
            <w:vAlign w:val="center"/>
          </w:tcPr>
          <w:p>
            <w:pPr>
              <w:spacing w:before="0" w:after="30"/>
            </w:pPr>
            <w:r>
              <w:rPr>
                <w:sz w:val="14"/>
              </w:rPr>
              <w:t>Channel consent and recipient identity are checked at send time. Sensitive health or financial content is restricted from unsuitable channels.</w:t>
            </w:r>
          </w:p>
        </w:tc>
        <w:tc>
          <w:tcPr>
            <w:tcW w:type="dxa" w:w="2979"/>
            <w:vAlign w:val="center"/>
          </w:tcPr>
          <w:p>
            <w:pPr>
              <w:spacing w:before="0" w:after="30"/>
            </w:pPr>
            <w:r>
              <w:rPr>
                <w:sz w:val="14"/>
              </w:rPr>
              <w:t>§10 ENG-01 Critical Controls + command/state transitions; §27 property/invariant tests; RB-ENG-01 recovery evidence; requirement-specific API/event contract tests.</w:t>
            </w:r>
          </w:p>
        </w:tc>
      </w:tr>
      <w:tr>
        <w:tc>
          <w:tcPr>
            <w:tcW w:type="dxa" w:w="1277"/>
            <w:vAlign w:val="center"/>
          </w:tcPr>
          <w:p>
            <w:pPr>
              <w:spacing w:before="0" w:after="30"/>
            </w:pPr>
            <w:r>
              <w:rPr>
                <w:sz w:val="14"/>
              </w:rPr>
              <w:t>INV-ENG-02</w:t>
            </w:r>
          </w:p>
        </w:tc>
        <w:tc>
          <w:tcPr>
            <w:tcW w:type="dxa" w:w="2553"/>
            <w:vAlign w:val="center"/>
          </w:tcPr>
          <w:p>
            <w:pPr>
              <w:spacing w:before="0" w:after="30"/>
            </w:pPr>
            <w:r>
              <w:rPr>
                <w:sz w:val="14"/>
              </w:rPr>
              <w:t>ENG-02 - Notification Platform, Templates &amp; Preferences</w:t>
            </w:r>
          </w:p>
        </w:tc>
        <w:tc>
          <w:tcPr>
            <w:tcW w:type="dxa" w:w="4256"/>
            <w:vAlign w:val="center"/>
          </w:tcPr>
          <w:p>
            <w:pPr>
              <w:spacing w:before="0" w:after="30"/>
            </w:pPr>
            <w:r>
              <w:rPr>
                <w:sz w:val="14"/>
              </w:rPr>
              <w:t>Marketing and transactional purposes are separated. The same logical notification cannot be delivered repeatedly because of retries.</w:t>
            </w:r>
          </w:p>
        </w:tc>
        <w:tc>
          <w:tcPr>
            <w:tcW w:type="dxa" w:w="2979"/>
            <w:vAlign w:val="center"/>
          </w:tcPr>
          <w:p>
            <w:pPr>
              <w:spacing w:before="0" w:after="30"/>
            </w:pPr>
            <w:r>
              <w:rPr>
                <w:sz w:val="14"/>
              </w:rPr>
              <w:t>§10 ENG-02 Critical Controls + command/state transitions; §27 property/invariant tests; RB-ENG-02 recovery evidence; requirement-specific API/event contract tests.</w:t>
            </w:r>
          </w:p>
        </w:tc>
      </w:tr>
      <w:tr>
        <w:tc>
          <w:tcPr>
            <w:tcW w:type="dxa" w:w="1277"/>
            <w:vAlign w:val="center"/>
          </w:tcPr>
          <w:p>
            <w:pPr>
              <w:spacing w:before="0" w:after="30"/>
            </w:pPr>
            <w:r>
              <w:rPr>
                <w:sz w:val="14"/>
              </w:rPr>
              <w:t>INV-ENG-03</w:t>
            </w:r>
          </w:p>
        </w:tc>
        <w:tc>
          <w:tcPr>
            <w:tcW w:type="dxa" w:w="2553"/>
            <w:vAlign w:val="center"/>
          </w:tcPr>
          <w:p>
            <w:pPr>
              <w:spacing w:before="0" w:after="30"/>
            </w:pPr>
            <w:r>
              <w:rPr>
                <w:sz w:val="14"/>
              </w:rPr>
              <w:t>ENG-03 - Community, Challenges, Achievements &amp; Rewards</w:t>
            </w:r>
          </w:p>
        </w:tc>
        <w:tc>
          <w:tcPr>
            <w:tcW w:type="dxa" w:w="4256"/>
            <w:vAlign w:val="center"/>
          </w:tcPr>
          <w:p>
            <w:pPr>
              <w:spacing w:before="0" w:after="30"/>
            </w:pPr>
            <w:r>
              <w:rPr>
                <w:sz w:val="14"/>
              </w:rPr>
              <w:t>Participation is optional and privacy defaults are conservative. Health-sensitive metrics are never publicly ranked without explicit design review and consent.</w:t>
            </w:r>
          </w:p>
        </w:tc>
        <w:tc>
          <w:tcPr>
            <w:tcW w:type="dxa" w:w="2979"/>
            <w:vAlign w:val="center"/>
          </w:tcPr>
          <w:p>
            <w:pPr>
              <w:spacing w:before="0" w:after="30"/>
            </w:pPr>
            <w:r>
              <w:rPr>
                <w:sz w:val="14"/>
              </w:rPr>
              <w:t>§10 ENG-03 Critical Controls + command/state transitions; §27 property/invariant tests; RB-ENG-03 recovery evidence; requirement-specific API/event contract tests.</w:t>
            </w:r>
          </w:p>
        </w:tc>
      </w:tr>
      <w:tr>
        <w:tc>
          <w:tcPr>
            <w:tcW w:type="dxa" w:w="1277"/>
            <w:vAlign w:val="center"/>
          </w:tcPr>
          <w:p>
            <w:pPr>
              <w:spacing w:before="0" w:after="30"/>
            </w:pPr>
            <w:r>
              <w:rPr>
                <w:sz w:val="14"/>
              </w:rPr>
              <w:t>INV-ENG-04</w:t>
            </w:r>
          </w:p>
        </w:tc>
        <w:tc>
          <w:tcPr>
            <w:tcW w:type="dxa" w:w="2553"/>
            <w:vAlign w:val="center"/>
          </w:tcPr>
          <w:p>
            <w:pPr>
              <w:spacing w:before="0" w:after="30"/>
            </w:pPr>
            <w:r>
              <w:rPr>
                <w:sz w:val="14"/>
              </w:rPr>
              <w:t>ENG-04 - Member Self-Service, Digital Card &amp; Service Requests</w:t>
            </w:r>
          </w:p>
        </w:tc>
        <w:tc>
          <w:tcPr>
            <w:tcW w:type="dxa" w:w="4256"/>
            <w:vAlign w:val="center"/>
          </w:tcPr>
          <w:p>
            <w:pPr>
              <w:spacing w:before="0" w:after="30"/>
            </w:pPr>
            <w:r>
              <w:rPr>
                <w:sz w:val="14"/>
              </w:rPr>
              <w:t>High-impact changes show terms, financial impact and effective date before confirmation. Risky actions require step-up authentication and may require approval.</w:t>
            </w:r>
          </w:p>
        </w:tc>
        <w:tc>
          <w:tcPr>
            <w:tcW w:type="dxa" w:w="2979"/>
            <w:vAlign w:val="center"/>
          </w:tcPr>
          <w:p>
            <w:pPr>
              <w:spacing w:before="0" w:after="30"/>
            </w:pPr>
            <w:r>
              <w:rPr>
                <w:sz w:val="14"/>
              </w:rPr>
              <w:t>§10 ENG-04 Critical Controls + command/state transitions; §27 property/invariant tests; RB-ENG-04 recovery evidence; requirement-specific API/event contract tests.</w:t>
            </w:r>
          </w:p>
        </w:tc>
      </w:tr>
      <w:tr>
        <w:tc>
          <w:tcPr>
            <w:tcW w:type="dxa" w:w="1277"/>
            <w:vAlign w:val="center"/>
          </w:tcPr>
          <w:p>
            <w:pPr>
              <w:spacing w:before="0" w:after="30"/>
            </w:pPr>
            <w:r>
              <w:rPr>
                <w:sz w:val="14"/>
              </w:rPr>
              <w:t>INV-AUT-01</w:t>
            </w:r>
          </w:p>
        </w:tc>
        <w:tc>
          <w:tcPr>
            <w:tcW w:type="dxa" w:w="2553"/>
            <w:vAlign w:val="center"/>
          </w:tcPr>
          <w:p>
            <w:pPr>
              <w:spacing w:before="0" w:after="30"/>
            </w:pPr>
            <w:r>
              <w:rPr>
                <w:sz w:val="14"/>
              </w:rPr>
              <w:t>AUT-01 - Automation &amp; Workflow Orchestration</w:t>
            </w:r>
          </w:p>
        </w:tc>
        <w:tc>
          <w:tcPr>
            <w:tcW w:type="dxa" w:w="4256"/>
            <w:vAlign w:val="center"/>
          </w:tcPr>
          <w:p>
            <w:pPr>
              <w:spacing w:before="0" w:after="30"/>
            </w:pPr>
            <w:r>
              <w:rPr>
                <w:sz w:val="14"/>
              </w:rPr>
              <w:t>Workflows cannot exceed the privileges of their owner/service identity. Financial, access and health actions require purpose-built guarded actions, not generic mutation.</w:t>
            </w:r>
          </w:p>
        </w:tc>
        <w:tc>
          <w:tcPr>
            <w:tcW w:type="dxa" w:w="2979"/>
            <w:vAlign w:val="center"/>
          </w:tcPr>
          <w:p>
            <w:pPr>
              <w:spacing w:before="0" w:after="30"/>
            </w:pPr>
            <w:r>
              <w:rPr>
                <w:sz w:val="14"/>
              </w:rPr>
              <w:t>§10 AUT-01 Critical Controls + command/state transitions; §27 property/invariant tests; RB-AUT-01 recovery evidence; requirement-specific API/event contract tests.</w:t>
            </w:r>
          </w:p>
        </w:tc>
      </w:tr>
      <w:tr>
        <w:tc>
          <w:tcPr>
            <w:tcW w:type="dxa" w:w="1277"/>
            <w:vAlign w:val="center"/>
          </w:tcPr>
          <w:p>
            <w:pPr>
              <w:spacing w:before="0" w:after="30"/>
            </w:pPr>
            <w:r>
              <w:rPr>
                <w:sz w:val="14"/>
              </w:rPr>
              <w:t>INV-AUT-02</w:t>
            </w:r>
          </w:p>
        </w:tc>
        <w:tc>
          <w:tcPr>
            <w:tcW w:type="dxa" w:w="2553"/>
            <w:vAlign w:val="center"/>
          </w:tcPr>
          <w:p>
            <w:pPr>
              <w:spacing w:before="0" w:after="30"/>
            </w:pPr>
            <w:r>
              <w:rPr>
                <w:sz w:val="14"/>
              </w:rPr>
              <w:t>AUT-02 - Tasks, Cases, Approvals, SLAs &amp; Escalations</w:t>
            </w:r>
          </w:p>
        </w:tc>
        <w:tc>
          <w:tcPr>
            <w:tcW w:type="dxa" w:w="4256"/>
            <w:vAlign w:val="center"/>
          </w:tcPr>
          <w:p>
            <w:pPr>
              <w:spacing w:before="0" w:after="30"/>
            </w:pPr>
            <w:r>
              <w:rPr>
                <w:sz w:val="14"/>
              </w:rPr>
              <w:t>Approvers cannot approve their own restricted actions unless explicit emergency policy applies. SLA calculation is time-zone and business-calendar aware.</w:t>
            </w:r>
          </w:p>
        </w:tc>
        <w:tc>
          <w:tcPr>
            <w:tcW w:type="dxa" w:w="2979"/>
            <w:vAlign w:val="center"/>
          </w:tcPr>
          <w:p>
            <w:pPr>
              <w:spacing w:before="0" w:after="30"/>
            </w:pPr>
            <w:r>
              <w:rPr>
                <w:sz w:val="14"/>
              </w:rPr>
              <w:t>§10 AUT-02 Critical Controls + command/state transitions; §27 property/invariant tests; RB-AUT-02 recovery evidence; requirement-specific API/event contract tests.</w:t>
            </w:r>
          </w:p>
        </w:tc>
      </w:tr>
      <w:tr>
        <w:tc>
          <w:tcPr>
            <w:tcW w:type="dxa" w:w="1277"/>
            <w:vAlign w:val="center"/>
          </w:tcPr>
          <w:p>
            <w:pPr>
              <w:spacing w:before="0" w:after="30"/>
            </w:pPr>
            <w:r>
              <w:rPr>
                <w:sz w:val="14"/>
              </w:rPr>
              <w:t>INV-INT-01</w:t>
            </w:r>
          </w:p>
        </w:tc>
        <w:tc>
          <w:tcPr>
            <w:tcW w:type="dxa" w:w="2553"/>
            <w:vAlign w:val="center"/>
          </w:tcPr>
          <w:p>
            <w:pPr>
              <w:spacing w:before="0" w:after="30"/>
            </w:pPr>
            <w:r>
              <w:rPr>
                <w:sz w:val="14"/>
              </w:rPr>
              <w:t>INT-01 - Operational Analytics, BI, Forecasting &amp; Benchmarking</w:t>
            </w:r>
          </w:p>
        </w:tc>
        <w:tc>
          <w:tcPr>
            <w:tcW w:type="dxa" w:w="4256"/>
            <w:vAlign w:val="center"/>
          </w:tcPr>
          <w:p>
            <w:pPr>
              <w:spacing w:before="0" w:after="30"/>
            </w:pPr>
            <w:r>
              <w:rPr>
                <w:sz w:val="14"/>
              </w:rPr>
              <w:t>Metric definitions are governed and cannot differ silently across dashboards. Small cohorts and sensitive attributes are protected from re-identification.</w:t>
            </w:r>
          </w:p>
        </w:tc>
        <w:tc>
          <w:tcPr>
            <w:tcW w:type="dxa" w:w="2979"/>
            <w:vAlign w:val="center"/>
          </w:tcPr>
          <w:p>
            <w:pPr>
              <w:spacing w:before="0" w:after="30"/>
            </w:pPr>
            <w:r>
              <w:rPr>
                <w:sz w:val="14"/>
              </w:rPr>
              <w:t>§10 INT-01 Critical Controls + command/state transitions; §27 property/invariant tests; RB-INT-01 recovery evidence; requirement-specific API/event contract tests.</w:t>
            </w:r>
          </w:p>
        </w:tc>
      </w:tr>
      <w:tr>
        <w:tc>
          <w:tcPr>
            <w:tcW w:type="dxa" w:w="1277"/>
            <w:vAlign w:val="center"/>
          </w:tcPr>
          <w:p>
            <w:pPr>
              <w:spacing w:before="0" w:after="30"/>
            </w:pPr>
            <w:r>
              <w:rPr>
                <w:sz w:val="14"/>
              </w:rPr>
              <w:t>INV-INT-02</w:t>
            </w:r>
          </w:p>
        </w:tc>
        <w:tc>
          <w:tcPr>
            <w:tcW w:type="dxa" w:w="2553"/>
            <w:vAlign w:val="center"/>
          </w:tcPr>
          <w:p>
            <w:pPr>
              <w:spacing w:before="0" w:after="30"/>
            </w:pPr>
            <w:r>
              <w:rPr>
                <w:sz w:val="14"/>
              </w:rPr>
              <w:t>INT-02 - AI Platform, Copilots, Agents &amp; Governance</w:t>
            </w:r>
          </w:p>
        </w:tc>
        <w:tc>
          <w:tcPr>
            <w:tcW w:type="dxa" w:w="4256"/>
            <w:vAlign w:val="center"/>
          </w:tcPr>
          <w:p>
            <w:pPr>
              <w:spacing w:before="0" w:after="30"/>
            </w:pPr>
            <w:r>
              <w:rPr>
                <w:sz w:val="14"/>
              </w:rPr>
              <w:t>AI never receives broader data access than the requesting user and purpose. Irreversible or high-impact actions require explicit human approval. Health and nutrition outputs include scope limits and qualified escalation paths.</w:t>
            </w:r>
          </w:p>
        </w:tc>
        <w:tc>
          <w:tcPr>
            <w:tcW w:type="dxa" w:w="2979"/>
            <w:vAlign w:val="center"/>
          </w:tcPr>
          <w:p>
            <w:pPr>
              <w:spacing w:before="0" w:after="30"/>
            </w:pPr>
            <w:r>
              <w:rPr>
                <w:sz w:val="14"/>
              </w:rPr>
              <w:t>§10 INT-02 Critical Controls + command/state transitions; §27 property/invariant tests; RB-INT-02 recovery evidence; requirement-specific API/event contract tests.</w:t>
            </w:r>
          </w:p>
        </w:tc>
      </w:tr>
      <w:tr>
        <w:tc>
          <w:tcPr>
            <w:tcW w:type="dxa" w:w="1277"/>
            <w:vAlign w:val="center"/>
          </w:tcPr>
          <w:p>
            <w:pPr>
              <w:spacing w:before="0" w:after="30"/>
            </w:pPr>
            <w:r>
              <w:rPr>
                <w:sz w:val="14"/>
              </w:rPr>
              <w:t>INV-INT-03</w:t>
            </w:r>
          </w:p>
        </w:tc>
        <w:tc>
          <w:tcPr>
            <w:tcW w:type="dxa" w:w="2553"/>
            <w:vAlign w:val="center"/>
          </w:tcPr>
          <w:p>
            <w:pPr>
              <w:spacing w:before="0" w:after="30"/>
            </w:pPr>
            <w:r>
              <w:rPr>
                <w:sz w:val="14"/>
              </w:rPr>
              <w:t>INT-03 - Global Search, Command Bar &amp; Knowledge Navigation</w:t>
            </w:r>
          </w:p>
        </w:tc>
        <w:tc>
          <w:tcPr>
            <w:tcW w:type="dxa" w:w="4256"/>
            <w:vAlign w:val="center"/>
          </w:tcPr>
          <w:p>
            <w:pPr>
              <w:spacing w:before="0" w:after="30"/>
            </w:pPr>
            <w:r>
              <w:rPr>
                <w:sz w:val="14"/>
              </w:rPr>
              <w:t>Search can never be used to bypass field or record permissions. Commands show target, effect and required approval before execution.</w:t>
            </w:r>
          </w:p>
        </w:tc>
        <w:tc>
          <w:tcPr>
            <w:tcW w:type="dxa" w:w="2979"/>
            <w:vAlign w:val="center"/>
          </w:tcPr>
          <w:p>
            <w:pPr>
              <w:spacing w:before="0" w:after="30"/>
            </w:pPr>
            <w:r>
              <w:rPr>
                <w:sz w:val="14"/>
              </w:rPr>
              <w:t>§10 INT-03 Critical Controls + command/state transitions; §27 property/invariant tests; RB-INT-03 recovery evidence; requirement-specific API/event contract tests.</w:t>
            </w:r>
          </w:p>
        </w:tc>
      </w:tr>
      <w:tr>
        <w:tc>
          <w:tcPr>
            <w:tcW w:type="dxa" w:w="1277"/>
            <w:vAlign w:val="center"/>
          </w:tcPr>
          <w:p>
            <w:pPr>
              <w:spacing w:before="0" w:after="30"/>
            </w:pPr>
            <w:r>
              <w:rPr>
                <w:sz w:val="14"/>
              </w:rPr>
              <w:t>INV-B2B-01</w:t>
            </w:r>
          </w:p>
        </w:tc>
        <w:tc>
          <w:tcPr>
            <w:tcW w:type="dxa" w:w="2553"/>
            <w:vAlign w:val="center"/>
          </w:tcPr>
          <w:p>
            <w:pPr>
              <w:spacing w:before="0" w:after="30"/>
            </w:pPr>
            <w:r>
              <w:rPr>
                <w:sz w:val="14"/>
              </w:rPr>
              <w:t>B2B-01 - Corporate Memberships &amp; Employer Portal</w:t>
            </w:r>
          </w:p>
        </w:tc>
        <w:tc>
          <w:tcPr>
            <w:tcW w:type="dxa" w:w="4256"/>
            <w:vAlign w:val="center"/>
          </w:tcPr>
          <w:p>
            <w:pPr>
              <w:spacing w:before="0" w:after="30"/>
            </w:pPr>
            <w:r>
              <w:rPr>
                <w:sz w:val="14"/>
              </w:rPr>
              <w:t>Employers receive only contractually permitted aggregate data. Individual health, coaching and sensitive activity remains private unless explicitly authorized.</w:t>
            </w:r>
          </w:p>
        </w:tc>
        <w:tc>
          <w:tcPr>
            <w:tcW w:type="dxa" w:w="2979"/>
            <w:vAlign w:val="center"/>
          </w:tcPr>
          <w:p>
            <w:pPr>
              <w:spacing w:before="0" w:after="30"/>
            </w:pPr>
            <w:r>
              <w:rPr>
                <w:sz w:val="14"/>
              </w:rPr>
              <w:t>§10 B2B-01 Critical Controls + command/state transitions; §27 property/invariant tests; RB-B2B-01 recovery evidence; requirement-specific API/event contract tests.</w:t>
            </w:r>
          </w:p>
        </w:tc>
      </w:tr>
      <w:tr>
        <w:tc>
          <w:tcPr>
            <w:tcW w:type="dxa" w:w="1277"/>
            <w:vAlign w:val="center"/>
          </w:tcPr>
          <w:p>
            <w:pPr>
              <w:spacing w:before="0" w:after="30"/>
            </w:pPr>
            <w:r>
              <w:rPr>
                <w:sz w:val="14"/>
              </w:rPr>
              <w:t>INV-B2B-02</w:t>
            </w:r>
          </w:p>
        </w:tc>
        <w:tc>
          <w:tcPr>
            <w:tcW w:type="dxa" w:w="2553"/>
            <w:vAlign w:val="center"/>
          </w:tcPr>
          <w:p>
            <w:pPr>
              <w:spacing w:before="0" w:after="30"/>
            </w:pPr>
            <w:r>
              <w:rPr>
                <w:sz w:val="14"/>
              </w:rPr>
              <w:t>B2B-02 - Franchise, Multi-brand &amp; Chain Command Center</w:t>
            </w:r>
          </w:p>
        </w:tc>
        <w:tc>
          <w:tcPr>
            <w:tcW w:type="dxa" w:w="4256"/>
            <w:vAlign w:val="center"/>
          </w:tcPr>
          <w:p>
            <w:pPr>
              <w:spacing w:before="0" w:after="30"/>
            </w:pPr>
            <w:r>
              <w:rPr>
                <w:sz w:val="14"/>
              </w:rPr>
              <w:t>Local overrides are explicit, bounded and reviewable. Cross-location analytics use governed definitions and ownership rules.</w:t>
            </w:r>
          </w:p>
        </w:tc>
        <w:tc>
          <w:tcPr>
            <w:tcW w:type="dxa" w:w="2979"/>
            <w:vAlign w:val="center"/>
          </w:tcPr>
          <w:p>
            <w:pPr>
              <w:spacing w:before="0" w:after="30"/>
            </w:pPr>
            <w:r>
              <w:rPr>
                <w:sz w:val="14"/>
              </w:rPr>
              <w:t>§10 B2B-02 Critical Controls + command/state transitions; §27 property/invariant tests; RB-B2B-02 recovery evidence; requirement-specific API/event contract tests.</w:t>
            </w:r>
          </w:p>
        </w:tc>
      </w:tr>
      <w:tr>
        <w:tc>
          <w:tcPr>
            <w:tcW w:type="dxa" w:w="1277"/>
            <w:vAlign w:val="center"/>
          </w:tcPr>
          <w:p>
            <w:pPr>
              <w:spacing w:before="0" w:after="30"/>
            </w:pPr>
            <w:r>
              <w:rPr>
                <w:sz w:val="14"/>
              </w:rPr>
              <w:t>INV-ECO-01</w:t>
            </w:r>
          </w:p>
        </w:tc>
        <w:tc>
          <w:tcPr>
            <w:tcW w:type="dxa" w:w="2553"/>
            <w:vAlign w:val="center"/>
          </w:tcPr>
          <w:p>
            <w:pPr>
              <w:spacing w:before="0" w:after="30"/>
            </w:pPr>
            <w:r>
              <w:rPr>
                <w:sz w:val="14"/>
              </w:rPr>
              <w:t>ECO-01 - Developer Platform, APIs, Webhooks &amp; Sandbox</w:t>
            </w:r>
          </w:p>
        </w:tc>
        <w:tc>
          <w:tcPr>
            <w:tcW w:type="dxa" w:w="4256"/>
            <w:vAlign w:val="center"/>
          </w:tcPr>
          <w:p>
            <w:pPr>
              <w:spacing w:before="0" w:after="30"/>
            </w:pPr>
            <w:r>
              <w:rPr>
                <w:sz w:val="14"/>
              </w:rPr>
              <w:t>API authorization is tenant-bound and scope-limited. Backward compatibility and deprecation windows are contractual product commitments.</w:t>
            </w:r>
          </w:p>
        </w:tc>
        <w:tc>
          <w:tcPr>
            <w:tcW w:type="dxa" w:w="2979"/>
            <w:vAlign w:val="center"/>
          </w:tcPr>
          <w:p>
            <w:pPr>
              <w:spacing w:before="0" w:after="30"/>
            </w:pPr>
            <w:r>
              <w:rPr>
                <w:sz w:val="14"/>
              </w:rPr>
              <w:t>§10 ECO-01 Critical Controls + command/state transitions; §27 property/invariant tests; RB-ECO-01 recovery evidence; requirement-specific API/event contract tests.</w:t>
            </w:r>
          </w:p>
        </w:tc>
      </w:tr>
      <w:tr>
        <w:tc>
          <w:tcPr>
            <w:tcW w:type="dxa" w:w="1277"/>
            <w:vAlign w:val="center"/>
          </w:tcPr>
          <w:p>
            <w:pPr>
              <w:spacing w:before="0" w:after="30"/>
            </w:pPr>
            <w:r>
              <w:rPr>
                <w:sz w:val="14"/>
              </w:rPr>
              <w:t>INV-ECO-02</w:t>
            </w:r>
          </w:p>
        </w:tc>
        <w:tc>
          <w:tcPr>
            <w:tcW w:type="dxa" w:w="2553"/>
            <w:vAlign w:val="center"/>
          </w:tcPr>
          <w:p>
            <w:pPr>
              <w:spacing w:before="0" w:after="30"/>
            </w:pPr>
            <w:r>
              <w:rPr>
                <w:sz w:val="14"/>
              </w:rPr>
              <w:t>ECO-02 - Integration Framework, Marketplace &amp; Partner Ecosystem</w:t>
            </w:r>
          </w:p>
        </w:tc>
        <w:tc>
          <w:tcPr>
            <w:tcW w:type="dxa" w:w="4256"/>
            <w:vAlign w:val="center"/>
          </w:tcPr>
          <w:p>
            <w:pPr>
              <w:spacing w:before="0" w:after="30"/>
            </w:pPr>
            <w:r>
              <w:rPr>
                <w:sz w:val="14"/>
              </w:rPr>
              <w:t>Third parties receive only required data and permissions. Critical integrations require fallback, reconciliation and documented exit strategy.</w:t>
            </w:r>
          </w:p>
        </w:tc>
        <w:tc>
          <w:tcPr>
            <w:tcW w:type="dxa" w:w="2979"/>
            <w:vAlign w:val="center"/>
          </w:tcPr>
          <w:p>
            <w:pPr>
              <w:spacing w:before="0" w:after="30"/>
            </w:pPr>
            <w:r>
              <w:rPr>
                <w:sz w:val="14"/>
              </w:rPr>
              <w:t>§10 ECO-02 Critical Controls + command/state transitions; §27 property/invariant tests; RB-ECO-02 recovery evidence; requirement-specific API/event contract tests.</w:t>
            </w:r>
          </w:p>
        </w:tc>
      </w:tr>
      <w:tr>
        <w:tc>
          <w:tcPr>
            <w:tcW w:type="dxa" w:w="1277"/>
            <w:vAlign w:val="center"/>
          </w:tcPr>
          <w:p>
            <w:pPr>
              <w:spacing w:before="0" w:after="30"/>
            </w:pPr>
            <w:r>
              <w:rPr>
                <w:sz w:val="14"/>
              </w:rPr>
              <w:t>INV-ECO-03</w:t>
            </w:r>
          </w:p>
        </w:tc>
        <w:tc>
          <w:tcPr>
            <w:tcW w:type="dxa" w:w="2553"/>
            <w:vAlign w:val="center"/>
          </w:tcPr>
          <w:p>
            <w:pPr>
              <w:spacing w:before="0" w:after="30"/>
            </w:pPr>
            <w:r>
              <w:rPr>
                <w:sz w:val="14"/>
              </w:rPr>
              <w:t>ECO-03 - Hardware Abstraction, Edge Runtime &amp; Device Fleet</w:t>
            </w:r>
          </w:p>
        </w:tc>
        <w:tc>
          <w:tcPr>
            <w:tcW w:type="dxa" w:w="4256"/>
            <w:vAlign w:val="center"/>
          </w:tcPr>
          <w:p>
            <w:pPr>
              <w:spacing w:before="0" w:after="30"/>
            </w:pPr>
            <w:r>
              <w:rPr>
                <w:sz w:val="14"/>
              </w:rPr>
              <w:t>Devices authenticate with rotating certificates; default credentials are forbidden. Remote commands are scoped, signed, audited and bounded by device safety.</w:t>
            </w:r>
          </w:p>
        </w:tc>
        <w:tc>
          <w:tcPr>
            <w:tcW w:type="dxa" w:w="2979"/>
            <w:vAlign w:val="center"/>
          </w:tcPr>
          <w:p>
            <w:pPr>
              <w:spacing w:before="0" w:after="30"/>
            </w:pPr>
            <w:r>
              <w:rPr>
                <w:sz w:val="14"/>
              </w:rPr>
              <w:t>§10 ECO-03 Critical Controls + command/state transitions; §27 property/invariant tests; RB-ECO-03 recovery evidence; requirement-specific API/event contract tests.</w:t>
            </w:r>
          </w:p>
        </w:tc>
      </w:tr>
      <w:tr>
        <w:tc>
          <w:tcPr>
            <w:tcW w:type="dxa" w:w="1277"/>
            <w:vAlign w:val="center"/>
          </w:tcPr>
          <w:p>
            <w:pPr>
              <w:spacing w:before="0" w:after="30"/>
            </w:pPr>
            <w:r>
              <w:rPr>
                <w:sz w:val="14"/>
              </w:rPr>
              <w:t>INV-WHT-01</w:t>
            </w:r>
          </w:p>
        </w:tc>
        <w:tc>
          <w:tcPr>
            <w:tcW w:type="dxa" w:w="2553"/>
            <w:vAlign w:val="center"/>
          </w:tcPr>
          <w:p>
            <w:pPr>
              <w:spacing w:before="0" w:after="30"/>
            </w:pPr>
            <w:r>
              <w:rPr>
                <w:sz w:val="14"/>
              </w:rPr>
              <w:t>WHT-01 - White-label, App Builder, CMS &amp; Mobile Release Operations</w:t>
            </w:r>
          </w:p>
        </w:tc>
        <w:tc>
          <w:tcPr>
            <w:tcW w:type="dxa" w:w="4256"/>
            <w:vAlign w:val="center"/>
          </w:tcPr>
          <w:p>
            <w:pPr>
              <w:spacing w:before="0" w:after="30"/>
            </w:pPr>
            <w:r>
              <w:rPr>
                <w:sz w:val="14"/>
              </w:rPr>
              <w:t>Tenant customization is configuration and content, never unreviewed executable code. Store credentials and signing materials are isolated, encrypted and rotated.</w:t>
            </w:r>
          </w:p>
        </w:tc>
        <w:tc>
          <w:tcPr>
            <w:tcW w:type="dxa" w:w="2979"/>
            <w:vAlign w:val="center"/>
          </w:tcPr>
          <w:p>
            <w:pPr>
              <w:spacing w:before="0" w:after="30"/>
            </w:pPr>
            <w:r>
              <w:rPr>
                <w:sz w:val="14"/>
              </w:rPr>
              <w:t>§10 WHT-01 Critical Controls + command/state transitions; §27 property/invariant tests; RB-WHT-01 recovery evidence; requirement-specific API/event contract tests.</w:t>
            </w:r>
          </w:p>
        </w:tc>
      </w:tr>
      <w:tr>
        <w:tc>
          <w:tcPr>
            <w:tcW w:type="dxa" w:w="1277"/>
            <w:vAlign w:val="center"/>
          </w:tcPr>
          <w:p>
            <w:pPr>
              <w:spacing w:before="0" w:after="30"/>
            </w:pPr>
            <w:r>
              <w:rPr>
                <w:sz w:val="14"/>
              </w:rPr>
              <w:t>INV-WHT-02</w:t>
            </w:r>
          </w:p>
        </w:tc>
        <w:tc>
          <w:tcPr>
            <w:tcW w:type="dxa" w:w="2553"/>
            <w:vAlign w:val="center"/>
          </w:tcPr>
          <w:p>
            <w:pPr>
              <w:spacing w:before="0" w:after="30"/>
            </w:pPr>
            <w:r>
              <w:rPr>
                <w:sz w:val="14"/>
              </w:rPr>
              <w:t>WHT-02 - Localization, RTL, Accessibility &amp; Regional Policy</w:t>
            </w:r>
          </w:p>
        </w:tc>
        <w:tc>
          <w:tcPr>
            <w:tcW w:type="dxa" w:w="4256"/>
            <w:vAlign w:val="center"/>
          </w:tcPr>
          <w:p>
            <w:pPr>
              <w:spacing w:before="0" w:after="30"/>
            </w:pPr>
            <w:r>
              <w:rPr>
                <w:sz w:val="14"/>
              </w:rPr>
              <w:t>No critical workflow is considered complete until tested in Arabic RTL and English LTR. Accessibility conformance is measurable and release-blocking for critical defects.</w:t>
            </w:r>
          </w:p>
        </w:tc>
        <w:tc>
          <w:tcPr>
            <w:tcW w:type="dxa" w:w="2979"/>
            <w:vAlign w:val="center"/>
          </w:tcPr>
          <w:p>
            <w:pPr>
              <w:spacing w:before="0" w:after="30"/>
            </w:pPr>
            <w:r>
              <w:rPr>
                <w:sz w:val="14"/>
              </w:rPr>
              <w:t>§10 WHT-02 Critical Controls + command/state transitions; §27 property/invariant tests; RB-WHT-02 recovery evidence; requirement-specific API/event contract tests.</w:t>
            </w:r>
          </w:p>
        </w:tc>
      </w:tr>
      <w:tr>
        <w:tc>
          <w:tcPr>
            <w:tcW w:type="dxa" w:w="1277"/>
            <w:vAlign w:val="center"/>
          </w:tcPr>
          <w:p>
            <w:pPr>
              <w:spacing w:before="0" w:after="30"/>
            </w:pPr>
            <w:r>
              <w:rPr>
                <w:sz w:val="14"/>
              </w:rPr>
              <w:t>INV-DAT-01</w:t>
            </w:r>
          </w:p>
        </w:tc>
        <w:tc>
          <w:tcPr>
            <w:tcW w:type="dxa" w:w="2553"/>
            <w:vAlign w:val="center"/>
          </w:tcPr>
          <w:p>
            <w:pPr>
              <w:spacing w:before="0" w:after="30"/>
            </w:pPr>
            <w:r>
              <w:rPr>
                <w:sz w:val="14"/>
              </w:rPr>
              <w:t>DAT-01 - Domain Events, Event Bus &amp; Operational Timeline</w:t>
            </w:r>
          </w:p>
        </w:tc>
        <w:tc>
          <w:tcPr>
            <w:tcW w:type="dxa" w:w="4256"/>
            <w:vAlign w:val="center"/>
          </w:tcPr>
          <w:p>
            <w:pPr>
              <w:spacing w:before="0" w:after="30"/>
            </w:pPr>
            <w:r>
              <w:rPr>
                <w:sz w:val="14"/>
              </w:rPr>
              <w:t>Events contain only data needed by approved consumers and preserve tenant boundaries. Schema changes follow compatibility and consumer migration policy.</w:t>
            </w:r>
          </w:p>
        </w:tc>
        <w:tc>
          <w:tcPr>
            <w:tcW w:type="dxa" w:w="2979"/>
            <w:vAlign w:val="center"/>
          </w:tcPr>
          <w:p>
            <w:pPr>
              <w:spacing w:before="0" w:after="30"/>
            </w:pPr>
            <w:r>
              <w:rPr>
                <w:sz w:val="14"/>
              </w:rPr>
              <w:t>§10 DAT-01 Critical Controls + command/state transitions; §27 property/invariant tests; RB-DAT-01 recovery evidence; requirement-specific API/event contract tests.</w:t>
            </w:r>
          </w:p>
        </w:tc>
      </w:tr>
      <w:tr>
        <w:tc>
          <w:tcPr>
            <w:tcW w:type="dxa" w:w="1277"/>
            <w:vAlign w:val="center"/>
          </w:tcPr>
          <w:p>
            <w:pPr>
              <w:spacing w:before="0" w:after="30"/>
            </w:pPr>
            <w:r>
              <w:rPr>
                <w:sz w:val="14"/>
              </w:rPr>
              <w:t>INV-DAT-02</w:t>
            </w:r>
          </w:p>
        </w:tc>
        <w:tc>
          <w:tcPr>
            <w:tcW w:type="dxa" w:w="2553"/>
            <w:vAlign w:val="center"/>
          </w:tcPr>
          <w:p>
            <w:pPr>
              <w:spacing w:before="0" w:after="30"/>
            </w:pPr>
            <w:r>
              <w:rPr>
                <w:sz w:val="14"/>
              </w:rPr>
              <w:t>DAT-02 - Data Platform, Warehouse, Governance &amp; Data Products</w:t>
            </w:r>
          </w:p>
        </w:tc>
        <w:tc>
          <w:tcPr>
            <w:tcW w:type="dxa" w:w="4256"/>
            <w:vAlign w:val="center"/>
          </w:tcPr>
          <w:p>
            <w:pPr>
              <w:spacing w:before="0" w:after="30"/>
            </w:pPr>
            <w:r>
              <w:rPr>
                <w:sz w:val="14"/>
              </w:rPr>
              <w:t>Derived data inherits the strictest relevant classification and tenant policy. Metric and model inputs expose freshness and quality state.</w:t>
            </w:r>
          </w:p>
        </w:tc>
        <w:tc>
          <w:tcPr>
            <w:tcW w:type="dxa" w:w="2979"/>
            <w:vAlign w:val="center"/>
          </w:tcPr>
          <w:p>
            <w:pPr>
              <w:spacing w:before="0" w:after="30"/>
            </w:pPr>
            <w:r>
              <w:rPr>
                <w:sz w:val="14"/>
              </w:rPr>
              <w:t>§10 DAT-02 Critical Controls + command/state transitions; §27 property/invariant tests; RB-DAT-02 recovery evidence; requirement-specific API/event contract tests.</w:t>
            </w:r>
          </w:p>
        </w:tc>
      </w:tr>
      <w:tr>
        <w:tc>
          <w:tcPr>
            <w:tcW w:type="dxa" w:w="1277"/>
            <w:vAlign w:val="center"/>
          </w:tcPr>
          <w:p>
            <w:pPr>
              <w:spacing w:before="0" w:after="30"/>
            </w:pPr>
            <w:r>
              <w:rPr>
                <w:sz w:val="14"/>
              </w:rPr>
              <w:t>INV-SEC-01</w:t>
            </w:r>
          </w:p>
        </w:tc>
        <w:tc>
          <w:tcPr>
            <w:tcW w:type="dxa" w:w="2553"/>
            <w:vAlign w:val="center"/>
          </w:tcPr>
          <w:p>
            <w:pPr>
              <w:spacing w:before="0" w:after="30"/>
            </w:pPr>
            <w:r>
              <w:rPr>
                <w:sz w:val="14"/>
              </w:rPr>
              <w:t>SEC-01 - Security, Privacy, Compliance &amp; Consent</w:t>
            </w:r>
          </w:p>
        </w:tc>
        <w:tc>
          <w:tcPr>
            <w:tcW w:type="dxa" w:w="4256"/>
            <w:vAlign w:val="center"/>
          </w:tcPr>
          <w:p>
            <w:pPr>
              <w:spacing w:before="0" w:after="30"/>
            </w:pPr>
            <w:r>
              <w:rPr>
                <w:sz w:val="14"/>
              </w:rPr>
              <w:t>Privacy and security review is mandatory for biometric, health, AI and new data-sharing capabilities. Production access is just-in-time, purpose-bound and audited.</w:t>
            </w:r>
          </w:p>
        </w:tc>
        <w:tc>
          <w:tcPr>
            <w:tcW w:type="dxa" w:w="2979"/>
            <w:vAlign w:val="center"/>
          </w:tcPr>
          <w:p>
            <w:pPr>
              <w:spacing w:before="0" w:after="30"/>
            </w:pPr>
            <w:r>
              <w:rPr>
                <w:sz w:val="14"/>
              </w:rPr>
              <w:t>§10 SEC-01 Critical Controls + command/state transitions; §27 property/invariant tests; RB-SEC-01 recovery evidence; requirement-specific API/event contract tests.</w:t>
            </w:r>
          </w:p>
        </w:tc>
      </w:tr>
      <w:tr>
        <w:tc>
          <w:tcPr>
            <w:tcW w:type="dxa" w:w="1277"/>
            <w:vAlign w:val="center"/>
          </w:tcPr>
          <w:p>
            <w:pPr>
              <w:spacing w:before="0" w:after="30"/>
            </w:pPr>
            <w:r>
              <w:rPr>
                <w:sz w:val="14"/>
              </w:rPr>
              <w:t>INV-SEC-02</w:t>
            </w:r>
          </w:p>
        </w:tc>
        <w:tc>
          <w:tcPr>
            <w:tcW w:type="dxa" w:w="2553"/>
            <w:vAlign w:val="center"/>
          </w:tcPr>
          <w:p>
            <w:pPr>
              <w:spacing w:before="0" w:after="30"/>
            </w:pPr>
            <w:r>
              <w:rPr>
                <w:sz w:val="14"/>
              </w:rPr>
              <w:t>SEC-02 - Fraud, Abuse, Trust &amp; Content Moderation</w:t>
            </w:r>
          </w:p>
        </w:tc>
        <w:tc>
          <w:tcPr>
            <w:tcW w:type="dxa" w:w="4256"/>
            <w:vAlign w:val="center"/>
          </w:tcPr>
          <w:p>
            <w:pPr>
              <w:spacing w:before="0" w:after="30"/>
            </w:pPr>
            <w:r>
              <w:rPr>
                <w:sz w:val="14"/>
              </w:rPr>
              <w:t>Automated detection does not impose severe irreversible penalties without review. Risk data is restricted, retained appropriately and not exposed to unrelated staff.</w:t>
            </w:r>
          </w:p>
        </w:tc>
        <w:tc>
          <w:tcPr>
            <w:tcW w:type="dxa" w:w="2979"/>
            <w:vAlign w:val="center"/>
          </w:tcPr>
          <w:p>
            <w:pPr>
              <w:spacing w:before="0" w:after="30"/>
            </w:pPr>
            <w:r>
              <w:rPr>
                <w:sz w:val="14"/>
              </w:rPr>
              <w:t>§10 SEC-02 Critical Controls + command/state transitions; §27 property/invariant tests; RB-SEC-02 recovery evidence; requirement-specific API/event contract tests.</w:t>
            </w:r>
          </w:p>
        </w:tc>
      </w:tr>
      <w:tr>
        <w:tc>
          <w:tcPr>
            <w:tcW w:type="dxa" w:w="1277"/>
            <w:vAlign w:val="center"/>
          </w:tcPr>
          <w:p>
            <w:pPr>
              <w:spacing w:before="0" w:after="30"/>
            </w:pPr>
            <w:r>
              <w:rPr>
                <w:sz w:val="14"/>
              </w:rPr>
              <w:t>INV-REL-01</w:t>
            </w:r>
          </w:p>
        </w:tc>
        <w:tc>
          <w:tcPr>
            <w:tcW w:type="dxa" w:w="2553"/>
            <w:vAlign w:val="center"/>
          </w:tcPr>
          <w:p>
            <w:pPr>
              <w:spacing w:before="0" w:after="30"/>
            </w:pPr>
            <w:r>
              <w:rPr>
                <w:sz w:val="14"/>
              </w:rPr>
              <w:t>REL-01 - Reliability, Offline Operation, Business Continuity &amp; Incident Management</w:t>
            </w:r>
          </w:p>
        </w:tc>
        <w:tc>
          <w:tcPr>
            <w:tcW w:type="dxa" w:w="4256"/>
            <w:vAlign w:val="center"/>
          </w:tcPr>
          <w:p>
            <w:pPr>
              <w:spacing w:before="0" w:after="30"/>
            </w:pPr>
            <w:r>
              <w:rPr>
                <w:sz w:val="14"/>
              </w:rPr>
              <w:t>Critical workflows define explicit degraded behavior rather than fail unpredictably. Backups are not considered valid until restore drills pass.</w:t>
            </w:r>
          </w:p>
        </w:tc>
        <w:tc>
          <w:tcPr>
            <w:tcW w:type="dxa" w:w="2979"/>
            <w:vAlign w:val="center"/>
          </w:tcPr>
          <w:p>
            <w:pPr>
              <w:spacing w:before="0" w:after="30"/>
            </w:pPr>
            <w:r>
              <w:rPr>
                <w:sz w:val="14"/>
              </w:rPr>
              <w:t>§10 REL-01 Critical Controls + command/state transitions; §27 property/invariant tests; RB-REL-01 recovery evidence; requirement-specific API/event contract tests.</w:t>
            </w:r>
          </w:p>
        </w:tc>
      </w:tr>
      <w:tr>
        <w:tc>
          <w:tcPr>
            <w:tcW w:type="dxa" w:w="1277"/>
            <w:vAlign w:val="center"/>
          </w:tcPr>
          <w:p>
            <w:pPr>
              <w:spacing w:before="0" w:after="30"/>
            </w:pPr>
            <w:r>
              <w:rPr>
                <w:sz w:val="14"/>
              </w:rPr>
              <w:t>INV-REL-02</w:t>
            </w:r>
          </w:p>
        </w:tc>
        <w:tc>
          <w:tcPr>
            <w:tcW w:type="dxa" w:w="2553"/>
            <w:vAlign w:val="center"/>
          </w:tcPr>
          <w:p>
            <w:pPr>
              <w:spacing w:before="0" w:after="30"/>
            </w:pPr>
            <w:r>
              <w:rPr>
                <w:sz w:val="14"/>
              </w:rPr>
              <w:t>REL-02 - Observability, Performance, Capacity &amp; FinOps</w:t>
            </w:r>
          </w:p>
        </w:tc>
        <w:tc>
          <w:tcPr>
            <w:tcW w:type="dxa" w:w="4256"/>
            <w:vAlign w:val="center"/>
          </w:tcPr>
          <w:p>
            <w:pPr>
              <w:spacing w:before="0" w:after="30"/>
            </w:pPr>
            <w:r>
              <w:rPr>
                <w:sz w:val="14"/>
              </w:rPr>
              <w:t>Observability data is redacted and access-controlled; logs are not a shadow database. Alerts must be actionable, owned and tied to user/business impact.</w:t>
            </w:r>
          </w:p>
        </w:tc>
        <w:tc>
          <w:tcPr>
            <w:tcW w:type="dxa" w:w="2979"/>
            <w:vAlign w:val="center"/>
          </w:tcPr>
          <w:p>
            <w:pPr>
              <w:spacing w:before="0" w:after="30"/>
            </w:pPr>
            <w:r>
              <w:rPr>
                <w:sz w:val="14"/>
              </w:rPr>
              <w:t>§10 REL-02 Critical Controls + command/state transitions; §27 property/invariant tests; RB-REL-02 recovery evidence; requirement-specific API/event contract tests.</w:t>
            </w:r>
          </w:p>
        </w:tc>
      </w:tr>
      <w:tr>
        <w:tc>
          <w:tcPr>
            <w:tcW w:type="dxa" w:w="1277"/>
            <w:vAlign w:val="center"/>
          </w:tcPr>
          <w:p>
            <w:pPr>
              <w:spacing w:before="0" w:after="30"/>
            </w:pPr>
            <w:r>
              <w:rPr>
                <w:sz w:val="14"/>
              </w:rPr>
              <w:t>INV-LIF-01</w:t>
            </w:r>
          </w:p>
        </w:tc>
        <w:tc>
          <w:tcPr>
            <w:tcW w:type="dxa" w:w="2553"/>
            <w:vAlign w:val="center"/>
          </w:tcPr>
          <w:p>
            <w:pPr>
              <w:spacing w:before="0" w:after="30"/>
            </w:pPr>
            <w:r>
              <w:rPr>
                <w:sz w:val="14"/>
              </w:rPr>
              <w:t>LIF-01 - Onboarding, Implementation &amp; Go-live Readiness</w:t>
            </w:r>
          </w:p>
        </w:tc>
        <w:tc>
          <w:tcPr>
            <w:tcW w:type="dxa" w:w="4256"/>
            <w:vAlign w:val="center"/>
          </w:tcPr>
          <w:p>
            <w:pPr>
              <w:spacing w:before="0" w:after="30"/>
            </w:pPr>
            <w:r>
              <w:rPr>
                <w:sz w:val="14"/>
              </w:rPr>
              <w:t>No tenant goes live without validated rollback and business-continuity plan. Readiness gates are evidence-based, not subjective status labels.</w:t>
            </w:r>
          </w:p>
        </w:tc>
        <w:tc>
          <w:tcPr>
            <w:tcW w:type="dxa" w:w="2979"/>
            <w:vAlign w:val="center"/>
          </w:tcPr>
          <w:p>
            <w:pPr>
              <w:spacing w:before="0" w:after="30"/>
            </w:pPr>
            <w:r>
              <w:rPr>
                <w:sz w:val="14"/>
              </w:rPr>
              <w:t>§10 LIF-01 Critical Controls + command/state transitions; §27 property/invariant tests; RB-LIF-01 recovery evidence; requirement-specific API/event contract tests.</w:t>
            </w:r>
          </w:p>
        </w:tc>
      </w:tr>
      <w:tr>
        <w:tc>
          <w:tcPr>
            <w:tcW w:type="dxa" w:w="1277"/>
            <w:vAlign w:val="center"/>
          </w:tcPr>
          <w:p>
            <w:pPr>
              <w:spacing w:before="0" w:after="30"/>
            </w:pPr>
            <w:r>
              <w:rPr>
                <w:sz w:val="14"/>
              </w:rPr>
              <w:t>INV-LIF-02</w:t>
            </w:r>
          </w:p>
        </w:tc>
        <w:tc>
          <w:tcPr>
            <w:tcW w:type="dxa" w:w="2553"/>
            <w:vAlign w:val="center"/>
          </w:tcPr>
          <w:p>
            <w:pPr>
              <w:spacing w:before="0" w:after="30"/>
            </w:pPr>
            <w:r>
              <w:rPr>
                <w:sz w:val="14"/>
              </w:rPr>
              <w:t>LIF-02 - Migration, Import, Validation &amp; Cutover</w:t>
            </w:r>
          </w:p>
        </w:tc>
        <w:tc>
          <w:tcPr>
            <w:tcW w:type="dxa" w:w="4256"/>
            <w:vAlign w:val="center"/>
          </w:tcPr>
          <w:p>
            <w:pPr>
              <w:spacing w:before="0" w:after="30"/>
            </w:pPr>
            <w:r>
              <w:rPr>
                <w:sz w:val="14"/>
              </w:rPr>
              <w:t>Financial and entitlement totals require explicit reconciliation and customer sign-off. Source files are encrypted, access-limited and deleted by policy.</w:t>
            </w:r>
          </w:p>
        </w:tc>
        <w:tc>
          <w:tcPr>
            <w:tcW w:type="dxa" w:w="2979"/>
            <w:vAlign w:val="center"/>
          </w:tcPr>
          <w:p>
            <w:pPr>
              <w:spacing w:before="0" w:after="30"/>
            </w:pPr>
            <w:r>
              <w:rPr>
                <w:sz w:val="14"/>
              </w:rPr>
              <w:t>§10 LIF-02 Critical Controls + command/state transitions; §27 property/invariant tests; RB-LIF-02 recovery evidence; requirement-specific API/event contract tests.</w:t>
            </w:r>
          </w:p>
        </w:tc>
      </w:tr>
      <w:tr>
        <w:tc>
          <w:tcPr>
            <w:tcW w:type="dxa" w:w="1277"/>
            <w:vAlign w:val="center"/>
          </w:tcPr>
          <w:p>
            <w:pPr>
              <w:spacing w:before="0" w:after="30"/>
            </w:pPr>
            <w:r>
              <w:rPr>
                <w:sz w:val="14"/>
              </w:rPr>
              <w:t>INV-LIF-03</w:t>
            </w:r>
          </w:p>
        </w:tc>
        <w:tc>
          <w:tcPr>
            <w:tcW w:type="dxa" w:w="2553"/>
            <w:vAlign w:val="center"/>
          </w:tcPr>
          <w:p>
            <w:pPr>
              <w:spacing w:before="0" w:after="30"/>
            </w:pPr>
            <w:r>
              <w:rPr>
                <w:sz w:val="14"/>
              </w:rPr>
              <w:t>LIF-03 - Offboarding, Data Portability, Archival &amp; Deletion</w:t>
            </w:r>
          </w:p>
        </w:tc>
        <w:tc>
          <w:tcPr>
            <w:tcW w:type="dxa" w:w="4256"/>
            <w:vAlign w:val="center"/>
          </w:tcPr>
          <w:p>
            <w:pPr>
              <w:spacing w:before="0" w:after="30"/>
            </w:pPr>
            <w:r>
              <w:rPr>
                <w:sz w:val="14"/>
              </w:rPr>
              <w:t>Deletion occurs only after retention, legal hold and billing obligations are evaluated. Exports are permissioned, encrypted, time-limited and auditable.</w:t>
            </w:r>
          </w:p>
        </w:tc>
        <w:tc>
          <w:tcPr>
            <w:tcW w:type="dxa" w:w="2979"/>
            <w:vAlign w:val="center"/>
          </w:tcPr>
          <w:p>
            <w:pPr>
              <w:spacing w:before="0" w:after="30"/>
            </w:pPr>
            <w:r>
              <w:rPr>
                <w:sz w:val="14"/>
              </w:rPr>
              <w:t>§10 LIF-03 Critical Controls + command/state transitions; §27 property/invariant tests; RB-LIF-03 recovery evidence; requirement-specific API/event contract tests.</w:t>
            </w:r>
          </w:p>
        </w:tc>
      </w:tr>
      <w:tr>
        <w:tc>
          <w:tcPr>
            <w:tcW w:type="dxa" w:w="1277"/>
            <w:vAlign w:val="center"/>
          </w:tcPr>
          <w:p>
            <w:pPr>
              <w:spacing w:before="0" w:after="30"/>
            </w:pPr>
            <w:r>
              <w:rPr>
                <w:sz w:val="14"/>
              </w:rPr>
              <w:t>INV-GOV-01</w:t>
            </w:r>
          </w:p>
        </w:tc>
        <w:tc>
          <w:tcPr>
            <w:tcW w:type="dxa" w:w="2553"/>
            <w:vAlign w:val="center"/>
          </w:tcPr>
          <w:p>
            <w:pPr>
              <w:spacing w:before="0" w:after="30"/>
            </w:pPr>
            <w:r>
              <w:rPr>
                <w:sz w:val="14"/>
              </w:rPr>
              <w:t>GOV-01 - Quality Engineering, CI/CD, Release &amp; Schema Management</w:t>
            </w:r>
          </w:p>
        </w:tc>
        <w:tc>
          <w:tcPr>
            <w:tcW w:type="dxa" w:w="4256"/>
            <w:vAlign w:val="center"/>
          </w:tcPr>
          <w:p>
            <w:pPr>
              <w:spacing w:before="0" w:after="30"/>
            </w:pPr>
            <w:r>
              <w:rPr>
                <w:sz w:val="14"/>
              </w:rPr>
              <w:t>Tenant isolation, finance and access tests are release-blocking. Every production artifact is reproducible, signed and traceable to source and tests.</w:t>
            </w:r>
          </w:p>
        </w:tc>
        <w:tc>
          <w:tcPr>
            <w:tcW w:type="dxa" w:w="2979"/>
            <w:vAlign w:val="center"/>
          </w:tcPr>
          <w:p>
            <w:pPr>
              <w:spacing w:before="0" w:after="30"/>
            </w:pPr>
            <w:r>
              <w:rPr>
                <w:sz w:val="14"/>
              </w:rPr>
              <w:t>§10 GOV-01 Critical Controls + command/state transitions; §27 property/invariant tests; RB-GOV-01 recovery evidence; requirement-specific API/event contract tests.</w:t>
            </w:r>
          </w:p>
        </w:tc>
      </w:tr>
      <w:tr>
        <w:tc>
          <w:tcPr>
            <w:tcW w:type="dxa" w:w="1277"/>
            <w:vAlign w:val="center"/>
          </w:tcPr>
          <w:p>
            <w:pPr>
              <w:spacing w:before="0" w:after="30"/>
            </w:pPr>
            <w:r>
              <w:rPr>
                <w:sz w:val="14"/>
              </w:rPr>
              <w:t>INV-GOV-02</w:t>
            </w:r>
          </w:p>
        </w:tc>
        <w:tc>
          <w:tcPr>
            <w:tcW w:type="dxa" w:w="2553"/>
            <w:vAlign w:val="center"/>
          </w:tcPr>
          <w:p>
            <w:pPr>
              <w:spacing w:before="0" w:after="30"/>
            </w:pPr>
            <w:r>
              <w:rPr>
                <w:sz w:val="14"/>
              </w:rPr>
              <w:t>GOV-02 - Product, Architecture, Data &amp; AI Governance</w:t>
            </w:r>
          </w:p>
        </w:tc>
        <w:tc>
          <w:tcPr>
            <w:tcW w:type="dxa" w:w="4256"/>
            <w:vAlign w:val="center"/>
          </w:tcPr>
          <w:p>
            <w:pPr>
              <w:spacing w:before="0" w:after="30"/>
            </w:pPr>
            <w:r>
              <w:rPr>
                <w:sz w:val="14"/>
              </w:rPr>
              <w:t>No domain has ambiguous ownership or multiple sources of truth. High-risk AI, data and architecture changes require documented review.</w:t>
            </w:r>
          </w:p>
        </w:tc>
        <w:tc>
          <w:tcPr>
            <w:tcW w:type="dxa" w:w="2979"/>
            <w:vAlign w:val="center"/>
          </w:tcPr>
          <w:p>
            <w:pPr>
              <w:spacing w:before="0" w:after="30"/>
            </w:pPr>
            <w:r>
              <w:rPr>
                <w:sz w:val="14"/>
              </w:rPr>
              <w:t>§10 GOV-02 Critical Controls + command/state transitions; §27 property/invariant tests; RB-GOV-02 recovery evidence; requirement-specific API/event contract tests.</w:t>
            </w:r>
          </w:p>
        </w:tc>
      </w:tr>
      <w:tr>
        <w:tc>
          <w:tcPr>
            <w:tcW w:type="dxa" w:w="1277"/>
            <w:vAlign w:val="center"/>
          </w:tcPr>
          <w:p>
            <w:pPr>
              <w:spacing w:before="0" w:after="30"/>
            </w:pPr>
            <w:r>
              <w:rPr>
                <w:sz w:val="14"/>
              </w:rPr>
              <w:t>INV-GOV-03</w:t>
            </w:r>
          </w:p>
        </w:tc>
        <w:tc>
          <w:tcPr>
            <w:tcW w:type="dxa" w:w="2553"/>
            <w:vAlign w:val="center"/>
          </w:tcPr>
          <w:p>
            <w:pPr>
              <w:spacing w:before="0" w:after="30"/>
            </w:pPr>
            <w:r>
              <w:rPr>
                <w:sz w:val="14"/>
              </w:rPr>
              <w:t>GOV-03 - Legal, Procurement, Vendor, Partner &amp; Compliance Operations</w:t>
            </w:r>
          </w:p>
        </w:tc>
        <w:tc>
          <w:tcPr>
            <w:tcW w:type="dxa" w:w="4256"/>
            <w:vAlign w:val="center"/>
          </w:tcPr>
          <w:p>
            <w:pPr>
              <w:spacing w:before="0" w:after="30"/>
            </w:pPr>
            <w:r>
              <w:rPr>
                <w:sz w:val="14"/>
              </w:rPr>
              <w:t>Material vendors and subprocessors cannot be adopted without risk and privacy review. Customer commitments map to owned controls and measurable evidence.</w:t>
            </w:r>
          </w:p>
        </w:tc>
        <w:tc>
          <w:tcPr>
            <w:tcW w:type="dxa" w:w="2979"/>
            <w:vAlign w:val="center"/>
          </w:tcPr>
          <w:p>
            <w:pPr>
              <w:spacing w:before="0" w:after="30"/>
            </w:pPr>
            <w:r>
              <w:rPr>
                <w:sz w:val="14"/>
              </w:rPr>
              <w:t>§10 GOV-03 Critical Controls + command/state transitions; §27 property/invariant tests; RB-GOV-03 recovery evidence; requirement-specific API/event contract tests.</w:t>
            </w:r>
          </w:p>
        </w:tc>
      </w:tr>
      <w:tr>
        <w:tc>
          <w:tcPr>
            <w:tcW w:type="dxa" w:w="1277"/>
            <w:vAlign w:val="center"/>
          </w:tcPr>
          <w:p>
            <w:pPr>
              <w:spacing w:before="0" w:after="30"/>
            </w:pPr>
            <w:r>
              <w:rPr>
                <w:sz w:val="14"/>
              </w:rPr>
              <w:t>INV-GOV-04</w:t>
            </w:r>
          </w:p>
        </w:tc>
        <w:tc>
          <w:tcPr>
            <w:tcW w:type="dxa" w:w="2553"/>
            <w:vAlign w:val="center"/>
          </w:tcPr>
          <w:p>
            <w:pPr>
              <w:spacing w:before="0" w:after="30"/>
            </w:pPr>
            <w:r>
              <w:rPr>
                <w:sz w:val="14"/>
              </w:rPr>
              <w:t>GOV-04 - GTM Operations, Knowledge, Training, Feedback &amp; Product Education</w:t>
            </w:r>
          </w:p>
        </w:tc>
        <w:tc>
          <w:tcPr>
            <w:tcW w:type="dxa" w:w="4256"/>
            <w:vAlign w:val="center"/>
          </w:tcPr>
          <w:p>
            <w:pPr>
              <w:spacing w:before="0" w:after="30"/>
            </w:pPr>
            <w:r>
              <w:rPr>
                <w:sz w:val="14"/>
              </w:rPr>
              <w:t>Demo and learning data is synthetic and isolated from production. Feedback prioritization preserves evidence and does not become a vote count.</w:t>
            </w:r>
          </w:p>
        </w:tc>
        <w:tc>
          <w:tcPr>
            <w:tcW w:type="dxa" w:w="2979"/>
            <w:vAlign w:val="center"/>
          </w:tcPr>
          <w:p>
            <w:pPr>
              <w:spacing w:before="0" w:after="30"/>
            </w:pPr>
            <w:r>
              <w:rPr>
                <w:sz w:val="14"/>
              </w:rPr>
              <w:t>§10 GOV-04 Critical Controls + command/state transitions; §27 property/invariant tests; RB-GOV-04 recovery evidence; requirement-specific API/event contract tests.</w:t>
            </w:r>
          </w:p>
        </w:tc>
      </w:tr>
    </w:tbl>
    <w:sectPr w:rsidR="00FC693F" w:rsidRPr="0006063C" w:rsidSect="00034616">
      <w:footerReference w:type="default" r:id="rId16"/>
      <w:pgSz w:w="16838" w:h="11906" w:orient="landscape"/>
      <w:pgMar w:top="648" w:right="648" w:bottom="720"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16"/>
      <w:gridCol w:w="4916"/>
    </w:tblGrid>
    <w:tr>
      <w:tc>
        <w:tcPr>
          <w:tcW w:type="dxa" w:w="7669"/>
        </w:tcPr>
        <w:p>
          <w:r>
            <w:rPr>
              <w:sz w:val="15"/>
            </w:rPr>
            <w:t>VEYRO TSD v1.4.1  |  Approved Implementation Baseline</w:t>
          </w:r>
        </w:p>
      </w:tc>
      <w:tc>
        <w:tcPr>
          <w:tcW w:type="dxa" w:w="2163"/>
        </w:tcPr>
        <w:p>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771"/>
      <w:gridCol w:w="7771"/>
    </w:tblGrid>
    <w:tr>
      <w:tc>
        <w:tcPr>
          <w:tcW w:type="dxa" w:w="12123"/>
        </w:tcPr>
        <w:p>
          <w:r>
            <w:rPr>
              <w:sz w:val="15"/>
            </w:rPr>
            <w:t>VEYRO TSD v1.4.1  |  Approved Implementation Baseline</w:t>
          </w:r>
        </w:p>
      </w:tc>
      <w:tc>
        <w:tcPr>
          <w:tcW w:type="dxa" w:w="3419"/>
        </w:tcPr>
        <w:p>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Noto Sans" w:hAnsi="Noto Sans"/>
      <w:color w:val="1F29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Noto Sans" w:hAnsi="Noto Sans"/>
      <w:b/>
      <w:bCs/>
      <w:color w:val="17324D"/>
      <w:sz w:val="38"/>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Noto Sans" w:hAnsi="Noto Sans"/>
      <w:b/>
      <w:bCs/>
      <w:color w:val="2F5B86"/>
      <w:sz w:val="28"/>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Noto Sans" w:hAnsi="Noto Sans"/>
      <w:b/>
      <w:bCs/>
      <w:color w:val="2E6F73"/>
      <w:sz w:val="23"/>
    </w:rPr>
  </w:style>
  <w:style w:type="paragraph" w:styleId="Heading4">
    <w:name w:val="heading 4"/>
    <w:basedOn w:val="Normal"/>
    <w:next w:val="Normal"/>
    <w:link w:val="Heading4Char"/>
    <w:uiPriority w:val="9"/>
    <w:semiHidden/>
    <w:unhideWhenUsed/>
    <w:qFormat/>
    <w:rsid w:val="00FC693F"/>
    <w:pPr>
      <w:keepNext/>
      <w:keepLines/>
      <w:spacing w:before="180" w:after="100"/>
      <w:outlineLvl w:val="3"/>
    </w:pPr>
    <w:rPr>
      <w:rFonts w:asciiTheme="majorHAnsi" w:eastAsiaTheme="majorEastAsia" w:hAnsiTheme="majorHAnsi" w:cstheme="majorBidi" w:ascii="Noto Sans" w:hAnsi="Noto Sans"/>
      <w:b/>
      <w:bCs/>
      <w:i/>
      <w:iCs/>
      <w:color w:val="2E6B4A"/>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Noto Sans" w:hAnsi="Noto Sans"/>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ullet1">
    <w:name w:val="Bullet 1"/>
    <w:pPr>
      <w:spacing w:after="60"/>
      <w:ind w:left="317" w:hanging="187"/>
    </w:pPr>
    <w:rPr>
      <w:rFonts w:ascii="Noto Sans" w:hAnsi="Noto Sans"/>
      <w:sz w:val="18"/>
    </w:rPr>
  </w:style>
  <w:style w:type="paragraph" w:customStyle="1" w:styleId="Bullet2">
    <w:name w:val="Bullet 2"/>
    <w:pPr>
      <w:spacing w:after="60"/>
      <w:ind w:left="677" w:hanging="187"/>
    </w:pPr>
    <w:rPr>
      <w:rFonts w:ascii="Noto Sans" w:hAnsi="Noto Sans"/>
      <w:sz w:val="18"/>
    </w:rPr>
  </w:style>
  <w:style w:type="paragraph" w:customStyle="1" w:styleId="Numbered">
    <w:name w:val="Numbered"/>
    <w:pPr>
      <w:spacing w:after="60"/>
      <w:ind w:left="346" w:hanging="216"/>
    </w:pPr>
    <w:rPr>
      <w:rFonts w:ascii="Noto Sans" w:hAnsi="Noto San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footer" Target="footer2.xml"/><Relationship Id="rId1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Veyro Technical System Design v1.4.1</dc:title>
  <dc:subject>Final implementation architecture baseline - targeted verification closure</dc:subject>
  <dc:creator>Veyro Architecture</dc:creator>
  <cp:keywords>Veyro, SaaS, system design, architecture, multi-tenancy, gym operating system</cp:keywords>
  <dc:description>v1.4.1 closes the final targeted verification P2 documentation defect and hardens domain-contract linting.</dc:description>
  <cp:lastModifiedBy/>
  <cp:revision>1</cp:revision>
  <dcterms:created xsi:type="dcterms:W3CDTF">2013-12-23T23:15:00Z</dcterms:created>
  <dcterms:modified xsi:type="dcterms:W3CDTF">2013-12-23T23:15:00Z</dcterms:modified>
  <cp:category/>
</cp:coreProperties>
</file>