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Hidden Catalyst Discovery Platform</w:t>
      </w:r>
    </w:p>
    <w:p>
      <w:pPr>
        <w:pStyle w:val="Subtitle"/>
        <w:jc w:val="center"/>
      </w:pPr>
      <w:r>
        <w:t>Build-Ready Product Requirements Document for an Evidence-Based Public-Market Intelligence Website</w:t>
      </w:r>
    </w:p>
    <w:p/>
    <w:p>
      <w:pPr>
        <w:pStyle w:val="Callout"/>
        <w:jc w:val="center"/>
      </w:pPr>
      <w:r>
        <w:t>Purpose: provide Claude Code, Cursor, Replit, Lovable, Bolt, or another coding platform with enough product and technical detail to build the first production-oriented web MVP.</w:t>
      </w:r>
    </w:p>
    <w:p/>
    <w:tbl>
      <w:tblPr>
        <w:tblW w:type="auto" w:w="0"/>
        <w:jc w:val="center"/>
        <w:tblLayout w:type="fixed"/>
        <w:tblLook w:firstColumn="1" w:firstRow="1" w:lastColumn="0" w:lastRow="0" w:noHBand="0" w:noVBand="1" w:val="04A0"/>
      </w:tblPr>
      <w:tblGrid>
        <w:gridCol w:w="4997"/>
        <w:gridCol w:w="4997"/>
      </w:tblGrid>
      <w:tr>
        <w:tc>
          <w:tcPr>
            <w:tcW w:type="dxa" w:w="2448"/>
            <w:shd w:fill="DDEAF1"/>
            <w:tcMar>
              <w:top w:w="100" w:type="dxa"/>
              <w:start w:w="120" w:type="dxa"/>
              <w:bottom w:w="100" w:type="dxa"/>
              <w:end w:w="120" w:type="dxa"/>
            </w:tcMar>
            <w:vAlign w:val="center"/>
          </w:tcPr>
          <w:p>
            <w:r>
              <w:t>Document type</w:t>
            </w:r>
          </w:p>
        </w:tc>
        <w:tc>
          <w:tcPr>
            <w:tcW w:type="dxa" w:w="6624"/>
            <w:tcMar>
              <w:top w:w="100" w:type="dxa"/>
              <w:start w:w="120" w:type="dxa"/>
              <w:bottom w:w="100" w:type="dxa"/>
              <w:end w:w="120" w:type="dxa"/>
            </w:tcMar>
            <w:vAlign w:val="center"/>
          </w:tcPr>
          <w:p>
            <w:r>
              <w:t>Product Requirements Document + implementation specification</w:t>
            </w:r>
          </w:p>
        </w:tc>
      </w:tr>
      <w:tr>
        <w:tc>
          <w:tcPr>
            <w:tcW w:type="dxa" w:w="2448"/>
            <w:shd w:fill="DDEAF1"/>
            <w:tcMar>
              <w:top w:w="100" w:type="dxa"/>
              <w:start w:w="120" w:type="dxa"/>
              <w:bottom w:w="100" w:type="dxa"/>
              <w:end w:w="120" w:type="dxa"/>
            </w:tcMar>
            <w:vAlign w:val="center"/>
          </w:tcPr>
          <w:p>
            <w:r>
              <w:t>Target release</w:t>
            </w:r>
          </w:p>
        </w:tc>
        <w:tc>
          <w:tcPr>
            <w:tcW w:type="dxa" w:w="6624"/>
            <w:tcMar>
              <w:top w:w="100" w:type="dxa"/>
              <w:start w:w="120" w:type="dxa"/>
              <w:bottom w:w="100" w:type="dxa"/>
              <w:end w:w="120" w:type="dxa"/>
            </w:tcMar>
            <w:vAlign w:val="center"/>
          </w:tcPr>
          <w:p>
            <w:r>
              <w:t>MVP / closed beta</w:t>
            </w:r>
          </w:p>
        </w:tc>
      </w:tr>
      <w:tr>
        <w:tc>
          <w:tcPr>
            <w:tcW w:type="dxa" w:w="2448"/>
            <w:shd w:fill="DDEAF1"/>
            <w:tcMar>
              <w:top w:w="100" w:type="dxa"/>
              <w:start w:w="120" w:type="dxa"/>
              <w:bottom w:w="100" w:type="dxa"/>
              <w:end w:w="120" w:type="dxa"/>
            </w:tcMar>
            <w:vAlign w:val="center"/>
          </w:tcPr>
          <w:p>
            <w:r>
              <w:t>Primary market</w:t>
            </w:r>
          </w:p>
        </w:tc>
        <w:tc>
          <w:tcPr>
            <w:tcW w:type="dxa" w:w="6624"/>
            <w:tcMar>
              <w:top w:w="100" w:type="dxa"/>
              <w:start w:w="120" w:type="dxa"/>
              <w:bottom w:w="100" w:type="dxa"/>
              <w:end w:w="120" w:type="dxa"/>
            </w:tcMar>
            <w:vAlign w:val="center"/>
          </w:tcPr>
          <w:p>
            <w:r>
              <w:t>U.S.-listed small-cap and lower mid-cap equities</w:t>
            </w:r>
          </w:p>
        </w:tc>
      </w:tr>
      <w:tr>
        <w:tc>
          <w:tcPr>
            <w:tcW w:type="dxa" w:w="2448"/>
            <w:shd w:fill="DDEAF1"/>
            <w:tcMar>
              <w:top w:w="100" w:type="dxa"/>
              <w:start w:w="120" w:type="dxa"/>
              <w:bottom w:w="100" w:type="dxa"/>
              <w:end w:w="120" w:type="dxa"/>
            </w:tcMar>
            <w:vAlign w:val="center"/>
          </w:tcPr>
          <w:p>
            <w:r>
              <w:t>Core principle</w:t>
            </w:r>
          </w:p>
        </w:tc>
        <w:tc>
          <w:tcPr>
            <w:tcW w:type="dxa" w:w="6624"/>
            <w:tcMar>
              <w:top w:w="100" w:type="dxa"/>
              <w:start w:w="120" w:type="dxa"/>
              <w:bottom w:w="100" w:type="dxa"/>
              <w:end w:w="120" w:type="dxa"/>
            </w:tcMar>
            <w:vAlign w:val="center"/>
          </w:tcPr>
          <w:p>
            <w:r>
              <w:t>Evidence first; no guaranteed price-direction claims</w:t>
            </w:r>
          </w:p>
        </w:tc>
      </w:tr>
      <w:tr>
        <w:tc>
          <w:tcPr>
            <w:tcW w:type="dxa" w:w="2448"/>
            <w:shd w:fill="DDEAF1"/>
            <w:tcMar>
              <w:top w:w="100" w:type="dxa"/>
              <w:start w:w="120" w:type="dxa"/>
              <w:bottom w:w="100" w:type="dxa"/>
              <w:end w:w="120" w:type="dxa"/>
            </w:tcMar>
            <w:vAlign w:val="center"/>
          </w:tcPr>
          <w:p>
            <w:r>
              <w:t>Status</w:t>
            </w:r>
          </w:p>
        </w:tc>
        <w:tc>
          <w:tcPr>
            <w:tcW w:type="dxa" w:w="6624"/>
            <w:tcMar>
              <w:top w:w="100" w:type="dxa"/>
              <w:start w:w="120" w:type="dxa"/>
              <w:bottom w:w="100" w:type="dxa"/>
              <w:end w:w="120" w:type="dxa"/>
            </w:tcMar>
            <w:vAlign w:val="center"/>
          </w:tcPr>
          <w:p>
            <w:r>
              <w:t>Ready for engineering decomposition</w:t>
            </w:r>
          </w:p>
        </w:tc>
      </w:tr>
    </w:tbl>
    <w:p>
      <w:r>
        <w:br w:type="page"/>
      </w:r>
    </w:p>
    <w:p>
      <w:pPr>
        <w:pStyle w:val="Heading1"/>
      </w:pPr>
      <w:r>
        <w:t>Document Map</w:t>
      </w:r>
    </w:p>
    <w:p>
      <w:pPr>
        <w:pStyle w:val="ListNumber"/>
      </w:pPr>
      <w:r>
        <w:t>1. Product Definition</w:t>
      </w:r>
    </w:p>
    <w:p>
      <w:pPr>
        <w:pStyle w:val="ListNumber"/>
      </w:pPr>
      <w:r>
        <w:t>2. MVP Goals and Non-Goals</w:t>
      </w:r>
    </w:p>
    <w:p>
      <w:pPr>
        <w:pStyle w:val="ListNumber"/>
      </w:pPr>
      <w:r>
        <w:t>3. Users and Jobs to Be Done</w:t>
      </w:r>
    </w:p>
    <w:p>
      <w:pPr>
        <w:pStyle w:val="ListNumber"/>
      </w:pPr>
      <w:r>
        <w:t>4. Core User Journeys</w:t>
      </w:r>
    </w:p>
    <w:p>
      <w:pPr>
        <w:pStyle w:val="ListNumber"/>
      </w:pPr>
      <w:r>
        <w:t>5. Information Architecture and Screens</w:t>
      </w:r>
    </w:p>
    <w:p>
      <w:pPr>
        <w:pStyle w:val="ListNumber"/>
      </w:pPr>
      <w:r>
        <w:t>6. Functional Requirements</w:t>
      </w:r>
    </w:p>
    <w:p>
      <w:pPr>
        <w:pStyle w:val="ListNumber"/>
      </w:pPr>
      <w:r>
        <w:t>7. Opportunity Scoring Framework</w:t>
      </w:r>
    </w:p>
    <w:p>
      <w:pPr>
        <w:pStyle w:val="ListNumber"/>
      </w:pPr>
      <w:r>
        <w:t>8. Data Sources and Ingestion</w:t>
      </w:r>
    </w:p>
    <w:p>
      <w:pPr>
        <w:pStyle w:val="ListNumber"/>
      </w:pPr>
      <w:r>
        <w:t>9. System Architecture</w:t>
      </w:r>
    </w:p>
    <w:p>
      <w:pPr>
        <w:pStyle w:val="ListNumber"/>
      </w:pPr>
      <w:r>
        <w:t>10. Data Model</w:t>
      </w:r>
    </w:p>
    <w:p>
      <w:pPr>
        <w:pStyle w:val="ListNumber"/>
      </w:pPr>
      <w:r>
        <w:t>11. API Contract</w:t>
      </w:r>
    </w:p>
    <w:p>
      <w:pPr>
        <w:pStyle w:val="ListNumber"/>
      </w:pPr>
      <w:r>
        <w:t>12. AI and Rules Architecture</w:t>
      </w:r>
    </w:p>
    <w:p>
      <w:pPr>
        <w:pStyle w:val="ListNumber"/>
      </w:pPr>
      <w:r>
        <w:t>13. Admin and Human Review</w:t>
      </w:r>
    </w:p>
    <w:p>
      <w:pPr>
        <w:pStyle w:val="ListNumber"/>
      </w:pPr>
      <w:r>
        <w:t>14. Security, Legal, and Compliance</w:t>
      </w:r>
    </w:p>
    <w:p>
      <w:pPr>
        <w:pStyle w:val="ListNumber"/>
      </w:pPr>
      <w:r>
        <w:t>15. Analytics and Success Metrics</w:t>
      </w:r>
    </w:p>
    <w:p>
      <w:pPr>
        <w:pStyle w:val="ListNumber"/>
      </w:pPr>
      <w:r>
        <w:t>16. Testing and Acceptance Criteria</w:t>
      </w:r>
    </w:p>
    <w:p>
      <w:pPr>
        <w:pStyle w:val="ListNumber"/>
      </w:pPr>
      <w:r>
        <w:t>17. Delivery Plan and Engineering Milestones</w:t>
      </w:r>
    </w:p>
    <w:p>
      <w:pPr>
        <w:pStyle w:val="ListNumber"/>
      </w:pPr>
      <w:r>
        <w:t>18. Coding-Agent Master Build Prompt</w:t>
      </w:r>
    </w:p>
    <w:p>
      <w:r>
        <w:br w:type="page"/>
      </w:r>
    </w:p>
    <w:p>
      <w:pPr>
        <w:pStyle w:val="Heading1"/>
      </w:pPr>
      <w:r>
        <w:t>1. Product Definition</w:t>
      </w:r>
    </w:p>
    <w:p>
      <w:pPr>
        <w:pStyle w:val="Heading2"/>
      </w:pPr>
      <w:r>
        <w:t>1.1 Product statement</w:t>
      </w:r>
    </w:p>
    <w:p>
      <w:r>
        <w:t>The Hidden Catalyst Discovery Platform is a research website that identifies public developments connected to underfollowed listed companies, evaluates whether those developments may be financially material, measures how widely the information is already known, and presents a source-linked opportunity report with risks, assumptions, and invalidation conditions.</w:t>
      </w:r>
    </w:p>
    <w:p>
      <w:pPr>
        <w:pStyle w:val="Heading2"/>
      </w:pPr>
      <w:r>
        <w:t>1.2 Central product question</w:t>
      </w:r>
    </w:p>
    <w:p>
      <w:r>
        <w:t>What important public development is connected to an underfollowed public company, is financially meaningful, is supported by credible evidence, and may not yet be widely understood by the market?</w:t>
      </w:r>
    </w:p>
    <w:p>
      <w:pPr>
        <w:pStyle w:val="Heading2"/>
      </w:pPr>
      <w:r>
        <w:t>1.3 Product principles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Mar>
              <w:top w:w="120" w:type="dxa"/>
              <w:start w:w="100" w:type="dxa"/>
              <w:bottom w:w="120" w:type="dxa"/>
              <w:end w:w="100" w:type="dxa"/>
            </w:tcMar>
            <w:vAlign w:val="center"/>
          </w:tcPr>
          <w:p>
            <w:r>
              <w:rPr>
                <w:b/>
                <w:color w:val="FFFFFF"/>
                <w:sz w:val="18"/>
              </w:rPr>
              <w:t>Principle</w:t>
            </w:r>
          </w:p>
        </w:tc>
        <w:tc>
          <w:tcPr>
            <w:tcW w:type="dxa" w:w="7200"/>
            <w:shd w:fill="17324D"/>
            <w:tcMar>
              <w:top w:w="120" w:type="dxa"/>
              <w:start w:w="100" w:type="dxa"/>
              <w:bottom w:w="120" w:type="dxa"/>
              <w:end w:w="100" w:type="dxa"/>
            </w:tcMar>
            <w:vAlign w:val="center"/>
          </w:tcPr>
          <w:p>
            <w:r>
              <w:rPr>
                <w:b/>
                <w:color w:val="FFFFFF"/>
                <w:sz w:val="18"/>
              </w:rPr>
              <w:t>Implementation meaning</w:t>
            </w:r>
          </w:p>
        </w:tc>
      </w:tr>
      <w:tr>
        <w:tc>
          <w:tcPr>
            <w:tcW w:type="dxa" w:w="2376"/>
            <w:tcMar>
              <w:top w:w="100" w:type="dxa"/>
              <w:start w:w="120" w:type="dxa"/>
              <w:bottom w:w="100" w:type="dxa"/>
              <w:end w:w="120" w:type="dxa"/>
            </w:tcMar>
            <w:vAlign w:val="center"/>
          </w:tcPr>
          <w:p>
            <w:r>
              <w:rPr>
                <w:sz w:val="17"/>
              </w:rPr>
              <w:t>Evidence before narrative</w:t>
            </w:r>
          </w:p>
        </w:tc>
        <w:tc>
          <w:tcPr>
            <w:tcW w:type="dxa" w:w="7200"/>
            <w:tcMar>
              <w:top w:w="100" w:type="dxa"/>
              <w:start w:w="120" w:type="dxa"/>
              <w:bottom w:w="100" w:type="dxa"/>
              <w:end w:w="120" w:type="dxa"/>
            </w:tcMar>
            <w:vAlign w:val="center"/>
          </w:tcPr>
          <w:p>
            <w:r>
              <w:rPr>
                <w:sz w:val="17"/>
              </w:rPr>
              <w:t>Every surfaced opportunity must point to one or more stored evidence items and preserve source, publication time, extraction time, and quotation/snippet.</w:t>
            </w:r>
          </w:p>
        </w:tc>
      </w:tr>
      <w:tr>
        <w:tc>
          <w:tcPr>
            <w:tcW w:type="dxa" w:w="2376"/>
            <w:tcMar>
              <w:top w:w="100" w:type="dxa"/>
              <w:start w:w="120" w:type="dxa"/>
              <w:bottom w:w="100" w:type="dxa"/>
              <w:end w:w="120" w:type="dxa"/>
            </w:tcMar>
            <w:vAlign w:val="center"/>
          </w:tcPr>
          <w:p>
            <w:r>
              <w:rPr>
                <w:sz w:val="17"/>
              </w:rPr>
              <w:t>Separate fact from inference</w:t>
            </w:r>
          </w:p>
        </w:tc>
        <w:tc>
          <w:tcPr>
            <w:tcW w:type="dxa" w:w="7200"/>
            <w:tcMar>
              <w:top w:w="100" w:type="dxa"/>
              <w:start w:w="120" w:type="dxa"/>
              <w:bottom w:w="100" w:type="dxa"/>
              <w:end w:w="120" w:type="dxa"/>
            </w:tcMar>
            <w:vAlign w:val="center"/>
          </w:tcPr>
          <w:p>
            <w:r>
              <w:rPr>
                <w:sz w:val="17"/>
              </w:rPr>
              <w:t>UI labels must distinguish verified fact, model inference, analyst estimate, assumption, and unconfirmed signal.</w:t>
            </w:r>
          </w:p>
        </w:tc>
      </w:tr>
      <w:tr>
        <w:tc>
          <w:tcPr>
            <w:tcW w:type="dxa" w:w="2376"/>
            <w:tcMar>
              <w:top w:w="100" w:type="dxa"/>
              <w:start w:w="120" w:type="dxa"/>
              <w:bottom w:w="100" w:type="dxa"/>
              <w:end w:w="120" w:type="dxa"/>
            </w:tcMar>
            <w:vAlign w:val="center"/>
          </w:tcPr>
          <w:p>
            <w:r>
              <w:rPr>
                <w:sz w:val="17"/>
              </w:rPr>
              <w:t>Obscurity is not quality</w:t>
            </w:r>
          </w:p>
        </w:tc>
        <w:tc>
          <w:tcPr>
            <w:tcW w:type="dxa" w:w="7200"/>
            <w:tcMar>
              <w:top w:w="100" w:type="dxa"/>
              <w:start w:w="120" w:type="dxa"/>
              <w:bottom w:w="100" w:type="dxa"/>
              <w:end w:w="120" w:type="dxa"/>
            </w:tcMar>
            <w:vAlign w:val="center"/>
          </w:tcPr>
          <w:p>
            <w:r>
              <w:rPr>
                <w:sz w:val="17"/>
              </w:rPr>
              <w:t>Low attention can increase asymmetry, but cannot compensate for weak evidence, low materiality, or excessive risk.</w:t>
            </w:r>
          </w:p>
        </w:tc>
      </w:tr>
      <w:tr>
        <w:tc>
          <w:tcPr>
            <w:tcW w:type="dxa" w:w="2376"/>
            <w:tcMar>
              <w:top w:w="100" w:type="dxa"/>
              <w:start w:w="120" w:type="dxa"/>
              <w:bottom w:w="100" w:type="dxa"/>
              <w:end w:w="120" w:type="dxa"/>
            </w:tcMar>
            <w:vAlign w:val="center"/>
          </w:tcPr>
          <w:p>
            <w:r>
              <w:rPr>
                <w:sz w:val="17"/>
              </w:rPr>
              <w:t>Explainable scoring</w:t>
            </w:r>
          </w:p>
        </w:tc>
        <w:tc>
          <w:tcPr>
            <w:tcW w:type="dxa" w:w="7200"/>
            <w:tcMar>
              <w:top w:w="100" w:type="dxa"/>
              <w:start w:w="120" w:type="dxa"/>
              <w:bottom w:w="100" w:type="dxa"/>
              <w:end w:w="120" w:type="dxa"/>
            </w:tcMar>
            <w:vAlign w:val="center"/>
          </w:tcPr>
          <w:p>
            <w:r>
              <w:rPr>
                <w:sz w:val="17"/>
              </w:rPr>
              <w:t>Every score must show factors, weights, inputs, and confidence. No opaque “AI score” is allowed.</w:t>
            </w:r>
          </w:p>
        </w:tc>
      </w:tr>
      <w:tr>
        <w:tc>
          <w:tcPr>
            <w:tcW w:type="dxa" w:w="2376"/>
            <w:tcMar>
              <w:top w:w="100" w:type="dxa"/>
              <w:start w:w="120" w:type="dxa"/>
              <w:bottom w:w="100" w:type="dxa"/>
              <w:end w:w="120" w:type="dxa"/>
            </w:tcMar>
            <w:vAlign w:val="center"/>
          </w:tcPr>
          <w:p>
            <w:r>
              <w:rPr>
                <w:sz w:val="17"/>
              </w:rPr>
              <w:t>Human review for risky cases</w:t>
            </w:r>
          </w:p>
        </w:tc>
        <w:tc>
          <w:tcPr>
            <w:tcW w:type="dxa" w:w="7200"/>
            <w:tcMar>
              <w:top w:w="100" w:type="dxa"/>
              <w:start w:w="120" w:type="dxa"/>
              <w:bottom w:w="100" w:type="dxa"/>
              <w:end w:w="120" w:type="dxa"/>
            </w:tcMar>
            <w:vAlign w:val="center"/>
          </w:tcPr>
          <w:p>
            <w:r>
              <w:rPr>
                <w:sz w:val="17"/>
              </w:rPr>
              <w:t>Micro-cap, legal allegation, rumor, low-liquidity, and weak-relationship cases require manual approval before broad alerting.</w:t>
            </w:r>
          </w:p>
        </w:tc>
      </w:tr>
      <w:tr>
        <w:tc>
          <w:tcPr>
            <w:tcW w:type="dxa" w:w="2376"/>
            <w:tcMar>
              <w:top w:w="100" w:type="dxa"/>
              <w:start w:w="120" w:type="dxa"/>
              <w:bottom w:w="100" w:type="dxa"/>
              <w:end w:w="120" w:type="dxa"/>
            </w:tcMar>
            <w:vAlign w:val="center"/>
          </w:tcPr>
          <w:p>
            <w:r>
              <w:rPr>
                <w:sz w:val="17"/>
              </w:rPr>
              <w:t>No direction guarantee</w:t>
            </w:r>
          </w:p>
        </w:tc>
        <w:tc>
          <w:tcPr>
            <w:tcW w:type="dxa" w:w="7200"/>
            <w:tcMar>
              <w:top w:w="100" w:type="dxa"/>
              <w:start w:w="120" w:type="dxa"/>
              <w:bottom w:w="100" w:type="dxa"/>
              <w:end w:w="120" w:type="dxa"/>
            </w:tcMar>
            <w:vAlign w:val="center"/>
          </w:tcPr>
          <w:p>
            <w:r>
              <w:rPr>
                <w:sz w:val="17"/>
              </w:rPr>
              <w:t>The product describes catalysts and scenarios, not guaranteed buy/sell outcomes.</w:t>
            </w:r>
          </w:p>
        </w:tc>
      </w:tr>
    </w:tbl>
    <w:p/>
    <w:p>
      <w:pPr>
        <w:pStyle w:val="Heading1"/>
      </w:pPr>
      <w:r>
        <w:t>2. MVP Goals and Non-Goals</w:t>
      </w:r>
    </w:p>
    <w:p>
      <w:pPr>
        <w:pStyle w:val="Heading2"/>
      </w:pPr>
      <w:r>
        <w:t>2.1 MVP outcome</w:t>
      </w:r>
    </w:p>
    <w:p>
      <w:r>
        <w:t>A signed-in user can browse an evidence-backed feed of underfollowed opportunities, filter and save companies, inspect a detailed opportunity report, review the underlying sources, understand scoring and risks, and receive a daily digest or high-confidence alert.</w:t>
      </w:r>
    </w:p>
    <w:p>
      <w:pPr>
        <w:pStyle w:val="Heading2"/>
      </w:pPr>
      <w:r>
        <w:t>2.2 MVP goals</w:t>
      </w:r>
    </w:p>
    <w:p>
      <w:pPr>
        <w:pStyle w:val="ListBullet"/>
      </w:pPr>
      <w:r>
        <w:t>Ingest a limited set of reliable public sources on a repeatable schedule.</w:t>
      </w:r>
    </w:p>
    <w:p>
      <w:pPr>
        <w:pStyle w:val="ListBullet"/>
      </w:pPr>
      <w:r>
        <w:t>Normalize companies, securities, events, documents, and relationships into a consistent data model.</w:t>
      </w:r>
    </w:p>
    <w:p>
      <w:pPr>
        <w:pStyle w:val="ListBullet"/>
      </w:pPr>
      <w:r>
        <w:t>Generate candidate opportunities using deterministic rules plus AI-assisted extraction.</w:t>
      </w:r>
    </w:p>
    <w:p>
      <w:pPr>
        <w:pStyle w:val="ListBullet"/>
      </w:pPr>
      <w:r>
        <w:t>Calculate Information Asymmetry, Catalyst Strength, Evidence Quality, Materiality, Timing, and Risk scores.</w:t>
      </w:r>
    </w:p>
    <w:p>
      <w:pPr>
        <w:pStyle w:val="ListBullet"/>
      </w:pPr>
      <w:r>
        <w:t>Provide a review queue so analysts can approve, reject, edit, or request more evidence.</w:t>
      </w:r>
    </w:p>
    <w:p>
      <w:pPr>
        <w:pStyle w:val="ListBullet"/>
      </w:pPr>
      <w:r>
        <w:t>Publish only approved or auto-approved high-confidence opportunities.</w:t>
      </w:r>
    </w:p>
    <w:p>
      <w:pPr>
        <w:pStyle w:val="ListBullet"/>
      </w:pPr>
      <w:r>
        <w:t>Allow users to create watchlists and notification preferences.</w:t>
      </w:r>
    </w:p>
    <w:p>
      <w:pPr>
        <w:pStyle w:val="ListBullet"/>
      </w:pPr>
      <w:r>
        <w:t>Preserve a complete audit trail from source document to published opportunity.</w:t>
      </w:r>
    </w:p>
    <w:p>
      <w:pPr>
        <w:pStyle w:val="Heading2"/>
      </w:pPr>
      <w:r>
        <w:t>2.3 Explicit non-goals for MVP</w:t>
      </w:r>
    </w:p>
    <w:p>
      <w:pPr>
        <w:pStyle w:val="ListBullet"/>
      </w:pPr>
      <w:r>
        <w:t>No brokerage integration, order execution, portfolio management, or copy trading.</w:t>
      </w:r>
    </w:p>
    <w:p>
      <w:pPr>
        <w:pStyle w:val="ListBullet"/>
      </w:pPr>
      <w:r>
        <w:t>No intraday high-frequency alerts or millisecond news race.</w:t>
      </w:r>
    </w:p>
    <w:p>
      <w:pPr>
        <w:pStyle w:val="ListBullet"/>
      </w:pPr>
      <w:r>
        <w:t>No prediction that a stock will rise or fall by a specific percentage.</w:t>
      </w:r>
    </w:p>
    <w:p>
      <w:pPr>
        <w:pStyle w:val="ListBullet"/>
      </w:pPr>
      <w:r>
        <w:t>No anonymous rumor marketplace or user-generated stock promotion.</w:t>
      </w:r>
    </w:p>
    <w:p>
      <w:pPr>
        <w:pStyle w:val="ListBullet"/>
      </w:pPr>
      <w:r>
        <w:t>No global-market coverage at launch.</w:t>
      </w:r>
    </w:p>
    <w:p>
      <w:pPr>
        <w:pStyle w:val="ListBullet"/>
      </w:pPr>
      <w:r>
        <w:t>No OTC-only universe by default.</w:t>
      </w:r>
    </w:p>
    <w:p>
      <w:pPr>
        <w:pStyle w:val="ListBullet"/>
      </w:pPr>
      <w:r>
        <w:t>No automated scraping of sites that prohibit it or require circumvention.</w:t>
      </w:r>
    </w:p>
    <w:p>
      <w:pPr>
        <w:pStyle w:val="ListBullet"/>
      </w:pPr>
      <w:r>
        <w:t>No complex alternative data such as satellite imagery, card transactions, or private datasets in MVP.</w:t>
      </w:r>
    </w:p>
    <w:p>
      <w:pPr>
        <w:pStyle w:val="Heading2"/>
      </w:pPr>
      <w:r>
        <w:t>2.4 MVP universe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24D"/>
            <w:tcMar>
              <w:top w:w="120" w:type="dxa"/>
              <w:start w:w="100" w:type="dxa"/>
              <w:bottom w:w="120" w:type="dxa"/>
              <w:end w:w="100" w:type="dxa"/>
            </w:tcMar>
            <w:vAlign w:val="center"/>
          </w:tcPr>
          <w:p>
            <w:r>
              <w:rPr>
                <w:b/>
                <w:color w:val="FFFFFF"/>
                <w:sz w:val="18"/>
              </w:rPr>
              <w:t>Dimension</w:t>
            </w:r>
          </w:p>
        </w:tc>
        <w:tc>
          <w:tcPr>
            <w:tcW w:type="dxa" w:w="6984"/>
            <w:shd w:fill="17324D"/>
            <w:tcMar>
              <w:top w:w="120" w:type="dxa"/>
              <w:start w:w="100" w:type="dxa"/>
              <w:bottom w:w="120" w:type="dxa"/>
              <w:end w:w="100" w:type="dxa"/>
            </w:tcMar>
            <w:vAlign w:val="center"/>
          </w:tcPr>
          <w:p>
            <w:r>
              <w:rPr>
                <w:b/>
                <w:color w:val="FFFFFF"/>
                <w:sz w:val="18"/>
              </w:rPr>
              <w:t>MVP rule</w:t>
            </w:r>
          </w:p>
        </w:tc>
      </w:tr>
      <w:tr>
        <w:tc>
          <w:tcPr>
            <w:tcW w:type="dxa" w:w="2592"/>
            <w:tcMar>
              <w:top w:w="100" w:type="dxa"/>
              <w:start w:w="120" w:type="dxa"/>
              <w:bottom w:w="100" w:type="dxa"/>
              <w:end w:w="120" w:type="dxa"/>
            </w:tcMar>
            <w:vAlign w:val="center"/>
          </w:tcPr>
          <w:p>
            <w:r>
              <w:rPr>
                <w:sz w:val="17"/>
              </w:rPr>
              <w:t>Exchange</w:t>
            </w:r>
          </w:p>
        </w:tc>
        <w:tc>
          <w:tcPr>
            <w:tcW w:type="dxa" w:w="6984"/>
            <w:tcMar>
              <w:top w:w="100" w:type="dxa"/>
              <w:start w:w="120" w:type="dxa"/>
              <w:bottom w:w="100" w:type="dxa"/>
              <w:end w:w="120" w:type="dxa"/>
            </w:tcMar>
            <w:vAlign w:val="center"/>
          </w:tcPr>
          <w:p>
            <w:r>
              <w:rPr>
                <w:sz w:val="17"/>
              </w:rPr>
              <w:t>NYSE, Nasdaq, NYSE American</w:t>
            </w:r>
          </w:p>
        </w:tc>
      </w:tr>
      <w:tr>
        <w:tc>
          <w:tcPr>
            <w:tcW w:type="dxa" w:w="2592"/>
            <w:tcMar>
              <w:top w:w="100" w:type="dxa"/>
              <w:start w:w="120" w:type="dxa"/>
              <w:bottom w:w="100" w:type="dxa"/>
              <w:end w:w="120" w:type="dxa"/>
            </w:tcMar>
            <w:vAlign w:val="center"/>
          </w:tcPr>
          <w:p>
            <w:r>
              <w:rPr>
                <w:sz w:val="17"/>
              </w:rPr>
              <w:t>Market capitalization</w:t>
            </w:r>
          </w:p>
        </w:tc>
        <w:tc>
          <w:tcPr>
            <w:tcW w:type="dxa" w:w="6984"/>
            <w:tcMar>
              <w:top w:w="100" w:type="dxa"/>
              <w:start w:w="120" w:type="dxa"/>
              <w:bottom w:w="100" w:type="dxa"/>
              <w:end w:w="120" w:type="dxa"/>
            </w:tcMar>
            <w:vAlign w:val="center"/>
          </w:tcPr>
          <w:p>
            <w:r>
              <w:rPr>
                <w:sz w:val="17"/>
              </w:rPr>
              <w:t>$100M-$10B configurable; default focus $200M-$5B</w:t>
            </w:r>
          </w:p>
        </w:tc>
      </w:tr>
      <w:tr>
        <w:tc>
          <w:tcPr>
            <w:tcW w:type="dxa" w:w="2592"/>
            <w:tcMar>
              <w:top w:w="100" w:type="dxa"/>
              <w:start w:w="120" w:type="dxa"/>
              <w:bottom w:w="100" w:type="dxa"/>
              <w:end w:w="120" w:type="dxa"/>
            </w:tcMar>
            <w:vAlign w:val="center"/>
          </w:tcPr>
          <w:p>
            <w:r>
              <w:rPr>
                <w:sz w:val="17"/>
              </w:rPr>
              <w:t>Liquidity</w:t>
            </w:r>
          </w:p>
        </w:tc>
        <w:tc>
          <w:tcPr>
            <w:tcW w:type="dxa" w:w="6984"/>
            <w:tcMar>
              <w:top w:w="100" w:type="dxa"/>
              <w:start w:w="120" w:type="dxa"/>
              <w:bottom w:w="100" w:type="dxa"/>
              <w:end w:w="120" w:type="dxa"/>
            </w:tcMar>
            <w:vAlign w:val="center"/>
          </w:tcPr>
          <w:p>
            <w:r>
              <w:rPr>
                <w:sz w:val="17"/>
              </w:rPr>
              <w:t>Minimum 60-day average daily dollar volume configurable; suggested default $1M</w:t>
            </w:r>
          </w:p>
        </w:tc>
      </w:tr>
      <w:tr>
        <w:tc>
          <w:tcPr>
            <w:tcW w:type="dxa" w:w="2592"/>
            <w:tcMar>
              <w:top w:w="100" w:type="dxa"/>
              <w:start w:w="120" w:type="dxa"/>
              <w:bottom w:w="100" w:type="dxa"/>
              <w:end w:w="120" w:type="dxa"/>
            </w:tcMar>
            <w:vAlign w:val="center"/>
          </w:tcPr>
          <w:p>
            <w:r>
              <w:rPr>
                <w:sz w:val="17"/>
              </w:rPr>
              <w:t>Reporting status</w:t>
            </w:r>
          </w:p>
        </w:tc>
        <w:tc>
          <w:tcPr>
            <w:tcW w:type="dxa" w:w="6984"/>
            <w:tcMar>
              <w:top w:w="100" w:type="dxa"/>
              <w:start w:w="120" w:type="dxa"/>
              <w:bottom w:w="100" w:type="dxa"/>
              <w:end w:w="120" w:type="dxa"/>
            </w:tcMar>
            <w:vAlign w:val="center"/>
          </w:tcPr>
          <w:p>
            <w:r>
              <w:rPr>
                <w:sz w:val="17"/>
              </w:rPr>
              <w:t>Current SEC filer with valid CIK and active primary security</w:t>
            </w:r>
          </w:p>
        </w:tc>
      </w:tr>
      <w:tr>
        <w:tc>
          <w:tcPr>
            <w:tcW w:type="dxa" w:w="2592"/>
            <w:tcMar>
              <w:top w:w="100" w:type="dxa"/>
              <w:start w:w="120" w:type="dxa"/>
              <w:bottom w:w="100" w:type="dxa"/>
              <w:end w:w="120" w:type="dxa"/>
            </w:tcMar>
            <w:vAlign w:val="center"/>
          </w:tcPr>
          <w:p>
            <w:r>
              <w:rPr>
                <w:sz w:val="17"/>
              </w:rPr>
              <w:t>Exclusions</w:t>
            </w:r>
          </w:p>
        </w:tc>
        <w:tc>
          <w:tcPr>
            <w:tcW w:type="dxa" w:w="6984"/>
            <w:tcMar>
              <w:top w:w="100" w:type="dxa"/>
              <w:start w:w="120" w:type="dxa"/>
              <w:bottom w:w="100" w:type="dxa"/>
              <w:end w:w="120" w:type="dxa"/>
            </w:tcMar>
            <w:vAlign w:val="center"/>
          </w:tcPr>
          <w:p>
            <w:r>
              <w:rPr>
                <w:sz w:val="17"/>
              </w:rPr>
              <w:t>Shell companies, clearly delinquent filers, securities under severe trading restrictions, and cases failing compliance rules</w:t>
            </w:r>
          </w:p>
        </w:tc>
      </w:tr>
      <w:tr>
        <w:tc>
          <w:tcPr>
            <w:tcW w:type="dxa" w:w="2592"/>
            <w:tcMar>
              <w:top w:w="100" w:type="dxa"/>
              <w:start w:w="120" w:type="dxa"/>
              <w:bottom w:w="100" w:type="dxa"/>
              <w:end w:w="120" w:type="dxa"/>
            </w:tcMar>
            <w:vAlign w:val="center"/>
          </w:tcPr>
          <w:p>
            <w:r>
              <w:rPr>
                <w:sz w:val="17"/>
              </w:rPr>
              <w:t>Coverage sectors</w:t>
            </w:r>
          </w:p>
        </w:tc>
        <w:tc>
          <w:tcPr>
            <w:tcW w:type="dxa" w:w="6984"/>
            <w:tcMar>
              <w:top w:w="100" w:type="dxa"/>
              <w:start w:w="120" w:type="dxa"/>
              <w:bottom w:w="100" w:type="dxa"/>
              <w:end w:w="120" w:type="dxa"/>
            </w:tcMar>
            <w:vAlign w:val="center"/>
          </w:tcPr>
          <w:p>
            <w:r>
              <w:rPr>
                <w:sz w:val="17"/>
              </w:rPr>
              <w:t>All sectors, but initial test set should emphasize industrials, healthcare, technology, energy, and government-exposed businesses</w:t>
            </w:r>
          </w:p>
        </w:tc>
      </w:tr>
    </w:tbl>
    <w:p/>
    <w:p>
      <w:pPr>
        <w:pStyle w:val="Heading1"/>
      </w:pPr>
      <w:r>
        <w:t>3. Users and Jobs to Be Done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17324D"/>
            <w:tcMar>
              <w:top w:w="120" w:type="dxa"/>
              <w:start w:w="100" w:type="dxa"/>
              <w:bottom w:w="120" w:type="dxa"/>
              <w:end w:w="100" w:type="dxa"/>
            </w:tcMar>
            <w:vAlign w:val="center"/>
          </w:tcPr>
          <w:p>
            <w:r>
              <w:rPr>
                <w:b/>
                <w:color w:val="FFFFFF"/>
                <w:sz w:val="18"/>
              </w:rPr>
              <w:t>Persona</w:t>
            </w:r>
          </w:p>
        </w:tc>
        <w:tc>
          <w:tcPr>
            <w:tcW w:type="dxa" w:w="3672"/>
            <w:shd w:fill="17324D"/>
            <w:tcMar>
              <w:top w:w="120" w:type="dxa"/>
              <w:start w:w="100" w:type="dxa"/>
              <w:bottom w:w="120" w:type="dxa"/>
              <w:end w:w="100" w:type="dxa"/>
            </w:tcMar>
            <w:vAlign w:val="center"/>
          </w:tcPr>
          <w:p>
            <w:r>
              <w:rPr>
                <w:b/>
                <w:color w:val="FFFFFF"/>
                <w:sz w:val="18"/>
              </w:rPr>
              <w:t>Primary job</w:t>
            </w:r>
          </w:p>
        </w:tc>
        <w:tc>
          <w:tcPr>
            <w:tcW w:type="dxa" w:w="2520"/>
            <w:shd w:fill="17324D"/>
            <w:tcMar>
              <w:top w:w="120" w:type="dxa"/>
              <w:start w:w="100" w:type="dxa"/>
              <w:bottom w:w="120" w:type="dxa"/>
              <w:end w:w="100" w:type="dxa"/>
            </w:tcMar>
            <w:vAlign w:val="center"/>
          </w:tcPr>
          <w:p>
            <w:r>
              <w:rPr>
                <w:b/>
                <w:color w:val="FFFFFF"/>
                <w:sz w:val="18"/>
              </w:rPr>
              <w:t>Required trust level</w:t>
            </w:r>
          </w:p>
        </w:tc>
        <w:tc>
          <w:tcPr>
            <w:tcW w:type="dxa" w:w="936"/>
            <w:shd w:fill="17324D"/>
            <w:tcMar>
              <w:top w:w="120" w:type="dxa"/>
              <w:start w:w="100" w:type="dxa"/>
              <w:bottom w:w="120" w:type="dxa"/>
              <w:end w:w="100" w:type="dxa"/>
            </w:tcMar>
            <w:vAlign w:val="center"/>
          </w:tcPr>
          <w:p>
            <w:r>
              <w:rPr>
                <w:b/>
                <w:color w:val="FFFFFF"/>
                <w:sz w:val="18"/>
              </w:rPr>
              <w:t>MVP priority</w:t>
            </w:r>
          </w:p>
        </w:tc>
      </w:tr>
      <w:tr>
        <w:tc>
          <w:tcPr>
            <w:tcW w:type="dxa" w:w="2088"/>
            <w:tcMar>
              <w:top w:w="100" w:type="dxa"/>
              <w:start w:w="120" w:type="dxa"/>
              <w:bottom w:w="100" w:type="dxa"/>
              <w:end w:w="120" w:type="dxa"/>
            </w:tcMar>
            <w:vAlign w:val="center"/>
          </w:tcPr>
          <w:p>
            <w:r>
              <w:rPr>
                <w:sz w:val="17"/>
              </w:rPr>
              <w:t>Serious retail investor</w:t>
            </w:r>
          </w:p>
        </w:tc>
        <w:tc>
          <w:tcPr>
            <w:tcW w:type="dxa" w:w="3672"/>
            <w:tcMar>
              <w:top w:w="100" w:type="dxa"/>
              <w:start w:w="120" w:type="dxa"/>
              <w:bottom w:w="100" w:type="dxa"/>
              <w:end w:w="120" w:type="dxa"/>
            </w:tcMar>
            <w:vAlign w:val="center"/>
          </w:tcPr>
          <w:p>
            <w:r>
              <w:rPr>
                <w:sz w:val="17"/>
              </w:rPr>
              <w:t>Find overlooked, source-backed ideas without monitoring dozens of specialist databases.</w:t>
            </w:r>
          </w:p>
        </w:tc>
        <w:tc>
          <w:tcPr>
            <w:tcW w:type="dxa" w:w="2520"/>
            <w:tcMar>
              <w:top w:w="100" w:type="dxa"/>
              <w:start w:w="120" w:type="dxa"/>
              <w:bottom w:w="100" w:type="dxa"/>
              <w:end w:w="120" w:type="dxa"/>
            </w:tcMar>
            <w:vAlign w:val="center"/>
          </w:tcPr>
          <w:p>
            <w:r>
              <w:rPr>
                <w:sz w:val="17"/>
              </w:rPr>
              <w:t>High; needs clear evidence and plain-language risk explanation.</w:t>
            </w:r>
          </w:p>
        </w:tc>
        <w:tc>
          <w:tcPr>
            <w:tcW w:type="dxa" w:w="936"/>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Independent fundamental investor</w:t>
            </w:r>
          </w:p>
        </w:tc>
        <w:tc>
          <w:tcPr>
            <w:tcW w:type="dxa" w:w="3672"/>
            <w:tcMar>
              <w:top w:w="100" w:type="dxa"/>
              <w:start w:w="120" w:type="dxa"/>
              <w:bottom w:w="100" w:type="dxa"/>
              <w:end w:w="120" w:type="dxa"/>
            </w:tcMar>
            <w:vAlign w:val="center"/>
          </w:tcPr>
          <w:p>
            <w:r>
              <w:rPr>
                <w:sz w:val="17"/>
              </w:rPr>
              <w:t>Discover catalysts and relationships to investigate before building a thesis.</w:t>
            </w:r>
          </w:p>
        </w:tc>
        <w:tc>
          <w:tcPr>
            <w:tcW w:type="dxa" w:w="2520"/>
            <w:tcMar>
              <w:top w:w="100" w:type="dxa"/>
              <w:start w:w="120" w:type="dxa"/>
              <w:bottom w:w="100" w:type="dxa"/>
              <w:end w:w="120" w:type="dxa"/>
            </w:tcMar>
            <w:vAlign w:val="center"/>
          </w:tcPr>
          <w:p>
            <w:r>
              <w:rPr>
                <w:sz w:val="17"/>
              </w:rPr>
              <w:t>Very high; needs source traceability and exportable research notes.</w:t>
            </w:r>
          </w:p>
        </w:tc>
        <w:tc>
          <w:tcPr>
            <w:tcW w:type="dxa" w:w="936"/>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Small-cap researcher</w:t>
            </w:r>
          </w:p>
        </w:tc>
        <w:tc>
          <w:tcPr>
            <w:tcW w:type="dxa" w:w="3672"/>
            <w:tcMar>
              <w:top w:w="100" w:type="dxa"/>
              <w:start w:w="120" w:type="dxa"/>
              <w:bottom w:w="100" w:type="dxa"/>
              <w:end w:w="120" w:type="dxa"/>
            </w:tcMar>
            <w:vAlign w:val="center"/>
          </w:tcPr>
          <w:p>
            <w:r>
              <w:rPr>
                <w:sz w:val="17"/>
              </w:rPr>
              <w:t>Screen many low-coverage companies for material developments.</w:t>
            </w:r>
          </w:p>
        </w:tc>
        <w:tc>
          <w:tcPr>
            <w:tcW w:type="dxa" w:w="2520"/>
            <w:tcMar>
              <w:top w:w="100" w:type="dxa"/>
              <w:start w:w="120" w:type="dxa"/>
              <w:bottom w:w="100" w:type="dxa"/>
              <w:end w:w="120" w:type="dxa"/>
            </w:tcMar>
            <w:vAlign w:val="center"/>
          </w:tcPr>
          <w:p>
            <w:r>
              <w:rPr>
                <w:sz w:val="17"/>
              </w:rPr>
              <w:t>Very high; needs strong false-positive controls and liquidity context.</w:t>
            </w:r>
          </w:p>
        </w:tc>
        <w:tc>
          <w:tcPr>
            <w:tcW w:type="dxa" w:w="936"/>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Sector specialist</w:t>
            </w:r>
          </w:p>
        </w:tc>
        <w:tc>
          <w:tcPr>
            <w:tcW w:type="dxa" w:w="3672"/>
            <w:tcMar>
              <w:top w:w="100" w:type="dxa"/>
              <w:start w:w="120" w:type="dxa"/>
              <w:bottom w:w="100" w:type="dxa"/>
              <w:end w:w="120" w:type="dxa"/>
            </w:tcMar>
            <w:vAlign w:val="center"/>
          </w:tcPr>
          <w:p>
            <w:r>
              <w:rPr>
                <w:sz w:val="17"/>
              </w:rPr>
              <w:t>Track permits, contracts, patents, and customer/supplier developments in one domain.</w:t>
            </w:r>
          </w:p>
        </w:tc>
        <w:tc>
          <w:tcPr>
            <w:tcW w:type="dxa" w:w="2520"/>
            <w:tcMar>
              <w:top w:w="100" w:type="dxa"/>
              <w:start w:w="120" w:type="dxa"/>
              <w:bottom w:w="100" w:type="dxa"/>
              <w:end w:w="120" w:type="dxa"/>
            </w:tcMar>
            <w:vAlign w:val="center"/>
          </w:tcPr>
          <w:p>
            <w:r>
              <w:rPr>
                <w:sz w:val="17"/>
              </w:rPr>
              <w:t>High; needs powerful filters and domain taxonomy.</w:t>
            </w:r>
          </w:p>
        </w:tc>
        <w:tc>
          <w:tcPr>
            <w:tcW w:type="dxa" w:w="936"/>
            <w:tcMar>
              <w:top w:w="100" w:type="dxa"/>
              <w:start w:w="120" w:type="dxa"/>
              <w:bottom w:w="100" w:type="dxa"/>
              <w:end w:w="120" w:type="dxa"/>
            </w:tcMar>
            <w:vAlign w:val="center"/>
          </w:tcPr>
          <w:p>
            <w:r>
              <w:rPr>
                <w:sz w:val="17"/>
              </w:rPr>
              <w:t>P1</w:t>
            </w:r>
          </w:p>
        </w:tc>
      </w:tr>
      <w:tr>
        <w:tc>
          <w:tcPr>
            <w:tcW w:type="dxa" w:w="2088"/>
            <w:tcMar>
              <w:top w:w="100" w:type="dxa"/>
              <w:start w:w="120" w:type="dxa"/>
              <w:bottom w:w="100" w:type="dxa"/>
              <w:end w:w="120" w:type="dxa"/>
            </w:tcMar>
            <w:vAlign w:val="center"/>
          </w:tcPr>
          <w:p>
            <w:r>
              <w:rPr>
                <w:sz w:val="17"/>
              </w:rPr>
              <w:t>Boutique asset manager</w:t>
            </w:r>
          </w:p>
        </w:tc>
        <w:tc>
          <w:tcPr>
            <w:tcW w:type="dxa" w:w="3672"/>
            <w:tcMar>
              <w:top w:w="100" w:type="dxa"/>
              <w:start w:w="120" w:type="dxa"/>
              <w:bottom w:w="100" w:type="dxa"/>
              <w:end w:w="120" w:type="dxa"/>
            </w:tcMar>
            <w:vAlign w:val="center"/>
          </w:tcPr>
          <w:p>
            <w:r>
              <w:rPr>
                <w:sz w:val="17"/>
              </w:rPr>
              <w:t>Create a monitored pipeline of research candidates for team review.</w:t>
            </w:r>
          </w:p>
        </w:tc>
        <w:tc>
          <w:tcPr>
            <w:tcW w:type="dxa" w:w="2520"/>
            <w:tcMar>
              <w:top w:w="100" w:type="dxa"/>
              <w:start w:w="120" w:type="dxa"/>
              <w:bottom w:w="100" w:type="dxa"/>
              <w:end w:w="120" w:type="dxa"/>
            </w:tcMar>
            <w:vAlign w:val="center"/>
          </w:tcPr>
          <w:p>
            <w:r>
              <w:rPr>
                <w:sz w:val="17"/>
              </w:rPr>
              <w:t>Institutional; needs auditability, roles, and API/export later.</w:t>
            </w:r>
          </w:p>
        </w:tc>
        <w:tc>
          <w:tcPr>
            <w:tcW w:type="dxa" w:w="936"/>
            <w:tcMar>
              <w:top w:w="100" w:type="dxa"/>
              <w:start w:w="120" w:type="dxa"/>
              <w:bottom w:w="100" w:type="dxa"/>
              <w:end w:w="120" w:type="dxa"/>
            </w:tcMar>
            <w:vAlign w:val="center"/>
          </w:tcPr>
          <w:p>
            <w:r>
              <w:rPr>
                <w:sz w:val="17"/>
              </w:rPr>
              <w:t>P1</w:t>
            </w:r>
          </w:p>
        </w:tc>
      </w:tr>
      <w:tr>
        <w:tc>
          <w:tcPr>
            <w:tcW w:type="dxa" w:w="2088"/>
            <w:tcMar>
              <w:top w:w="100" w:type="dxa"/>
              <w:start w:w="120" w:type="dxa"/>
              <w:bottom w:w="100" w:type="dxa"/>
              <w:end w:w="120" w:type="dxa"/>
            </w:tcMar>
            <w:vAlign w:val="center"/>
          </w:tcPr>
          <w:p>
            <w:r>
              <w:rPr>
                <w:sz w:val="17"/>
              </w:rPr>
              <w:t>Financial journalist</w:t>
            </w:r>
          </w:p>
        </w:tc>
        <w:tc>
          <w:tcPr>
            <w:tcW w:type="dxa" w:w="3672"/>
            <w:tcMar>
              <w:top w:w="100" w:type="dxa"/>
              <w:start w:w="120" w:type="dxa"/>
              <w:bottom w:w="100" w:type="dxa"/>
              <w:end w:w="120" w:type="dxa"/>
            </w:tcMar>
            <w:vAlign w:val="center"/>
          </w:tcPr>
          <w:p>
            <w:r>
              <w:rPr>
                <w:sz w:val="17"/>
              </w:rPr>
              <w:t>Find primary-source developments and relationship trails worth investigating.</w:t>
            </w:r>
          </w:p>
        </w:tc>
        <w:tc>
          <w:tcPr>
            <w:tcW w:type="dxa" w:w="2520"/>
            <w:tcMar>
              <w:top w:w="100" w:type="dxa"/>
              <w:start w:w="120" w:type="dxa"/>
              <w:bottom w:w="100" w:type="dxa"/>
              <w:end w:w="120" w:type="dxa"/>
            </w:tcMar>
            <w:vAlign w:val="center"/>
          </w:tcPr>
          <w:p>
            <w:r>
              <w:rPr>
                <w:sz w:val="17"/>
              </w:rPr>
              <w:t>High; needs exact source and timestamps.</w:t>
            </w:r>
          </w:p>
        </w:tc>
        <w:tc>
          <w:tcPr>
            <w:tcW w:type="dxa" w:w="936"/>
            <w:tcMar>
              <w:top w:w="100" w:type="dxa"/>
              <w:start w:w="120" w:type="dxa"/>
              <w:bottom w:w="100" w:type="dxa"/>
              <w:end w:w="120" w:type="dxa"/>
            </w:tcMar>
            <w:vAlign w:val="center"/>
          </w:tcPr>
          <w:p>
            <w:r>
              <w:rPr>
                <w:sz w:val="17"/>
              </w:rPr>
              <w:t>P2</w:t>
            </w:r>
          </w:p>
        </w:tc>
      </w:tr>
    </w:tbl>
    <w:p/>
    <w:p>
      <w:pPr>
        <w:pStyle w:val="Heading1"/>
      </w:pPr>
      <w:r>
        <w:t>4. Core User Journeys</w:t>
      </w:r>
    </w:p>
    <w:p>
      <w:pPr>
        <w:pStyle w:val="Heading2"/>
      </w:pPr>
      <w:r>
        <w:t>4.1 Journey A: Discover an opportunity</w:t>
      </w:r>
    </w:p>
    <w:p>
      <w:pPr>
        <w:pStyle w:val="ListNumber"/>
      </w:pPr>
      <w:r>
        <w:t>User signs in and lands on Opportunity Feed.</w:t>
      </w:r>
    </w:p>
    <w:p>
      <w:pPr>
        <w:pStyle w:val="ListNumber"/>
      </w:pPr>
      <w:r>
        <w:t>User applies filters: market cap, sector, catalyst type, score, evidence quality, and date detected.</w:t>
      </w:r>
    </w:p>
    <w:p>
      <w:pPr>
        <w:pStyle w:val="ListNumber"/>
      </w:pPr>
      <w:r>
        <w:t>User opens an opportunity card.</w:t>
      </w:r>
    </w:p>
    <w:p>
      <w:pPr>
        <w:pStyle w:val="ListNumber"/>
      </w:pPr>
      <w:r>
        <w:t>User sees the thesis summary, score breakdown, price reaction, risk flags, and evidence count.</w:t>
      </w:r>
    </w:p>
    <w:p>
      <w:pPr>
        <w:pStyle w:val="ListNumber"/>
      </w:pPr>
      <w:r>
        <w:t>User opens the opportunity detail page and reviews source documents and relationship graph.</w:t>
      </w:r>
    </w:p>
    <w:p>
      <w:pPr>
        <w:pStyle w:val="ListNumber"/>
      </w:pPr>
      <w:r>
        <w:t>User saves the company or opportunity to a watchlist.</w:t>
      </w:r>
    </w:p>
    <w:p>
      <w:pPr>
        <w:pStyle w:val="ListNumber"/>
      </w:pPr>
      <w:r>
        <w:t>User optionally requests a follow-up alert when a confirmation or invalidation condition appears.</w:t>
      </w:r>
    </w:p>
    <w:p>
      <w:pPr>
        <w:pStyle w:val="Heading2"/>
      </w:pPr>
      <w:r>
        <w:t>4.2 Journey B: Research a ticker</w:t>
      </w:r>
    </w:p>
    <w:p>
      <w:pPr>
        <w:pStyle w:val="ListNumber"/>
      </w:pPr>
      <w:r>
        <w:t>User searches by ticker or company name.</w:t>
      </w:r>
    </w:p>
    <w:p>
      <w:pPr>
        <w:pStyle w:val="ListNumber"/>
      </w:pPr>
      <w:r>
        <w:t>Company page shows active opportunities, historical catalysts, related entities, source timeline, analyst coverage estimate, market attention, and risk indicators.</w:t>
      </w:r>
    </w:p>
    <w:p>
      <w:pPr>
        <w:pStyle w:val="ListNumber"/>
      </w:pPr>
      <w:r>
        <w:t>User launches company-first scan to search the latest indexed documents for new signals.</w:t>
      </w:r>
    </w:p>
    <w:p>
      <w:pPr>
        <w:pStyle w:val="ListNumber"/>
      </w:pPr>
      <w:r>
        <w:t>System creates candidate findings and either shows them immediately as unverified research items or routes them to review.</w:t>
      </w:r>
    </w:p>
    <w:p>
      <w:pPr>
        <w:pStyle w:val="Heading2"/>
      </w:pPr>
      <w:r>
        <w:t>4.3 Journey C: Analyst reviews a candidate</w:t>
      </w:r>
    </w:p>
    <w:p>
      <w:pPr>
        <w:pStyle w:val="ListNumber"/>
      </w:pPr>
      <w:r>
        <w:t>Candidate enters admin review queue with source documents and extracted entities.</w:t>
      </w:r>
    </w:p>
    <w:p>
      <w:pPr>
        <w:pStyle w:val="ListNumber"/>
      </w:pPr>
      <w:r>
        <w:t>Reviewer verifies company mapping, event classification, relationship type, dates, and materiality assumptions.</w:t>
      </w:r>
    </w:p>
    <w:p>
      <w:pPr>
        <w:pStyle w:val="ListNumber"/>
      </w:pPr>
      <w:r>
        <w:t>Reviewer edits summary, score inputs, risks, and invalidation conditions.</w:t>
      </w:r>
    </w:p>
    <w:p>
      <w:pPr>
        <w:pStyle w:val="ListNumber"/>
      </w:pPr>
      <w:r>
        <w:t>Reviewer approves, rejects, merges duplicate, or holds for more evidence.</w:t>
      </w:r>
    </w:p>
    <w:p>
      <w:pPr>
        <w:pStyle w:val="ListNumber"/>
      </w:pPr>
      <w:r>
        <w:t>Approved opportunity becomes visible and eligible for alerts.</w:t>
      </w:r>
    </w:p>
    <w:p>
      <w:pPr>
        <w:pStyle w:val="Heading2"/>
      </w:pPr>
      <w:r>
        <w:t>4.4 Journey D: Daily digest</w:t>
      </w:r>
    </w:p>
    <w:p>
      <w:pPr>
        <w:pStyle w:val="ListNumber"/>
      </w:pPr>
      <w:r>
        <w:t>At user-configured time, system selects newly published opportunities matching watchlists and thresholds.</w:t>
      </w:r>
    </w:p>
    <w:p>
      <w:pPr>
        <w:pStyle w:val="ListNumber"/>
      </w:pPr>
      <w:r>
        <w:t>Digest groups opportunities by watchlist and catalyst category.</w:t>
      </w:r>
    </w:p>
    <w:p>
      <w:pPr>
        <w:pStyle w:val="ListNumber"/>
      </w:pPr>
      <w:r>
        <w:t>Each item includes score, why it may be overlooked, evidence count, risk label, and detail-page link.</w:t>
      </w:r>
    </w:p>
    <w:p>
      <w:pPr>
        <w:pStyle w:val="ListNumber"/>
      </w:pPr>
      <w:r>
        <w:t>Delivery status and engagement are logged.</w:t>
      </w:r>
    </w:p>
    <w:p>
      <w:pPr>
        <w:pStyle w:val="Heading1"/>
      </w:pPr>
      <w:r>
        <w:t>5. Information Architecture and Screens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17324D"/>
            <w:tcMar>
              <w:top w:w="120" w:type="dxa"/>
              <w:start w:w="100" w:type="dxa"/>
              <w:bottom w:w="120" w:type="dxa"/>
              <w:end w:w="100" w:type="dxa"/>
            </w:tcMar>
            <w:vAlign w:val="center"/>
          </w:tcPr>
          <w:p>
            <w:r>
              <w:rPr>
                <w:b/>
                <w:color w:val="FFFFFF"/>
                <w:sz w:val="18"/>
              </w:rPr>
              <w:t>Route</w:t>
            </w:r>
          </w:p>
        </w:tc>
        <w:tc>
          <w:tcPr>
            <w:tcW w:type="dxa" w:w="1944"/>
            <w:shd w:fill="17324D"/>
            <w:tcMar>
              <w:top w:w="120" w:type="dxa"/>
              <w:start w:w="100" w:type="dxa"/>
              <w:bottom w:w="120" w:type="dxa"/>
              <w:end w:w="100" w:type="dxa"/>
            </w:tcMar>
            <w:vAlign w:val="center"/>
          </w:tcPr>
          <w:p>
            <w:r>
              <w:rPr>
                <w:b/>
                <w:color w:val="FFFFFF"/>
                <w:sz w:val="18"/>
              </w:rPr>
              <w:t>Screen</w:t>
            </w:r>
          </w:p>
        </w:tc>
        <w:tc>
          <w:tcPr>
            <w:tcW w:type="dxa" w:w="4968"/>
            <w:shd w:fill="17324D"/>
            <w:tcMar>
              <w:top w:w="120" w:type="dxa"/>
              <w:start w:w="100" w:type="dxa"/>
              <w:bottom w:w="120" w:type="dxa"/>
              <w:end w:w="100" w:type="dxa"/>
            </w:tcMar>
            <w:vAlign w:val="center"/>
          </w:tcPr>
          <w:p>
            <w:r>
              <w:rPr>
                <w:b/>
                <w:color w:val="FFFFFF"/>
                <w:sz w:val="18"/>
              </w:rPr>
              <w:t>Core components</w:t>
            </w:r>
          </w:p>
        </w:tc>
        <w:tc>
          <w:tcPr>
            <w:tcW w:type="dxa" w:w="648"/>
            <w:shd w:fill="17324D"/>
            <w:tcMar>
              <w:top w:w="120" w:type="dxa"/>
              <w:start w:w="100" w:type="dxa"/>
              <w:bottom w:w="120" w:type="dxa"/>
              <w:end w:w="100" w:type="dxa"/>
            </w:tcMar>
            <w:vAlign w:val="center"/>
          </w:tcPr>
          <w:p>
            <w:r>
              <w:rPr>
                <w:b/>
                <w:color w:val="FFFFFF"/>
                <w:sz w:val="18"/>
              </w:rPr>
              <w:t>Priority</w:t>
            </w:r>
          </w:p>
        </w:tc>
      </w:tr>
      <w:tr>
        <w:tc>
          <w:tcPr>
            <w:tcW w:type="dxa" w:w="2088"/>
            <w:tcMar>
              <w:top w:w="100" w:type="dxa"/>
              <w:start w:w="120" w:type="dxa"/>
              <w:bottom w:w="100" w:type="dxa"/>
              <w:end w:w="120" w:type="dxa"/>
            </w:tcMar>
            <w:vAlign w:val="center"/>
          </w:tcPr>
          <w:p>
            <w:r>
              <w:rPr>
                <w:sz w:val="17"/>
              </w:rPr>
              <w:t>/</w:t>
            </w:r>
          </w:p>
        </w:tc>
        <w:tc>
          <w:tcPr>
            <w:tcW w:type="dxa" w:w="1944"/>
            <w:tcMar>
              <w:top w:w="100" w:type="dxa"/>
              <w:start w:w="120" w:type="dxa"/>
              <w:bottom w:w="100" w:type="dxa"/>
              <w:end w:w="120" w:type="dxa"/>
            </w:tcMar>
            <w:vAlign w:val="center"/>
          </w:tcPr>
          <w:p>
            <w:r>
              <w:rPr>
                <w:sz w:val="17"/>
              </w:rPr>
              <w:t>Marketing landing page</w:t>
            </w:r>
          </w:p>
        </w:tc>
        <w:tc>
          <w:tcPr>
            <w:tcW w:type="dxa" w:w="4968"/>
            <w:tcMar>
              <w:top w:w="100" w:type="dxa"/>
              <w:start w:w="120" w:type="dxa"/>
              <w:bottom w:w="100" w:type="dxa"/>
              <w:end w:w="120" w:type="dxa"/>
            </w:tcMar>
            <w:vAlign w:val="center"/>
          </w:tcPr>
          <w:p>
            <w:r>
              <w:rPr>
                <w:sz w:val="17"/>
              </w:rPr>
              <w:t>Value proposition, example opportunity card, methodology, legal disclosure, CTA.</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/login</w:t>
            </w:r>
          </w:p>
        </w:tc>
        <w:tc>
          <w:tcPr>
            <w:tcW w:type="dxa" w:w="1944"/>
            <w:tcMar>
              <w:top w:w="100" w:type="dxa"/>
              <w:start w:w="120" w:type="dxa"/>
              <w:bottom w:w="100" w:type="dxa"/>
              <w:end w:w="120" w:type="dxa"/>
            </w:tcMar>
            <w:vAlign w:val="center"/>
          </w:tcPr>
          <w:p>
            <w:r>
              <w:rPr>
                <w:sz w:val="17"/>
              </w:rPr>
              <w:t>Authentication</w:t>
            </w:r>
          </w:p>
        </w:tc>
        <w:tc>
          <w:tcPr>
            <w:tcW w:type="dxa" w:w="4968"/>
            <w:tcMar>
              <w:top w:w="100" w:type="dxa"/>
              <w:start w:w="120" w:type="dxa"/>
              <w:bottom w:w="100" w:type="dxa"/>
              <w:end w:w="120" w:type="dxa"/>
            </w:tcMar>
            <w:vAlign w:val="center"/>
          </w:tcPr>
          <w:p>
            <w:r>
              <w:rPr>
                <w:sz w:val="17"/>
              </w:rPr>
              <w:t>Email magic link or OAuth; terms acceptance.</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/feed</w:t>
            </w:r>
          </w:p>
        </w:tc>
        <w:tc>
          <w:tcPr>
            <w:tcW w:type="dxa" w:w="1944"/>
            <w:tcMar>
              <w:top w:w="100" w:type="dxa"/>
              <w:start w:w="120" w:type="dxa"/>
              <w:bottom w:w="100" w:type="dxa"/>
              <w:end w:w="120" w:type="dxa"/>
            </w:tcMar>
            <w:vAlign w:val="center"/>
          </w:tcPr>
          <w:p>
            <w:r>
              <w:rPr>
                <w:sz w:val="17"/>
              </w:rPr>
              <w:t>Opportunity Feed</w:t>
            </w:r>
          </w:p>
        </w:tc>
        <w:tc>
          <w:tcPr>
            <w:tcW w:type="dxa" w:w="4968"/>
            <w:tcMar>
              <w:top w:w="100" w:type="dxa"/>
              <w:start w:w="120" w:type="dxa"/>
              <w:bottom w:w="100" w:type="dxa"/>
              <w:end w:w="120" w:type="dxa"/>
            </w:tcMar>
            <w:vAlign w:val="center"/>
          </w:tcPr>
          <w:p>
            <w:r>
              <w:rPr>
                <w:sz w:val="17"/>
              </w:rPr>
              <w:t>Filter sidebar, sort, cards, pagination/infinite scroll, saved state.</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/opportunities/:id</w:t>
            </w:r>
          </w:p>
        </w:tc>
        <w:tc>
          <w:tcPr>
            <w:tcW w:type="dxa" w:w="1944"/>
            <w:tcMar>
              <w:top w:w="100" w:type="dxa"/>
              <w:start w:w="120" w:type="dxa"/>
              <w:bottom w:w="100" w:type="dxa"/>
              <w:end w:w="120" w:type="dxa"/>
            </w:tcMar>
            <w:vAlign w:val="center"/>
          </w:tcPr>
          <w:p>
            <w:r>
              <w:rPr>
                <w:sz w:val="17"/>
              </w:rPr>
              <w:t>Opportunity Detail</w:t>
            </w:r>
          </w:p>
        </w:tc>
        <w:tc>
          <w:tcPr>
            <w:tcW w:type="dxa" w:w="4968"/>
            <w:tcMar>
              <w:top w:w="100" w:type="dxa"/>
              <w:start w:w="120" w:type="dxa"/>
              <w:bottom w:w="100" w:type="dxa"/>
              <w:end w:w="120" w:type="dxa"/>
            </w:tcMar>
            <w:vAlign w:val="center"/>
          </w:tcPr>
          <w:p>
            <w:r>
              <w:rPr>
                <w:sz w:val="17"/>
              </w:rPr>
              <w:t>Summary, score breakdown, evidence timeline, relationship graph, scenarios, risks, invalidation, monitoring.</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/companies/:ticker</w:t>
            </w:r>
          </w:p>
        </w:tc>
        <w:tc>
          <w:tcPr>
            <w:tcW w:type="dxa" w:w="1944"/>
            <w:tcMar>
              <w:top w:w="100" w:type="dxa"/>
              <w:start w:w="120" w:type="dxa"/>
              <w:bottom w:w="100" w:type="dxa"/>
              <w:end w:w="120" w:type="dxa"/>
            </w:tcMar>
            <w:vAlign w:val="center"/>
          </w:tcPr>
          <w:p>
            <w:r>
              <w:rPr>
                <w:sz w:val="17"/>
              </w:rPr>
              <w:t>Company Profile</w:t>
            </w:r>
          </w:p>
        </w:tc>
        <w:tc>
          <w:tcPr>
            <w:tcW w:type="dxa" w:w="4968"/>
            <w:tcMar>
              <w:top w:w="100" w:type="dxa"/>
              <w:start w:w="120" w:type="dxa"/>
              <w:bottom w:w="100" w:type="dxa"/>
              <w:end w:w="120" w:type="dxa"/>
            </w:tcMar>
            <w:vAlign w:val="center"/>
          </w:tcPr>
          <w:p>
            <w:r>
              <w:rPr>
                <w:sz w:val="17"/>
              </w:rPr>
              <w:t>Company facts, active opportunities, catalyst history, relationships, source timeline, watchlist control.</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/search</w:t>
            </w:r>
          </w:p>
        </w:tc>
        <w:tc>
          <w:tcPr>
            <w:tcW w:type="dxa" w:w="1944"/>
            <w:tcMar>
              <w:top w:w="100" w:type="dxa"/>
              <w:start w:w="120" w:type="dxa"/>
              <w:bottom w:w="100" w:type="dxa"/>
              <w:end w:w="120" w:type="dxa"/>
            </w:tcMar>
            <w:vAlign w:val="center"/>
          </w:tcPr>
          <w:p>
            <w:r>
              <w:rPr>
                <w:sz w:val="17"/>
              </w:rPr>
              <w:t>Global Search</w:t>
            </w:r>
          </w:p>
        </w:tc>
        <w:tc>
          <w:tcPr>
            <w:tcW w:type="dxa" w:w="4968"/>
            <w:tcMar>
              <w:top w:w="100" w:type="dxa"/>
              <w:start w:w="120" w:type="dxa"/>
              <w:bottom w:w="100" w:type="dxa"/>
              <w:end w:w="120" w:type="dxa"/>
            </w:tcMar>
            <w:vAlign w:val="center"/>
          </w:tcPr>
          <w:p>
            <w:r>
              <w:rPr>
                <w:sz w:val="17"/>
              </w:rPr>
              <w:t>Company, event, document, contract, patent, regulator, agency, product.</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/watchlists</w:t>
            </w:r>
          </w:p>
        </w:tc>
        <w:tc>
          <w:tcPr>
            <w:tcW w:type="dxa" w:w="1944"/>
            <w:tcMar>
              <w:top w:w="100" w:type="dxa"/>
              <w:start w:w="120" w:type="dxa"/>
              <w:bottom w:w="100" w:type="dxa"/>
              <w:end w:w="120" w:type="dxa"/>
            </w:tcMar>
            <w:vAlign w:val="center"/>
          </w:tcPr>
          <w:p>
            <w:r>
              <w:rPr>
                <w:sz w:val="17"/>
              </w:rPr>
              <w:t>Watchlists</w:t>
            </w:r>
          </w:p>
        </w:tc>
        <w:tc>
          <w:tcPr>
            <w:tcW w:type="dxa" w:w="4968"/>
            <w:tcMar>
              <w:top w:w="100" w:type="dxa"/>
              <w:start w:w="120" w:type="dxa"/>
              <w:bottom w:w="100" w:type="dxa"/>
              <w:end w:w="120" w:type="dxa"/>
            </w:tcMar>
            <w:vAlign w:val="center"/>
          </w:tcPr>
          <w:p>
            <w:r>
              <w:rPr>
                <w:sz w:val="17"/>
              </w:rPr>
              <w:t>Create/edit lists, members, alert rules, digest settings.</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/methodology</w:t>
            </w:r>
          </w:p>
        </w:tc>
        <w:tc>
          <w:tcPr>
            <w:tcW w:type="dxa" w:w="1944"/>
            <w:tcMar>
              <w:top w:w="100" w:type="dxa"/>
              <w:start w:w="120" w:type="dxa"/>
              <w:bottom w:w="100" w:type="dxa"/>
              <w:end w:w="120" w:type="dxa"/>
            </w:tcMar>
            <w:vAlign w:val="center"/>
          </w:tcPr>
          <w:p>
            <w:r>
              <w:rPr>
                <w:sz w:val="17"/>
              </w:rPr>
              <w:t>Methodology</w:t>
            </w:r>
          </w:p>
        </w:tc>
        <w:tc>
          <w:tcPr>
            <w:tcW w:type="dxa" w:w="4968"/>
            <w:tcMar>
              <w:top w:w="100" w:type="dxa"/>
              <w:start w:w="120" w:type="dxa"/>
              <w:bottom w:w="100" w:type="dxa"/>
              <w:end w:w="120" w:type="dxa"/>
            </w:tcMar>
            <w:vAlign w:val="center"/>
          </w:tcPr>
          <w:p>
            <w:r>
              <w:rPr>
                <w:sz w:val="17"/>
              </w:rPr>
              <w:t>Score formulas, evidence labels, limitations, source policy.</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/settings</w:t>
            </w:r>
          </w:p>
        </w:tc>
        <w:tc>
          <w:tcPr>
            <w:tcW w:type="dxa" w:w="1944"/>
            <w:tcMar>
              <w:top w:w="100" w:type="dxa"/>
              <w:start w:w="120" w:type="dxa"/>
              <w:bottom w:w="100" w:type="dxa"/>
              <w:end w:w="120" w:type="dxa"/>
            </w:tcMar>
            <w:vAlign w:val="center"/>
          </w:tcPr>
          <w:p>
            <w:r>
              <w:rPr>
                <w:sz w:val="17"/>
              </w:rPr>
              <w:t>User Settings</w:t>
            </w:r>
          </w:p>
        </w:tc>
        <w:tc>
          <w:tcPr>
            <w:tcW w:type="dxa" w:w="4968"/>
            <w:tcMar>
              <w:top w:w="100" w:type="dxa"/>
              <w:start w:w="120" w:type="dxa"/>
              <w:bottom w:w="100" w:type="dxa"/>
              <w:end w:w="120" w:type="dxa"/>
            </w:tcMar>
            <w:vAlign w:val="center"/>
          </w:tcPr>
          <w:p>
            <w:r>
              <w:rPr>
                <w:sz w:val="17"/>
              </w:rPr>
              <w:t>Profile, notifications, timezone, thresholds, legal preferences.</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/admin/review</w:t>
            </w:r>
          </w:p>
        </w:tc>
        <w:tc>
          <w:tcPr>
            <w:tcW w:type="dxa" w:w="1944"/>
            <w:tcMar>
              <w:top w:w="100" w:type="dxa"/>
              <w:start w:w="120" w:type="dxa"/>
              <w:bottom w:w="100" w:type="dxa"/>
              <w:end w:w="120" w:type="dxa"/>
            </w:tcMar>
            <w:vAlign w:val="center"/>
          </w:tcPr>
          <w:p>
            <w:r>
              <w:rPr>
                <w:sz w:val="17"/>
              </w:rPr>
              <w:t>Review Queue</w:t>
            </w:r>
          </w:p>
        </w:tc>
        <w:tc>
          <w:tcPr>
            <w:tcW w:type="dxa" w:w="4968"/>
            <w:tcMar>
              <w:top w:w="100" w:type="dxa"/>
              <w:start w:w="120" w:type="dxa"/>
              <w:bottom w:w="100" w:type="dxa"/>
              <w:end w:w="120" w:type="dxa"/>
            </w:tcMar>
            <w:vAlign w:val="center"/>
          </w:tcPr>
          <w:p>
            <w:r>
              <w:rPr>
                <w:sz w:val="17"/>
              </w:rPr>
              <w:t>Candidate triage, evidence comparison, edit/approve/reject/merge.</w:t>
            </w:r>
          </w:p>
        </w:tc>
        <w:tc>
          <w:tcPr>
            <w:tcW w:type="dxa" w:w="648"/>
            <w:tcMar>
              <w:top w:w="100" w:type="dxa"/>
              <w:start w:w="120" w:type="dxa"/>
              <w:bottom w:w="100" w:type="dxa"/>
              <w:end w:w="120" w:type="dxa"/>
            </w:tcMar>
            <w:vAlign w:val="center"/>
          </w:tcPr>
          <w:p>
            <w:r>
              <w:rPr>
                <w:sz w:val="17"/>
              </w:rPr>
              <w:t>P0</w:t>
            </w:r>
          </w:p>
        </w:tc>
      </w:tr>
      <w:tr>
        <w:tc>
          <w:tcPr>
            <w:tcW w:type="dxa" w:w="2088"/>
            <w:tcMar>
              <w:top w:w="100" w:type="dxa"/>
              <w:start w:w="120" w:type="dxa"/>
              <w:bottom w:w="100" w:type="dxa"/>
              <w:end w:w="120" w:type="dxa"/>
            </w:tcMar>
            <w:vAlign w:val="center"/>
          </w:tcPr>
          <w:p>
            <w:r>
              <w:rPr>
                <w:sz w:val="17"/>
              </w:rPr>
              <w:t>/admin/sources</w:t>
            </w:r>
          </w:p>
        </w:tc>
        <w:tc>
          <w:tcPr>
            <w:tcW w:type="dxa" w:w="1944"/>
            <w:tcMar>
              <w:top w:w="100" w:type="dxa"/>
              <w:start w:w="120" w:type="dxa"/>
              <w:bottom w:w="100" w:type="dxa"/>
              <w:end w:w="120" w:type="dxa"/>
            </w:tcMar>
            <w:vAlign w:val="center"/>
          </w:tcPr>
          <w:p>
            <w:r>
              <w:rPr>
                <w:sz w:val="17"/>
              </w:rPr>
              <w:t>Source Operations</w:t>
            </w:r>
          </w:p>
        </w:tc>
        <w:tc>
          <w:tcPr>
            <w:tcW w:type="dxa" w:w="4968"/>
            <w:tcMar>
              <w:top w:w="100" w:type="dxa"/>
              <w:start w:w="120" w:type="dxa"/>
              <w:bottom w:w="100" w:type="dxa"/>
              <w:end w:w="120" w:type="dxa"/>
            </w:tcMar>
            <w:vAlign w:val="center"/>
          </w:tcPr>
          <w:p>
            <w:r>
              <w:rPr>
                <w:sz w:val="17"/>
              </w:rPr>
              <w:t>Connector health, last run, failures, document counts, retry.</w:t>
            </w:r>
          </w:p>
        </w:tc>
        <w:tc>
          <w:tcPr>
            <w:tcW w:type="dxa" w:w="648"/>
            <w:tcMar>
              <w:top w:w="100" w:type="dxa"/>
              <w:start w:w="120" w:type="dxa"/>
              <w:bottom w:w="100" w:type="dxa"/>
              <w:end w:w="120" w:type="dxa"/>
            </w:tcMar>
            <w:vAlign w:val="center"/>
          </w:tcPr>
          <w:p>
            <w:r>
              <w:rPr>
                <w:sz w:val="17"/>
              </w:rPr>
              <w:t>P1</w:t>
            </w:r>
          </w:p>
        </w:tc>
      </w:tr>
      <w:tr>
        <w:tc>
          <w:tcPr>
            <w:tcW w:type="dxa" w:w="2088"/>
            <w:tcMar>
              <w:top w:w="100" w:type="dxa"/>
              <w:start w:w="120" w:type="dxa"/>
              <w:bottom w:w="100" w:type="dxa"/>
              <w:end w:w="120" w:type="dxa"/>
            </w:tcMar>
            <w:vAlign w:val="center"/>
          </w:tcPr>
          <w:p>
            <w:r>
              <w:rPr>
                <w:sz w:val="17"/>
              </w:rPr>
              <w:t>/relationships</w:t>
            </w:r>
          </w:p>
        </w:tc>
        <w:tc>
          <w:tcPr>
            <w:tcW w:type="dxa" w:w="1944"/>
            <w:tcMar>
              <w:top w:w="100" w:type="dxa"/>
              <w:start w:w="120" w:type="dxa"/>
              <w:bottom w:w="100" w:type="dxa"/>
              <w:end w:w="120" w:type="dxa"/>
            </w:tcMar>
            <w:vAlign w:val="center"/>
          </w:tcPr>
          <w:p>
            <w:r>
              <w:rPr>
                <w:sz w:val="17"/>
              </w:rPr>
              <w:t>Relationship Explorer</w:t>
            </w:r>
          </w:p>
        </w:tc>
        <w:tc>
          <w:tcPr>
            <w:tcW w:type="dxa" w:w="4968"/>
            <w:tcMar>
              <w:top w:w="100" w:type="dxa"/>
              <w:start w:w="120" w:type="dxa"/>
              <w:bottom w:w="100" w:type="dxa"/>
              <w:end w:w="120" w:type="dxa"/>
            </w:tcMar>
            <w:vAlign w:val="center"/>
          </w:tcPr>
          <w:p>
            <w:r>
              <w:rPr>
                <w:sz w:val="17"/>
              </w:rPr>
              <w:t>Interactive graph and filters.</w:t>
            </w:r>
          </w:p>
        </w:tc>
        <w:tc>
          <w:tcPr>
            <w:tcW w:type="dxa" w:w="648"/>
            <w:tcMar>
              <w:top w:w="100" w:type="dxa"/>
              <w:start w:w="120" w:type="dxa"/>
              <w:bottom w:w="100" w:type="dxa"/>
              <w:end w:w="120" w:type="dxa"/>
            </w:tcMar>
            <w:vAlign w:val="center"/>
          </w:tcPr>
          <w:p>
            <w:r>
              <w:rPr>
                <w:sz w:val="17"/>
              </w:rPr>
              <w:t>P1</w:t>
            </w:r>
          </w:p>
        </w:tc>
      </w:tr>
      <w:tr>
        <w:tc>
          <w:tcPr>
            <w:tcW w:type="dxa" w:w="2088"/>
            <w:tcMar>
              <w:top w:w="100" w:type="dxa"/>
              <w:start w:w="120" w:type="dxa"/>
              <w:bottom w:w="100" w:type="dxa"/>
              <w:end w:w="120" w:type="dxa"/>
            </w:tcMar>
            <w:vAlign w:val="center"/>
          </w:tcPr>
          <w:p>
            <w:r>
              <w:rPr>
                <w:sz w:val="17"/>
              </w:rPr>
              <w:t>/calendar</w:t>
            </w:r>
          </w:p>
        </w:tc>
        <w:tc>
          <w:tcPr>
            <w:tcW w:type="dxa" w:w="1944"/>
            <w:tcMar>
              <w:top w:w="100" w:type="dxa"/>
              <w:start w:w="120" w:type="dxa"/>
              <w:bottom w:w="100" w:type="dxa"/>
              <w:end w:w="120" w:type="dxa"/>
            </w:tcMar>
            <w:vAlign w:val="center"/>
          </w:tcPr>
          <w:p>
            <w:r>
              <w:rPr>
                <w:sz w:val="17"/>
              </w:rPr>
              <w:t>Catalyst Calendar</w:t>
            </w:r>
          </w:p>
        </w:tc>
        <w:tc>
          <w:tcPr>
            <w:tcW w:type="dxa" w:w="4968"/>
            <w:tcMar>
              <w:top w:w="100" w:type="dxa"/>
              <w:start w:w="120" w:type="dxa"/>
              <w:bottom w:w="100" w:type="dxa"/>
              <w:end w:w="120" w:type="dxa"/>
            </w:tcMar>
            <w:vAlign w:val="center"/>
          </w:tcPr>
          <w:p>
            <w:r>
              <w:rPr>
                <w:sz w:val="17"/>
              </w:rPr>
              <w:t>Expected decisions, deadlines, milestones.</w:t>
            </w:r>
          </w:p>
        </w:tc>
        <w:tc>
          <w:tcPr>
            <w:tcW w:type="dxa" w:w="648"/>
            <w:tcMar>
              <w:top w:w="100" w:type="dxa"/>
              <w:start w:w="120" w:type="dxa"/>
              <w:bottom w:w="100" w:type="dxa"/>
              <w:end w:w="120" w:type="dxa"/>
            </w:tcMar>
            <w:vAlign w:val="center"/>
          </w:tcPr>
          <w:p>
            <w:r>
              <w:rPr>
                <w:sz w:val="17"/>
              </w:rPr>
              <w:t>P1</w:t>
            </w:r>
          </w:p>
        </w:tc>
      </w:tr>
    </w:tbl>
    <w:p/>
    <w:p>
      <w:pPr>
        <w:pStyle w:val="Heading2"/>
      </w:pPr>
      <w:r>
        <w:t>5.1 Opportunity card specification</w:t>
      </w:r>
    </w:p>
    <w:p>
      <w:pPr>
        <w:pStyle w:val="ListBullet"/>
      </w:pPr>
      <w:r>
        <w:t>Company name, ticker, exchange, sector, market capitalization, and liquidity badge.</w:t>
      </w:r>
    </w:p>
    <w:p>
      <w:pPr>
        <w:pStyle w:val="ListBullet"/>
      </w:pPr>
      <w:r>
        <w:t>Catalyst title and category.</w:t>
      </w:r>
    </w:p>
    <w:p>
      <w:pPr>
        <w:pStyle w:val="ListBullet"/>
      </w:pPr>
      <w:r>
        <w:t>One-sentence verified fact and one-sentence model/analyst interpretation, visually separated.</w:t>
      </w:r>
    </w:p>
    <w:p>
      <w:pPr>
        <w:pStyle w:val="ListBullet"/>
      </w:pPr>
      <w:r>
        <w:t>Overall Opportunity Score plus the three primary component scores.</w:t>
      </w:r>
    </w:p>
    <w:p>
      <w:pPr>
        <w:pStyle w:val="ListBullet"/>
      </w:pPr>
      <w:r>
        <w:t>Why overlooked: up to three concise reasons.</w:t>
      </w:r>
    </w:p>
    <w:p>
      <w:pPr>
        <w:pStyle w:val="ListBullet"/>
      </w:pPr>
      <w:r>
        <w:t>Price reaction since source publication and whether reaction is market-adjusted.</w:t>
      </w:r>
    </w:p>
    <w:p>
      <w:pPr>
        <w:pStyle w:val="ListBullet"/>
      </w:pPr>
      <w:r>
        <w:t>Evidence count, primary-source badge, first detected timestamp, and expected catalyst date.</w:t>
      </w:r>
    </w:p>
    <w:p>
      <w:pPr>
        <w:pStyle w:val="ListBullet"/>
      </w:pPr>
      <w:r>
        <w:t>Risk badges: low liquidity, dilution, legal uncertainty, weak mapping, promotional source, or stale evidence.</w:t>
      </w:r>
    </w:p>
    <w:p>
      <w:pPr>
        <w:pStyle w:val="ListBullet"/>
      </w:pPr>
      <w:r>
        <w:t>Actions: open, save, dismiss, report issue.</w:t>
      </w:r>
    </w:p>
    <w:p>
      <w:pPr>
        <w:pStyle w:val="Heading2"/>
      </w:pPr>
      <w:r>
        <w:t>5.2 Opportunity detail tabs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872"/>
            <w:shd w:fill="17324D"/>
            <w:tcMar>
              <w:top w:w="120" w:type="dxa"/>
              <w:start w:w="100" w:type="dxa"/>
              <w:bottom w:w="120" w:type="dxa"/>
              <w:end w:w="100" w:type="dxa"/>
            </w:tcMar>
            <w:vAlign w:val="center"/>
          </w:tcPr>
          <w:p>
            <w:r>
              <w:rPr>
                <w:b/>
                <w:color w:val="FFFFFF"/>
                <w:sz w:val="18"/>
              </w:rPr>
              <w:t>Tab</w:t>
            </w:r>
          </w:p>
        </w:tc>
        <w:tc>
          <w:tcPr>
            <w:tcW w:type="dxa" w:w="7704"/>
            <w:shd w:fill="17324D"/>
            <w:tcMar>
              <w:top w:w="120" w:type="dxa"/>
              <w:start w:w="100" w:type="dxa"/>
              <w:bottom w:w="120" w:type="dxa"/>
              <w:end w:w="100" w:type="dxa"/>
            </w:tcMar>
            <w:vAlign w:val="center"/>
          </w:tcPr>
          <w:p>
            <w:r>
              <w:rPr>
                <w:b/>
                <w:color w:val="FFFFFF"/>
                <w:sz w:val="18"/>
              </w:rPr>
              <w:t>Contents</w:t>
            </w:r>
          </w:p>
        </w:tc>
      </w:tr>
      <w:tr>
        <w:tc>
          <w:tcPr>
            <w:tcW w:type="dxa" w:w="1872"/>
            <w:tcMar>
              <w:top w:w="100" w:type="dxa"/>
              <w:start w:w="120" w:type="dxa"/>
              <w:bottom w:w="100" w:type="dxa"/>
              <w:end w:w="120" w:type="dxa"/>
            </w:tcMar>
            <w:vAlign w:val="center"/>
          </w:tcPr>
          <w:p>
            <w:r>
              <w:rPr>
                <w:sz w:val="17"/>
              </w:rPr>
              <w:t>Overview</w:t>
            </w:r>
          </w:p>
        </w:tc>
        <w:tc>
          <w:tcPr>
            <w:tcW w:type="dxa" w:w="7704"/>
            <w:tcMar>
              <w:top w:w="100" w:type="dxa"/>
              <w:start w:w="120" w:type="dxa"/>
              <w:bottom w:w="100" w:type="dxa"/>
              <w:end w:w="120" w:type="dxa"/>
            </w:tcMar>
            <w:vAlign w:val="center"/>
          </w:tcPr>
          <w:p>
            <w:r>
              <w:rPr>
                <w:sz w:val="17"/>
              </w:rPr>
              <w:t>Thesis, verified facts, inference, scenarios, key risks, next signal.</w:t>
            </w:r>
          </w:p>
        </w:tc>
      </w:tr>
      <w:tr>
        <w:tc>
          <w:tcPr>
            <w:tcW w:type="dxa" w:w="1872"/>
            <w:tcMar>
              <w:top w:w="100" w:type="dxa"/>
              <w:start w:w="120" w:type="dxa"/>
              <w:bottom w:w="100" w:type="dxa"/>
              <w:end w:w="120" w:type="dxa"/>
            </w:tcMar>
            <w:vAlign w:val="center"/>
          </w:tcPr>
          <w:p>
            <w:r>
              <w:rPr>
                <w:sz w:val="17"/>
              </w:rPr>
              <w:t>Evidence</w:t>
            </w:r>
          </w:p>
        </w:tc>
        <w:tc>
          <w:tcPr>
            <w:tcW w:type="dxa" w:w="7704"/>
            <w:tcMar>
              <w:top w:w="100" w:type="dxa"/>
              <w:start w:w="120" w:type="dxa"/>
              <w:bottom w:w="100" w:type="dxa"/>
              <w:end w:w="120" w:type="dxa"/>
            </w:tcMar>
            <w:vAlign w:val="center"/>
          </w:tcPr>
          <w:p>
            <w:r>
              <w:rPr>
                <w:sz w:val="17"/>
              </w:rPr>
              <w:t>Source list, document excerpts, source quality, timestamps, archived hash/URL, contradictions.</w:t>
            </w:r>
          </w:p>
        </w:tc>
      </w:tr>
      <w:tr>
        <w:tc>
          <w:tcPr>
            <w:tcW w:type="dxa" w:w="1872"/>
            <w:tcMar>
              <w:top w:w="100" w:type="dxa"/>
              <w:start w:w="120" w:type="dxa"/>
              <w:bottom w:w="100" w:type="dxa"/>
              <w:end w:w="120" w:type="dxa"/>
            </w:tcMar>
            <w:vAlign w:val="center"/>
          </w:tcPr>
          <w:p>
            <w:r>
              <w:rPr>
                <w:sz w:val="17"/>
              </w:rPr>
              <w:t>Scores</w:t>
            </w:r>
          </w:p>
        </w:tc>
        <w:tc>
          <w:tcPr>
            <w:tcW w:type="dxa" w:w="7704"/>
            <w:tcMar>
              <w:top w:w="100" w:type="dxa"/>
              <w:start w:w="120" w:type="dxa"/>
              <w:bottom w:w="100" w:type="dxa"/>
              <w:end w:w="120" w:type="dxa"/>
            </w:tcMar>
            <w:vAlign w:val="center"/>
          </w:tcPr>
          <w:p>
            <w:r>
              <w:rPr>
                <w:sz w:val="17"/>
              </w:rPr>
              <w:t>Factor-level score breakdown, raw inputs, weights, confidence, reviewer changes.</w:t>
            </w:r>
          </w:p>
        </w:tc>
      </w:tr>
      <w:tr>
        <w:tc>
          <w:tcPr>
            <w:tcW w:type="dxa" w:w="1872"/>
            <w:tcMar>
              <w:top w:w="100" w:type="dxa"/>
              <w:start w:w="120" w:type="dxa"/>
              <w:bottom w:w="100" w:type="dxa"/>
              <w:end w:w="120" w:type="dxa"/>
            </w:tcMar>
            <w:vAlign w:val="center"/>
          </w:tcPr>
          <w:p>
            <w:r>
              <w:rPr>
                <w:sz w:val="17"/>
              </w:rPr>
              <w:t>Relationships</w:t>
            </w:r>
          </w:p>
        </w:tc>
        <w:tc>
          <w:tcPr>
            <w:tcW w:type="dxa" w:w="7704"/>
            <w:tcMar>
              <w:top w:w="100" w:type="dxa"/>
              <w:start w:w="120" w:type="dxa"/>
              <w:bottom w:w="100" w:type="dxa"/>
              <w:end w:w="120" w:type="dxa"/>
            </w:tcMar>
            <w:vAlign w:val="center"/>
          </w:tcPr>
          <w:p>
            <w:r>
              <w:rPr>
                <w:sz w:val="17"/>
              </w:rPr>
              <w:t>Direct and indirect entity graph with source-backed edges.</w:t>
            </w:r>
          </w:p>
        </w:tc>
      </w:tr>
      <w:tr>
        <w:tc>
          <w:tcPr>
            <w:tcW w:type="dxa" w:w="1872"/>
            <w:tcMar>
              <w:top w:w="100" w:type="dxa"/>
              <w:start w:w="120" w:type="dxa"/>
              <w:bottom w:w="100" w:type="dxa"/>
              <w:end w:w="120" w:type="dxa"/>
            </w:tcMar>
            <w:vAlign w:val="center"/>
          </w:tcPr>
          <w:p>
            <w:r>
              <w:rPr>
                <w:sz w:val="17"/>
              </w:rPr>
              <w:t>Market reaction</w:t>
            </w:r>
          </w:p>
        </w:tc>
        <w:tc>
          <w:tcPr>
            <w:tcW w:type="dxa" w:w="7704"/>
            <w:tcMar>
              <w:top w:w="100" w:type="dxa"/>
              <w:start w:w="120" w:type="dxa"/>
              <w:bottom w:w="100" w:type="dxa"/>
              <w:end w:w="120" w:type="dxa"/>
            </w:tcMar>
            <w:vAlign w:val="center"/>
          </w:tcPr>
          <w:p>
            <w:r>
              <w:rPr>
                <w:sz w:val="17"/>
              </w:rPr>
              <w:t>Price/volume around source and detection dates, peers, sector benchmark, analyst/news attention.</w:t>
            </w:r>
          </w:p>
        </w:tc>
      </w:tr>
      <w:tr>
        <w:tc>
          <w:tcPr>
            <w:tcW w:type="dxa" w:w="1872"/>
            <w:tcMar>
              <w:top w:w="100" w:type="dxa"/>
              <w:start w:w="120" w:type="dxa"/>
              <w:bottom w:w="100" w:type="dxa"/>
              <w:end w:w="120" w:type="dxa"/>
            </w:tcMar>
            <w:vAlign w:val="center"/>
          </w:tcPr>
          <w:p>
            <w:r>
              <w:rPr>
                <w:sz w:val="17"/>
              </w:rPr>
              <w:t>Monitoring</w:t>
            </w:r>
          </w:p>
        </w:tc>
        <w:tc>
          <w:tcPr>
            <w:tcW w:type="dxa" w:w="7704"/>
            <w:tcMar>
              <w:top w:w="100" w:type="dxa"/>
              <w:start w:w="120" w:type="dxa"/>
              <w:bottom w:w="100" w:type="dxa"/>
              <w:end w:w="120" w:type="dxa"/>
            </w:tcMar>
            <w:vAlign w:val="center"/>
          </w:tcPr>
          <w:p>
            <w:r>
              <w:rPr>
                <w:sz w:val="17"/>
              </w:rPr>
              <w:t>Expected dates, confirmation events, invalidation rules, alert subscriptions.</w:t>
            </w:r>
          </w:p>
        </w:tc>
      </w:tr>
      <w:tr>
        <w:tc>
          <w:tcPr>
            <w:tcW w:type="dxa" w:w="1872"/>
            <w:tcMar>
              <w:top w:w="100" w:type="dxa"/>
              <w:start w:w="120" w:type="dxa"/>
              <w:bottom w:w="100" w:type="dxa"/>
              <w:end w:w="120" w:type="dxa"/>
            </w:tcMar>
            <w:vAlign w:val="center"/>
          </w:tcPr>
          <w:p>
            <w:r>
              <w:rPr>
                <w:sz w:val="17"/>
              </w:rPr>
              <w:t>Audit</w:t>
            </w:r>
          </w:p>
        </w:tc>
        <w:tc>
          <w:tcPr>
            <w:tcW w:type="dxa" w:w="7704"/>
            <w:tcMar>
              <w:top w:w="100" w:type="dxa"/>
              <w:start w:w="120" w:type="dxa"/>
              <w:bottom w:w="100" w:type="dxa"/>
              <w:end w:w="120" w:type="dxa"/>
            </w:tcMar>
            <w:vAlign w:val="center"/>
          </w:tcPr>
          <w:p>
            <w:r>
              <w:rPr>
                <w:sz w:val="17"/>
              </w:rPr>
              <w:t>Candidate creation, model version, reviewer actions, publication history.</w:t>
            </w:r>
          </w:p>
        </w:tc>
      </w:tr>
    </w:tbl>
    <w:p/>
    <w:p>
      <w:pPr>
        <w:pStyle w:val="Heading1"/>
      </w:pPr>
      <w:r>
        <w:t>6. Functional Requirements</w:t>
      </w:r>
    </w:p>
    <w:p>
      <w:pPr>
        <w:pStyle w:val="Heading2"/>
      </w:pPr>
      <w:r>
        <w:t>6.1 Authentication and users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17324D"/>
            <w:tcMar>
              <w:top w:w="120" w:type="dxa"/>
              <w:start w:w="100" w:type="dxa"/>
              <w:bottom w:w="120" w:type="dxa"/>
              <w:end w:w="100" w:type="dxa"/>
            </w:tcMar>
            <w:vAlign w:val="center"/>
          </w:tcPr>
          <w:p>
            <w:r>
              <w:rPr>
                <w:b/>
                <w:color w:val="FFFFFF"/>
                <w:sz w:val="18"/>
              </w:rPr>
              <w:t>ID</w:t>
            </w:r>
          </w:p>
        </w:tc>
        <w:tc>
          <w:tcPr>
            <w:tcW w:type="dxa" w:w="4680"/>
            <w:shd w:fill="17324D"/>
            <w:tcMar>
              <w:top w:w="120" w:type="dxa"/>
              <w:start w:w="100" w:type="dxa"/>
              <w:bottom w:w="120" w:type="dxa"/>
              <w:end w:w="100" w:type="dxa"/>
            </w:tcMar>
            <w:vAlign w:val="center"/>
          </w:tcPr>
          <w:p>
            <w:r>
              <w:rPr>
                <w:b/>
                <w:color w:val="FFFFFF"/>
                <w:sz w:val="18"/>
              </w:rPr>
              <w:t>Requirement</w:t>
            </w:r>
          </w:p>
        </w:tc>
        <w:tc>
          <w:tcPr>
            <w:tcW w:type="dxa" w:w="3600"/>
            <w:shd w:fill="17324D"/>
            <w:tcMar>
              <w:top w:w="120" w:type="dxa"/>
              <w:start w:w="100" w:type="dxa"/>
              <w:bottom w:w="120" w:type="dxa"/>
              <w:end w:w="100" w:type="dxa"/>
            </w:tcMar>
            <w:vAlign w:val="center"/>
          </w:tcPr>
          <w:p>
            <w:r>
              <w:rPr>
                <w:b/>
                <w:color w:val="FFFFFF"/>
                <w:sz w:val="18"/>
              </w:rPr>
              <w:t>Acceptance criterion</w:t>
            </w:r>
          </w:p>
        </w:tc>
      </w:tr>
      <w:tr>
        <w:tc>
          <w:tcPr>
            <w:tcW w:type="dxa" w:w="1296"/>
            <w:tcMar>
              <w:top w:w="100" w:type="dxa"/>
              <w:start w:w="120" w:type="dxa"/>
              <w:bottom w:w="100" w:type="dxa"/>
              <w:end w:w="120" w:type="dxa"/>
            </w:tcMar>
            <w:vAlign w:val="center"/>
          </w:tcPr>
          <w:p>
            <w:r>
              <w:rPr>
                <w:sz w:val="17"/>
              </w:rPr>
              <w:t>FR-AUTH-01</w:t>
            </w:r>
          </w:p>
        </w:tc>
        <w:tc>
          <w:tcPr>
            <w:tcW w:type="dxa" w:w="4680"/>
            <w:tcMar>
              <w:top w:w="100" w:type="dxa"/>
              <w:start w:w="120" w:type="dxa"/>
              <w:bottom w:w="100" w:type="dxa"/>
              <w:end w:w="120" w:type="dxa"/>
            </w:tcMar>
            <w:vAlign w:val="center"/>
          </w:tcPr>
          <w:p>
            <w:r>
              <w:rPr>
                <w:sz w:val="17"/>
              </w:rPr>
              <w:t>Support email magic-link or OAuth sign-in.</w:t>
            </w:r>
          </w:p>
        </w:tc>
        <w:tc>
          <w:tcPr>
            <w:tcW w:type="dxa" w:w="3600"/>
            <w:tcMar>
              <w:top w:w="100" w:type="dxa"/>
              <w:start w:w="120" w:type="dxa"/>
              <w:bottom w:w="100" w:type="dxa"/>
              <w:end w:w="120" w:type="dxa"/>
            </w:tcMar>
            <w:vAlign w:val="center"/>
          </w:tcPr>
          <w:p>
            <w:r>
              <w:rPr>
                <w:sz w:val="17"/>
              </w:rPr>
              <w:t>User can create account, sign in, sign out, and recover access without administrator intervention.</w:t>
            </w:r>
          </w:p>
        </w:tc>
      </w:tr>
      <w:tr>
        <w:tc>
          <w:tcPr>
            <w:tcW w:type="dxa" w:w="1296"/>
            <w:tcMar>
              <w:top w:w="100" w:type="dxa"/>
              <w:start w:w="120" w:type="dxa"/>
              <w:bottom w:w="100" w:type="dxa"/>
              <w:end w:w="120" w:type="dxa"/>
            </w:tcMar>
            <w:vAlign w:val="center"/>
          </w:tcPr>
          <w:p>
            <w:r>
              <w:rPr>
                <w:sz w:val="17"/>
              </w:rPr>
              <w:t>FR-AUTH-02</w:t>
            </w:r>
          </w:p>
        </w:tc>
        <w:tc>
          <w:tcPr>
            <w:tcW w:type="dxa" w:w="4680"/>
            <w:tcMar>
              <w:top w:w="100" w:type="dxa"/>
              <w:start w:w="120" w:type="dxa"/>
              <w:bottom w:w="100" w:type="dxa"/>
              <w:end w:w="120" w:type="dxa"/>
            </w:tcMar>
            <w:vAlign w:val="center"/>
          </w:tcPr>
          <w:p>
            <w:r>
              <w:rPr>
                <w:sz w:val="17"/>
              </w:rPr>
              <w:t>Store acceptance of terms, privacy notice, and market-risk disclosure.</w:t>
            </w:r>
          </w:p>
        </w:tc>
        <w:tc>
          <w:tcPr>
            <w:tcW w:type="dxa" w:w="3600"/>
            <w:tcMar>
              <w:top w:w="100" w:type="dxa"/>
              <w:start w:w="120" w:type="dxa"/>
              <w:bottom w:w="100" w:type="dxa"/>
              <w:end w:w="120" w:type="dxa"/>
            </w:tcMar>
            <w:vAlign w:val="center"/>
          </w:tcPr>
          <w:p>
            <w:r>
              <w:rPr>
                <w:sz w:val="17"/>
              </w:rPr>
              <w:t>Account includes version and timestamp for each accepted policy.</w:t>
            </w:r>
          </w:p>
        </w:tc>
      </w:tr>
      <w:tr>
        <w:tc>
          <w:tcPr>
            <w:tcW w:type="dxa" w:w="1296"/>
            <w:tcMar>
              <w:top w:w="100" w:type="dxa"/>
              <w:start w:w="120" w:type="dxa"/>
              <w:bottom w:w="100" w:type="dxa"/>
              <w:end w:w="120" w:type="dxa"/>
            </w:tcMar>
            <w:vAlign w:val="center"/>
          </w:tcPr>
          <w:p>
            <w:r>
              <w:rPr>
                <w:sz w:val="17"/>
              </w:rPr>
              <w:t>FR-AUTH-03</w:t>
            </w:r>
          </w:p>
        </w:tc>
        <w:tc>
          <w:tcPr>
            <w:tcW w:type="dxa" w:w="4680"/>
            <w:tcMar>
              <w:top w:w="100" w:type="dxa"/>
              <w:start w:w="120" w:type="dxa"/>
              <w:bottom w:w="100" w:type="dxa"/>
              <w:end w:w="120" w:type="dxa"/>
            </w:tcMar>
            <w:vAlign w:val="center"/>
          </w:tcPr>
          <w:p>
            <w:r>
              <w:rPr>
                <w:sz w:val="17"/>
              </w:rPr>
              <w:t>Support roles: user, analyst, admin.</w:t>
            </w:r>
          </w:p>
        </w:tc>
        <w:tc>
          <w:tcPr>
            <w:tcW w:type="dxa" w:w="3600"/>
            <w:tcMar>
              <w:top w:w="100" w:type="dxa"/>
              <w:start w:w="120" w:type="dxa"/>
              <w:bottom w:w="100" w:type="dxa"/>
              <w:end w:w="120" w:type="dxa"/>
            </w:tcMar>
            <w:vAlign w:val="center"/>
          </w:tcPr>
          <w:p>
            <w:r>
              <w:rPr>
                <w:sz w:val="17"/>
              </w:rPr>
              <w:t>Protected routes and API operations enforce role permissions server-side.</w:t>
            </w:r>
          </w:p>
        </w:tc>
      </w:tr>
      <w:tr>
        <w:tc>
          <w:tcPr>
            <w:tcW w:type="dxa" w:w="1296"/>
            <w:tcMar>
              <w:top w:w="100" w:type="dxa"/>
              <w:start w:w="120" w:type="dxa"/>
              <w:bottom w:w="100" w:type="dxa"/>
              <w:end w:w="120" w:type="dxa"/>
            </w:tcMar>
            <w:vAlign w:val="center"/>
          </w:tcPr>
          <w:p>
            <w:r>
              <w:rPr>
                <w:sz w:val="17"/>
              </w:rPr>
              <w:t>FR-AUTH-04</w:t>
            </w:r>
          </w:p>
        </w:tc>
        <w:tc>
          <w:tcPr>
            <w:tcW w:type="dxa" w:w="4680"/>
            <w:tcMar>
              <w:top w:w="100" w:type="dxa"/>
              <w:start w:w="120" w:type="dxa"/>
              <w:bottom w:w="100" w:type="dxa"/>
              <w:end w:w="120" w:type="dxa"/>
            </w:tcMar>
            <w:vAlign w:val="center"/>
          </w:tcPr>
          <w:p>
            <w:r>
              <w:rPr>
                <w:sz w:val="17"/>
              </w:rPr>
              <w:t>Support timezone and notification preferences.</w:t>
            </w:r>
          </w:p>
        </w:tc>
        <w:tc>
          <w:tcPr>
            <w:tcW w:type="dxa" w:w="3600"/>
            <w:tcMar>
              <w:top w:w="100" w:type="dxa"/>
              <w:start w:w="120" w:type="dxa"/>
              <w:bottom w:w="100" w:type="dxa"/>
              <w:end w:w="120" w:type="dxa"/>
            </w:tcMar>
            <w:vAlign w:val="center"/>
          </w:tcPr>
          <w:p>
            <w:r>
              <w:rPr>
                <w:sz w:val="17"/>
              </w:rPr>
              <w:t>Digest and event times are rendered and delivered using the saved timezone.</w:t>
            </w:r>
          </w:p>
        </w:tc>
      </w:tr>
    </w:tbl>
    <w:p/>
    <w:p>
      <w:pPr>
        <w:pStyle w:val="Heading2"/>
      </w:pPr>
      <w:r>
        <w:t>6.2 Feed, search, and filters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17324D"/>
            <w:tcMar>
              <w:top w:w="120" w:type="dxa"/>
              <w:start w:w="100" w:type="dxa"/>
              <w:bottom w:w="120" w:type="dxa"/>
              <w:end w:w="100" w:type="dxa"/>
            </w:tcMar>
            <w:vAlign w:val="center"/>
          </w:tcPr>
          <w:p>
            <w:r>
              <w:rPr>
                <w:b/>
                <w:color w:val="FFFFFF"/>
                <w:sz w:val="18"/>
              </w:rPr>
              <w:t>ID</w:t>
            </w:r>
          </w:p>
        </w:tc>
        <w:tc>
          <w:tcPr>
            <w:tcW w:type="dxa" w:w="4680"/>
            <w:shd w:fill="17324D"/>
            <w:tcMar>
              <w:top w:w="120" w:type="dxa"/>
              <w:start w:w="100" w:type="dxa"/>
              <w:bottom w:w="120" w:type="dxa"/>
              <w:end w:w="100" w:type="dxa"/>
            </w:tcMar>
            <w:vAlign w:val="center"/>
          </w:tcPr>
          <w:p>
            <w:r>
              <w:rPr>
                <w:b/>
                <w:color w:val="FFFFFF"/>
                <w:sz w:val="18"/>
              </w:rPr>
              <w:t>Requirement</w:t>
            </w:r>
          </w:p>
        </w:tc>
        <w:tc>
          <w:tcPr>
            <w:tcW w:type="dxa" w:w="3600"/>
            <w:shd w:fill="17324D"/>
            <w:tcMar>
              <w:top w:w="120" w:type="dxa"/>
              <w:start w:w="100" w:type="dxa"/>
              <w:bottom w:w="120" w:type="dxa"/>
              <w:end w:w="100" w:type="dxa"/>
            </w:tcMar>
            <w:vAlign w:val="center"/>
          </w:tcPr>
          <w:p>
            <w:r>
              <w:rPr>
                <w:b/>
                <w:color w:val="FFFFFF"/>
                <w:sz w:val="18"/>
              </w:rPr>
              <w:t>Acceptance criterion</w:t>
            </w:r>
          </w:p>
        </w:tc>
      </w:tr>
      <w:tr>
        <w:tc>
          <w:tcPr>
            <w:tcW w:type="dxa" w:w="1296"/>
            <w:tcMar>
              <w:top w:w="100" w:type="dxa"/>
              <w:start w:w="120" w:type="dxa"/>
              <w:bottom w:w="100" w:type="dxa"/>
              <w:end w:w="120" w:type="dxa"/>
            </w:tcMar>
            <w:vAlign w:val="center"/>
          </w:tcPr>
          <w:p>
            <w:r>
              <w:rPr>
                <w:sz w:val="17"/>
              </w:rPr>
              <w:t>FR-FEED-01</w:t>
            </w:r>
          </w:p>
        </w:tc>
        <w:tc>
          <w:tcPr>
            <w:tcW w:type="dxa" w:w="4680"/>
            <w:tcMar>
              <w:top w:w="100" w:type="dxa"/>
              <w:start w:w="120" w:type="dxa"/>
              <w:bottom w:w="100" w:type="dxa"/>
              <w:end w:w="120" w:type="dxa"/>
            </w:tcMar>
            <w:vAlign w:val="center"/>
          </w:tcPr>
          <w:p>
            <w:r>
              <w:rPr>
                <w:sz w:val="17"/>
              </w:rPr>
              <w:t>Show published opportunities ordered by configurable ranking.</w:t>
            </w:r>
          </w:p>
        </w:tc>
        <w:tc>
          <w:tcPr>
            <w:tcW w:type="dxa" w:w="3600"/>
            <w:tcMar>
              <w:top w:w="100" w:type="dxa"/>
              <w:start w:w="120" w:type="dxa"/>
              <w:bottom w:w="100" w:type="dxa"/>
              <w:end w:w="120" w:type="dxa"/>
            </w:tcMar>
            <w:vAlign w:val="center"/>
          </w:tcPr>
          <w:p>
            <w:r>
              <w:rPr>
                <w:sz w:val="17"/>
              </w:rPr>
              <w:t>Default ranking combines opportunity score, recency, and user relevance; result is deterministic for identical inputs.</w:t>
            </w:r>
          </w:p>
        </w:tc>
      </w:tr>
      <w:tr>
        <w:tc>
          <w:tcPr>
            <w:tcW w:type="dxa" w:w="1296"/>
            <w:tcMar>
              <w:top w:w="100" w:type="dxa"/>
              <w:start w:w="120" w:type="dxa"/>
              <w:bottom w:w="100" w:type="dxa"/>
              <w:end w:w="120" w:type="dxa"/>
            </w:tcMar>
            <w:vAlign w:val="center"/>
          </w:tcPr>
          <w:p>
            <w:r>
              <w:rPr>
                <w:sz w:val="17"/>
              </w:rPr>
              <w:t>FR-FEED-02</w:t>
            </w:r>
          </w:p>
        </w:tc>
        <w:tc>
          <w:tcPr>
            <w:tcW w:type="dxa" w:w="4680"/>
            <w:tcMar>
              <w:top w:w="100" w:type="dxa"/>
              <w:start w:w="120" w:type="dxa"/>
              <w:bottom w:w="100" w:type="dxa"/>
              <w:end w:w="120" w:type="dxa"/>
            </w:tcMar>
            <w:vAlign w:val="center"/>
          </w:tcPr>
          <w:p>
            <w:r>
              <w:rPr>
                <w:sz w:val="17"/>
              </w:rPr>
              <w:t>Filter by market cap, volume, sector, catalyst type, scores, evidence type, date, risk, and watchlist.</w:t>
            </w:r>
          </w:p>
        </w:tc>
        <w:tc>
          <w:tcPr>
            <w:tcW w:type="dxa" w:w="3600"/>
            <w:tcMar>
              <w:top w:w="100" w:type="dxa"/>
              <w:start w:w="120" w:type="dxa"/>
              <w:bottom w:w="100" w:type="dxa"/>
              <w:end w:w="120" w:type="dxa"/>
            </w:tcMar>
            <w:vAlign w:val="center"/>
          </w:tcPr>
          <w:p>
            <w:r>
              <w:rPr>
                <w:sz w:val="17"/>
              </w:rPr>
              <w:t>Filters persist in URL query parameters and can be shared.</w:t>
            </w:r>
          </w:p>
        </w:tc>
      </w:tr>
      <w:tr>
        <w:tc>
          <w:tcPr>
            <w:tcW w:type="dxa" w:w="1296"/>
            <w:tcMar>
              <w:top w:w="100" w:type="dxa"/>
              <w:start w:w="120" w:type="dxa"/>
              <w:bottom w:w="100" w:type="dxa"/>
              <w:end w:w="120" w:type="dxa"/>
            </w:tcMar>
            <w:vAlign w:val="center"/>
          </w:tcPr>
          <w:p>
            <w:r>
              <w:rPr>
                <w:sz w:val="17"/>
              </w:rPr>
              <w:t>FR-FEED-03</w:t>
            </w:r>
          </w:p>
        </w:tc>
        <w:tc>
          <w:tcPr>
            <w:tcW w:type="dxa" w:w="4680"/>
            <w:tcMar>
              <w:top w:w="100" w:type="dxa"/>
              <w:start w:w="120" w:type="dxa"/>
              <w:bottom w:w="100" w:type="dxa"/>
              <w:end w:w="120" w:type="dxa"/>
            </w:tcMar>
            <w:vAlign w:val="center"/>
          </w:tcPr>
          <w:p>
            <w:r>
              <w:rPr>
                <w:sz w:val="17"/>
              </w:rPr>
              <w:t>Search across companies, opportunities, events, and indexed source metadata.</w:t>
            </w:r>
          </w:p>
        </w:tc>
        <w:tc>
          <w:tcPr>
            <w:tcW w:type="dxa" w:w="3600"/>
            <w:tcMar>
              <w:top w:w="100" w:type="dxa"/>
              <w:start w:w="120" w:type="dxa"/>
              <w:bottom w:w="100" w:type="dxa"/>
              <w:end w:w="120" w:type="dxa"/>
            </w:tcMar>
            <w:vAlign w:val="center"/>
          </w:tcPr>
          <w:p>
            <w:r>
              <w:rPr>
                <w:sz w:val="17"/>
              </w:rPr>
              <w:t>Search returns typed results with highlighting and supports ticker aliases.</w:t>
            </w:r>
          </w:p>
        </w:tc>
      </w:tr>
      <w:tr>
        <w:tc>
          <w:tcPr>
            <w:tcW w:type="dxa" w:w="1296"/>
            <w:tcMar>
              <w:top w:w="100" w:type="dxa"/>
              <w:start w:w="120" w:type="dxa"/>
              <w:bottom w:w="100" w:type="dxa"/>
              <w:end w:w="120" w:type="dxa"/>
            </w:tcMar>
            <w:vAlign w:val="center"/>
          </w:tcPr>
          <w:p>
            <w:r>
              <w:rPr>
                <w:sz w:val="17"/>
              </w:rPr>
              <w:t>FR-FEED-04</w:t>
            </w:r>
          </w:p>
        </w:tc>
        <w:tc>
          <w:tcPr>
            <w:tcW w:type="dxa" w:w="4680"/>
            <w:tcMar>
              <w:top w:w="100" w:type="dxa"/>
              <w:start w:w="120" w:type="dxa"/>
              <w:bottom w:w="100" w:type="dxa"/>
              <w:end w:w="120" w:type="dxa"/>
            </w:tcMar>
            <w:vAlign w:val="center"/>
          </w:tcPr>
          <w:p>
            <w:r>
              <w:rPr>
                <w:sz w:val="17"/>
              </w:rPr>
              <w:t>Allow save, dismiss, and feedback.</w:t>
            </w:r>
          </w:p>
        </w:tc>
        <w:tc>
          <w:tcPr>
            <w:tcW w:type="dxa" w:w="3600"/>
            <w:tcMar>
              <w:top w:w="100" w:type="dxa"/>
              <w:start w:w="120" w:type="dxa"/>
              <w:bottom w:w="100" w:type="dxa"/>
              <w:end w:w="120" w:type="dxa"/>
            </w:tcMar>
            <w:vAlign w:val="center"/>
          </w:tcPr>
          <w:p>
            <w:r>
              <w:rPr>
                <w:sz w:val="17"/>
              </w:rPr>
              <w:t>Actions persist per user and affect personalized ranking without deleting global data.</w:t>
            </w:r>
          </w:p>
        </w:tc>
      </w:tr>
    </w:tbl>
    <w:p/>
    <w:p>
      <w:pPr>
        <w:pStyle w:val="Heading2"/>
      </w:pPr>
      <w:r>
        <w:t>6.3 Opportunity lifecycle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17324D"/>
            <w:tcMar>
              <w:top w:w="120" w:type="dxa"/>
              <w:start w:w="100" w:type="dxa"/>
              <w:bottom w:w="120" w:type="dxa"/>
              <w:end w:w="100" w:type="dxa"/>
            </w:tcMar>
            <w:vAlign w:val="center"/>
          </w:tcPr>
          <w:p>
            <w:r>
              <w:rPr>
                <w:b/>
                <w:color w:val="FFFFFF"/>
                <w:sz w:val="18"/>
              </w:rPr>
              <w:t>ID</w:t>
            </w:r>
          </w:p>
        </w:tc>
        <w:tc>
          <w:tcPr>
            <w:tcW w:type="dxa" w:w="4680"/>
            <w:shd w:fill="17324D"/>
            <w:tcMar>
              <w:top w:w="120" w:type="dxa"/>
              <w:start w:w="100" w:type="dxa"/>
              <w:bottom w:w="120" w:type="dxa"/>
              <w:end w:w="100" w:type="dxa"/>
            </w:tcMar>
            <w:vAlign w:val="center"/>
          </w:tcPr>
          <w:p>
            <w:r>
              <w:rPr>
                <w:b/>
                <w:color w:val="FFFFFF"/>
                <w:sz w:val="18"/>
              </w:rPr>
              <w:t>Requirement</w:t>
            </w:r>
          </w:p>
        </w:tc>
        <w:tc>
          <w:tcPr>
            <w:tcW w:type="dxa" w:w="3600"/>
            <w:shd w:fill="17324D"/>
            <w:tcMar>
              <w:top w:w="120" w:type="dxa"/>
              <w:start w:w="100" w:type="dxa"/>
              <w:bottom w:w="120" w:type="dxa"/>
              <w:end w:w="100" w:type="dxa"/>
            </w:tcMar>
            <w:vAlign w:val="center"/>
          </w:tcPr>
          <w:p>
            <w:r>
              <w:rPr>
                <w:b/>
                <w:color w:val="FFFFFF"/>
                <w:sz w:val="18"/>
              </w:rPr>
              <w:t>Acceptance criterion</w:t>
            </w:r>
          </w:p>
        </w:tc>
      </w:tr>
      <w:tr>
        <w:tc>
          <w:tcPr>
            <w:tcW w:type="dxa" w:w="1296"/>
            <w:tcMar>
              <w:top w:w="100" w:type="dxa"/>
              <w:start w:w="120" w:type="dxa"/>
              <w:bottom w:w="100" w:type="dxa"/>
              <w:end w:w="120" w:type="dxa"/>
            </w:tcMar>
            <w:vAlign w:val="center"/>
          </w:tcPr>
          <w:p>
            <w:r>
              <w:rPr>
                <w:sz w:val="17"/>
              </w:rPr>
              <w:t>FR-OPP-01</w:t>
            </w:r>
          </w:p>
        </w:tc>
        <w:tc>
          <w:tcPr>
            <w:tcW w:type="dxa" w:w="4680"/>
            <w:tcMar>
              <w:top w:w="100" w:type="dxa"/>
              <w:start w:w="120" w:type="dxa"/>
              <w:bottom w:w="100" w:type="dxa"/>
              <w:end w:w="120" w:type="dxa"/>
            </w:tcMar>
            <w:vAlign w:val="center"/>
          </w:tcPr>
          <w:p>
            <w:r>
              <w:rPr>
                <w:sz w:val="17"/>
              </w:rPr>
              <w:t>Create candidate from one or more evidence items.</w:t>
            </w:r>
          </w:p>
        </w:tc>
        <w:tc>
          <w:tcPr>
            <w:tcW w:type="dxa" w:w="3600"/>
            <w:tcMar>
              <w:top w:w="100" w:type="dxa"/>
              <w:start w:w="120" w:type="dxa"/>
              <w:bottom w:w="100" w:type="dxa"/>
              <w:end w:w="120" w:type="dxa"/>
            </w:tcMar>
            <w:vAlign w:val="center"/>
          </w:tcPr>
          <w:p>
            <w:r>
              <w:rPr>
                <w:sz w:val="17"/>
              </w:rPr>
              <w:t>Candidate cannot exist without at least one evidence record and mapped public security.</w:t>
            </w:r>
          </w:p>
        </w:tc>
      </w:tr>
      <w:tr>
        <w:tc>
          <w:tcPr>
            <w:tcW w:type="dxa" w:w="1296"/>
            <w:tcMar>
              <w:top w:w="100" w:type="dxa"/>
              <w:start w:w="120" w:type="dxa"/>
              <w:bottom w:w="100" w:type="dxa"/>
              <w:end w:w="120" w:type="dxa"/>
            </w:tcMar>
            <w:vAlign w:val="center"/>
          </w:tcPr>
          <w:p>
            <w:r>
              <w:rPr>
                <w:sz w:val="17"/>
              </w:rPr>
              <w:t>FR-OPP-02</w:t>
            </w:r>
          </w:p>
        </w:tc>
        <w:tc>
          <w:tcPr>
            <w:tcW w:type="dxa" w:w="4680"/>
            <w:tcMar>
              <w:top w:w="100" w:type="dxa"/>
              <w:start w:w="120" w:type="dxa"/>
              <w:bottom w:w="100" w:type="dxa"/>
              <w:end w:w="120" w:type="dxa"/>
            </w:tcMar>
            <w:vAlign w:val="center"/>
          </w:tcPr>
          <w:p>
            <w:r>
              <w:rPr>
                <w:sz w:val="17"/>
              </w:rPr>
              <w:t>Track lifecycle: candidate, needs_review, approved, published, rejected, archived, invalidated.</w:t>
            </w:r>
          </w:p>
        </w:tc>
        <w:tc>
          <w:tcPr>
            <w:tcW w:type="dxa" w:w="3600"/>
            <w:tcMar>
              <w:top w:w="100" w:type="dxa"/>
              <w:start w:w="120" w:type="dxa"/>
              <w:bottom w:w="100" w:type="dxa"/>
              <w:end w:w="120" w:type="dxa"/>
            </w:tcMar>
            <w:vAlign w:val="center"/>
          </w:tcPr>
          <w:p>
            <w:r>
              <w:rPr>
                <w:sz w:val="17"/>
              </w:rPr>
              <w:t>Every status change records actor, timestamp, reason, and previous value.</w:t>
            </w:r>
          </w:p>
        </w:tc>
      </w:tr>
      <w:tr>
        <w:tc>
          <w:tcPr>
            <w:tcW w:type="dxa" w:w="1296"/>
            <w:tcMar>
              <w:top w:w="100" w:type="dxa"/>
              <w:start w:w="120" w:type="dxa"/>
              <w:bottom w:w="100" w:type="dxa"/>
              <w:end w:w="120" w:type="dxa"/>
            </w:tcMar>
            <w:vAlign w:val="center"/>
          </w:tcPr>
          <w:p>
            <w:r>
              <w:rPr>
                <w:sz w:val="17"/>
              </w:rPr>
              <w:t>FR-OPP-03</w:t>
            </w:r>
          </w:p>
        </w:tc>
        <w:tc>
          <w:tcPr>
            <w:tcW w:type="dxa" w:w="4680"/>
            <w:tcMar>
              <w:top w:w="100" w:type="dxa"/>
              <w:start w:w="120" w:type="dxa"/>
              <w:bottom w:w="100" w:type="dxa"/>
              <w:end w:w="120" w:type="dxa"/>
            </w:tcMar>
            <w:vAlign w:val="center"/>
          </w:tcPr>
          <w:p>
            <w:r>
              <w:rPr>
                <w:sz w:val="17"/>
              </w:rPr>
              <w:t>Separate fact, inference, estimate, assumption, and unconfirmed signal.</w:t>
            </w:r>
          </w:p>
        </w:tc>
        <w:tc>
          <w:tcPr>
            <w:tcW w:type="dxa" w:w="3600"/>
            <w:tcMar>
              <w:top w:w="100" w:type="dxa"/>
              <w:start w:w="120" w:type="dxa"/>
              <w:bottom w:w="100" w:type="dxa"/>
              <w:end w:w="120" w:type="dxa"/>
            </w:tcMar>
            <w:vAlign w:val="center"/>
          </w:tcPr>
          <w:p>
            <w:r>
              <w:rPr>
                <w:sz w:val="17"/>
              </w:rPr>
              <w:t>Each claim stored with claim_type and displayed with distinct label.</w:t>
            </w:r>
          </w:p>
        </w:tc>
      </w:tr>
      <w:tr>
        <w:tc>
          <w:tcPr>
            <w:tcW w:type="dxa" w:w="1296"/>
            <w:tcMar>
              <w:top w:w="100" w:type="dxa"/>
              <w:start w:w="120" w:type="dxa"/>
              <w:bottom w:w="100" w:type="dxa"/>
              <w:end w:w="120" w:type="dxa"/>
            </w:tcMar>
            <w:vAlign w:val="center"/>
          </w:tcPr>
          <w:p>
            <w:r>
              <w:rPr>
                <w:sz w:val="17"/>
              </w:rPr>
              <w:t>FR-OPP-04</w:t>
            </w:r>
          </w:p>
        </w:tc>
        <w:tc>
          <w:tcPr>
            <w:tcW w:type="dxa" w:w="4680"/>
            <w:tcMar>
              <w:top w:w="100" w:type="dxa"/>
              <w:start w:w="120" w:type="dxa"/>
              <w:bottom w:w="100" w:type="dxa"/>
              <w:end w:w="120" w:type="dxa"/>
            </w:tcMar>
            <w:vAlign w:val="center"/>
          </w:tcPr>
          <w:p>
            <w:r>
              <w:rPr>
                <w:sz w:val="17"/>
              </w:rPr>
              <w:t>Support duplicate merge.</w:t>
            </w:r>
          </w:p>
        </w:tc>
        <w:tc>
          <w:tcPr>
            <w:tcW w:type="dxa" w:w="3600"/>
            <w:tcMar>
              <w:top w:w="100" w:type="dxa"/>
              <w:start w:w="120" w:type="dxa"/>
              <w:bottom w:w="100" w:type="dxa"/>
              <w:end w:w="120" w:type="dxa"/>
            </w:tcMar>
            <w:vAlign w:val="center"/>
          </w:tcPr>
          <w:p>
            <w:r>
              <w:rPr>
                <w:sz w:val="17"/>
              </w:rPr>
              <w:t>Merged candidate retains all evidence, aliases, and audit records.</w:t>
            </w:r>
          </w:p>
        </w:tc>
      </w:tr>
      <w:tr>
        <w:tc>
          <w:tcPr>
            <w:tcW w:type="dxa" w:w="1296"/>
            <w:tcMar>
              <w:top w:w="100" w:type="dxa"/>
              <w:start w:w="120" w:type="dxa"/>
              <w:bottom w:w="100" w:type="dxa"/>
              <w:end w:w="120" w:type="dxa"/>
            </w:tcMar>
            <w:vAlign w:val="center"/>
          </w:tcPr>
          <w:p>
            <w:r>
              <w:rPr>
                <w:sz w:val="17"/>
              </w:rPr>
              <w:t>FR-OPP-05</w:t>
            </w:r>
          </w:p>
        </w:tc>
        <w:tc>
          <w:tcPr>
            <w:tcW w:type="dxa" w:w="4680"/>
            <w:tcMar>
              <w:top w:w="100" w:type="dxa"/>
              <w:start w:w="120" w:type="dxa"/>
              <w:bottom w:w="100" w:type="dxa"/>
              <w:end w:w="120" w:type="dxa"/>
            </w:tcMar>
            <w:vAlign w:val="center"/>
          </w:tcPr>
          <w:p>
            <w:r>
              <w:rPr>
                <w:sz w:val="17"/>
              </w:rPr>
              <w:t>Support invalidation.</w:t>
            </w:r>
          </w:p>
        </w:tc>
        <w:tc>
          <w:tcPr>
            <w:tcW w:type="dxa" w:w="3600"/>
            <w:tcMar>
              <w:top w:w="100" w:type="dxa"/>
              <w:start w:w="120" w:type="dxa"/>
              <w:bottom w:w="100" w:type="dxa"/>
              <w:end w:w="120" w:type="dxa"/>
            </w:tcMar>
            <w:vAlign w:val="center"/>
          </w:tcPr>
          <w:p>
            <w:r>
              <w:rPr>
                <w:sz w:val="17"/>
              </w:rPr>
              <w:t>Published item can be marked invalidated with reason, evidence, and user notification.</w:t>
            </w:r>
          </w:p>
        </w:tc>
      </w:tr>
    </w:tbl>
    <w:p/>
    <w:p>
      <w:pPr>
        <w:pStyle w:val="Heading2"/>
      </w:pPr>
      <w:r>
        <w:t>6.4 Watchlists and alerts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17324D"/>
            <w:tcMar>
              <w:top w:w="120" w:type="dxa"/>
              <w:start w:w="100" w:type="dxa"/>
              <w:bottom w:w="120" w:type="dxa"/>
              <w:end w:w="100" w:type="dxa"/>
            </w:tcMar>
            <w:vAlign w:val="center"/>
          </w:tcPr>
          <w:p>
            <w:r>
              <w:rPr>
                <w:b/>
                <w:color w:val="FFFFFF"/>
                <w:sz w:val="18"/>
              </w:rPr>
              <w:t>ID</w:t>
            </w:r>
          </w:p>
        </w:tc>
        <w:tc>
          <w:tcPr>
            <w:tcW w:type="dxa" w:w="4680"/>
            <w:shd w:fill="17324D"/>
            <w:tcMar>
              <w:top w:w="120" w:type="dxa"/>
              <w:start w:w="100" w:type="dxa"/>
              <w:bottom w:w="120" w:type="dxa"/>
              <w:end w:w="100" w:type="dxa"/>
            </w:tcMar>
            <w:vAlign w:val="center"/>
          </w:tcPr>
          <w:p>
            <w:r>
              <w:rPr>
                <w:b/>
                <w:color w:val="FFFFFF"/>
                <w:sz w:val="18"/>
              </w:rPr>
              <w:t>Requirement</w:t>
            </w:r>
          </w:p>
        </w:tc>
        <w:tc>
          <w:tcPr>
            <w:tcW w:type="dxa" w:w="3600"/>
            <w:shd w:fill="17324D"/>
            <w:tcMar>
              <w:top w:w="120" w:type="dxa"/>
              <w:start w:w="100" w:type="dxa"/>
              <w:bottom w:w="120" w:type="dxa"/>
              <w:end w:w="100" w:type="dxa"/>
            </w:tcMar>
            <w:vAlign w:val="center"/>
          </w:tcPr>
          <w:p>
            <w:r>
              <w:rPr>
                <w:b/>
                <w:color w:val="FFFFFF"/>
                <w:sz w:val="18"/>
              </w:rPr>
              <w:t>Acceptance criterion</w:t>
            </w:r>
          </w:p>
        </w:tc>
      </w:tr>
      <w:tr>
        <w:tc>
          <w:tcPr>
            <w:tcW w:type="dxa" w:w="1296"/>
            <w:tcMar>
              <w:top w:w="100" w:type="dxa"/>
              <w:start w:w="120" w:type="dxa"/>
              <w:bottom w:w="100" w:type="dxa"/>
              <w:end w:w="120" w:type="dxa"/>
            </w:tcMar>
            <w:vAlign w:val="center"/>
          </w:tcPr>
          <w:p>
            <w:r>
              <w:rPr>
                <w:sz w:val="17"/>
              </w:rPr>
              <w:t>FR-WATCH-01</w:t>
            </w:r>
          </w:p>
        </w:tc>
        <w:tc>
          <w:tcPr>
            <w:tcW w:type="dxa" w:w="4680"/>
            <w:tcMar>
              <w:top w:w="100" w:type="dxa"/>
              <w:start w:w="120" w:type="dxa"/>
              <w:bottom w:w="100" w:type="dxa"/>
              <w:end w:w="120" w:type="dxa"/>
            </w:tcMar>
            <w:vAlign w:val="center"/>
          </w:tcPr>
          <w:p>
            <w:r>
              <w:rPr>
                <w:sz w:val="17"/>
              </w:rPr>
              <w:t>Create named watchlists of securities, sectors, agencies, themes, and catalyst types.</w:t>
            </w:r>
          </w:p>
        </w:tc>
        <w:tc>
          <w:tcPr>
            <w:tcW w:type="dxa" w:w="3600"/>
            <w:tcMar>
              <w:top w:w="100" w:type="dxa"/>
              <w:start w:w="120" w:type="dxa"/>
              <w:bottom w:w="100" w:type="dxa"/>
              <w:end w:w="120" w:type="dxa"/>
            </w:tcMar>
            <w:vAlign w:val="center"/>
          </w:tcPr>
          <w:p>
            <w:r>
              <w:rPr>
                <w:sz w:val="17"/>
              </w:rPr>
              <w:t>A watchlist supports at least 500 entities and can be edited without data loss.</w:t>
            </w:r>
          </w:p>
        </w:tc>
      </w:tr>
      <w:tr>
        <w:tc>
          <w:tcPr>
            <w:tcW w:type="dxa" w:w="1296"/>
            <w:tcMar>
              <w:top w:w="100" w:type="dxa"/>
              <w:start w:w="120" w:type="dxa"/>
              <w:bottom w:w="100" w:type="dxa"/>
              <w:end w:w="120" w:type="dxa"/>
            </w:tcMar>
            <w:vAlign w:val="center"/>
          </w:tcPr>
          <w:p>
            <w:r>
              <w:rPr>
                <w:sz w:val="17"/>
              </w:rPr>
              <w:t>FR-ALERT-01</w:t>
            </w:r>
          </w:p>
        </w:tc>
        <w:tc>
          <w:tcPr>
            <w:tcW w:type="dxa" w:w="4680"/>
            <w:tcMar>
              <w:top w:w="100" w:type="dxa"/>
              <w:start w:w="120" w:type="dxa"/>
              <w:bottom w:w="100" w:type="dxa"/>
              <w:end w:w="120" w:type="dxa"/>
            </w:tcMar>
            <w:vAlign w:val="center"/>
          </w:tcPr>
          <w:p>
            <w:r>
              <w:rPr>
                <w:sz w:val="17"/>
              </w:rPr>
              <w:t>Support daily digest and immediate high-confidence email alerts.</w:t>
            </w:r>
          </w:p>
        </w:tc>
        <w:tc>
          <w:tcPr>
            <w:tcW w:type="dxa" w:w="3600"/>
            <w:tcMar>
              <w:top w:w="100" w:type="dxa"/>
              <w:start w:w="120" w:type="dxa"/>
              <w:bottom w:w="100" w:type="dxa"/>
              <w:end w:w="120" w:type="dxa"/>
            </w:tcMar>
            <w:vAlign w:val="center"/>
          </w:tcPr>
          <w:p>
            <w:r>
              <w:rPr>
                <w:sz w:val="17"/>
              </w:rPr>
              <w:t>Delivery job is idempotent and logs sent, failed, bounced, opened, and clicked when available.</w:t>
            </w:r>
          </w:p>
        </w:tc>
      </w:tr>
      <w:tr>
        <w:tc>
          <w:tcPr>
            <w:tcW w:type="dxa" w:w="1296"/>
            <w:tcMar>
              <w:top w:w="100" w:type="dxa"/>
              <w:start w:w="120" w:type="dxa"/>
              <w:bottom w:w="100" w:type="dxa"/>
              <w:end w:w="120" w:type="dxa"/>
            </w:tcMar>
            <w:vAlign w:val="center"/>
          </w:tcPr>
          <w:p>
            <w:r>
              <w:rPr>
                <w:sz w:val="17"/>
              </w:rPr>
              <w:t>FR-ALERT-02</w:t>
            </w:r>
          </w:p>
        </w:tc>
        <w:tc>
          <w:tcPr>
            <w:tcW w:type="dxa" w:w="4680"/>
            <w:tcMar>
              <w:top w:w="100" w:type="dxa"/>
              <w:start w:w="120" w:type="dxa"/>
              <w:bottom w:w="100" w:type="dxa"/>
              <w:end w:w="120" w:type="dxa"/>
            </w:tcMar>
            <w:vAlign w:val="center"/>
          </w:tcPr>
          <w:p>
            <w:r>
              <w:rPr>
                <w:sz w:val="17"/>
              </w:rPr>
              <w:t>Allow thresholds by score, evidence quality, and risk.</w:t>
            </w:r>
          </w:p>
        </w:tc>
        <w:tc>
          <w:tcPr>
            <w:tcW w:type="dxa" w:w="3600"/>
            <w:tcMar>
              <w:top w:w="100" w:type="dxa"/>
              <w:start w:w="120" w:type="dxa"/>
              <w:bottom w:w="100" w:type="dxa"/>
              <w:end w:w="120" w:type="dxa"/>
            </w:tcMar>
            <w:vAlign w:val="center"/>
          </w:tcPr>
          <w:p>
            <w:r>
              <w:rPr>
                <w:sz w:val="17"/>
              </w:rPr>
              <w:t>A user receives only opportunities satisfying all enabled rules.</w:t>
            </w:r>
          </w:p>
        </w:tc>
      </w:tr>
      <w:tr>
        <w:tc>
          <w:tcPr>
            <w:tcW w:type="dxa" w:w="1296"/>
            <w:tcMar>
              <w:top w:w="100" w:type="dxa"/>
              <w:start w:w="120" w:type="dxa"/>
              <w:bottom w:w="100" w:type="dxa"/>
              <w:end w:w="120" w:type="dxa"/>
            </w:tcMar>
            <w:vAlign w:val="center"/>
          </w:tcPr>
          <w:p>
            <w:r>
              <w:rPr>
                <w:sz w:val="17"/>
              </w:rPr>
              <w:t>FR-ALERT-03</w:t>
            </w:r>
          </w:p>
        </w:tc>
        <w:tc>
          <w:tcPr>
            <w:tcW w:type="dxa" w:w="4680"/>
            <w:tcMar>
              <w:top w:w="100" w:type="dxa"/>
              <w:start w:w="120" w:type="dxa"/>
              <w:bottom w:w="100" w:type="dxa"/>
              <w:end w:w="120" w:type="dxa"/>
            </w:tcMar>
            <w:vAlign w:val="center"/>
          </w:tcPr>
          <w:p>
            <w:r>
              <w:rPr>
                <w:sz w:val="17"/>
              </w:rPr>
              <w:t>Support confirmation and invalidation alerts.</w:t>
            </w:r>
          </w:p>
        </w:tc>
        <w:tc>
          <w:tcPr>
            <w:tcW w:type="dxa" w:w="3600"/>
            <w:tcMar>
              <w:top w:w="100" w:type="dxa"/>
              <w:start w:w="120" w:type="dxa"/>
              <w:bottom w:w="100" w:type="dxa"/>
              <w:end w:w="120" w:type="dxa"/>
            </w:tcMar>
            <w:vAlign w:val="center"/>
          </w:tcPr>
          <w:p>
            <w:r>
              <w:rPr>
                <w:sz w:val="17"/>
              </w:rPr>
              <w:t>Subscribed users are notified when a monitored rule transitions state.</w:t>
            </w:r>
          </w:p>
        </w:tc>
      </w:tr>
    </w:tbl>
    <w:p/>
    <w:p>
      <w:pPr>
        <w:pStyle w:val="Heading2"/>
      </w:pPr>
      <w:r>
        <w:t>6.5 Evidence and documents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296"/>
            <w:shd w:fill="17324D"/>
            <w:tcMar>
              <w:top w:w="120" w:type="dxa"/>
              <w:start w:w="100" w:type="dxa"/>
              <w:bottom w:w="120" w:type="dxa"/>
              <w:end w:w="100" w:type="dxa"/>
            </w:tcMar>
            <w:vAlign w:val="center"/>
          </w:tcPr>
          <w:p>
            <w:r>
              <w:rPr>
                <w:b/>
                <w:color w:val="FFFFFF"/>
                <w:sz w:val="18"/>
              </w:rPr>
              <w:t>ID</w:t>
            </w:r>
          </w:p>
        </w:tc>
        <w:tc>
          <w:tcPr>
            <w:tcW w:type="dxa" w:w="4680"/>
            <w:shd w:fill="17324D"/>
            <w:tcMar>
              <w:top w:w="120" w:type="dxa"/>
              <w:start w:w="100" w:type="dxa"/>
              <w:bottom w:w="120" w:type="dxa"/>
              <w:end w:w="100" w:type="dxa"/>
            </w:tcMar>
            <w:vAlign w:val="center"/>
          </w:tcPr>
          <w:p>
            <w:r>
              <w:rPr>
                <w:b/>
                <w:color w:val="FFFFFF"/>
                <w:sz w:val="18"/>
              </w:rPr>
              <w:t>Requirement</w:t>
            </w:r>
          </w:p>
        </w:tc>
        <w:tc>
          <w:tcPr>
            <w:tcW w:type="dxa" w:w="3600"/>
            <w:shd w:fill="17324D"/>
            <w:tcMar>
              <w:top w:w="120" w:type="dxa"/>
              <w:start w:w="100" w:type="dxa"/>
              <w:bottom w:w="120" w:type="dxa"/>
              <w:end w:w="100" w:type="dxa"/>
            </w:tcMar>
            <w:vAlign w:val="center"/>
          </w:tcPr>
          <w:p>
            <w:r>
              <w:rPr>
                <w:b/>
                <w:color w:val="FFFFFF"/>
                <w:sz w:val="18"/>
              </w:rPr>
              <w:t>Acceptance criterion</w:t>
            </w:r>
          </w:p>
        </w:tc>
      </w:tr>
      <w:tr>
        <w:tc>
          <w:tcPr>
            <w:tcW w:type="dxa" w:w="1296"/>
            <w:tcMar>
              <w:top w:w="100" w:type="dxa"/>
              <w:start w:w="120" w:type="dxa"/>
              <w:bottom w:w="100" w:type="dxa"/>
              <w:end w:w="120" w:type="dxa"/>
            </w:tcMar>
            <w:vAlign w:val="center"/>
          </w:tcPr>
          <w:p>
            <w:r>
              <w:rPr>
                <w:sz w:val="17"/>
              </w:rPr>
              <w:t>FR-EVID-01</w:t>
            </w:r>
          </w:p>
        </w:tc>
        <w:tc>
          <w:tcPr>
            <w:tcW w:type="dxa" w:w="4680"/>
            <w:tcMar>
              <w:top w:w="100" w:type="dxa"/>
              <w:start w:w="120" w:type="dxa"/>
              <w:bottom w:w="100" w:type="dxa"/>
              <w:end w:w="120" w:type="dxa"/>
            </w:tcMar>
            <w:vAlign w:val="center"/>
          </w:tcPr>
          <w:p>
            <w:r>
              <w:rPr>
                <w:sz w:val="17"/>
              </w:rPr>
              <w:t>Store canonical URL, source type, publisher, timestamps, content hash, and extracted text.</w:t>
            </w:r>
          </w:p>
        </w:tc>
        <w:tc>
          <w:tcPr>
            <w:tcW w:type="dxa" w:w="3600"/>
            <w:tcMar>
              <w:top w:w="100" w:type="dxa"/>
              <w:start w:w="120" w:type="dxa"/>
              <w:bottom w:w="100" w:type="dxa"/>
              <w:end w:w="120" w:type="dxa"/>
            </w:tcMar>
            <w:vAlign w:val="center"/>
          </w:tcPr>
          <w:p>
            <w:r>
              <w:rPr>
                <w:sz w:val="17"/>
              </w:rPr>
              <w:t>Duplicate documents with same normalized hash are not reprocessed.</w:t>
            </w:r>
          </w:p>
        </w:tc>
      </w:tr>
      <w:tr>
        <w:tc>
          <w:tcPr>
            <w:tcW w:type="dxa" w:w="1296"/>
            <w:tcMar>
              <w:top w:w="100" w:type="dxa"/>
              <w:start w:w="120" w:type="dxa"/>
              <w:bottom w:w="100" w:type="dxa"/>
              <w:end w:w="120" w:type="dxa"/>
            </w:tcMar>
            <w:vAlign w:val="center"/>
          </w:tcPr>
          <w:p>
            <w:r>
              <w:rPr>
                <w:sz w:val="17"/>
              </w:rPr>
              <w:t>FR-EVID-02</w:t>
            </w:r>
          </w:p>
        </w:tc>
        <w:tc>
          <w:tcPr>
            <w:tcW w:type="dxa" w:w="4680"/>
            <w:tcMar>
              <w:top w:w="100" w:type="dxa"/>
              <w:start w:w="120" w:type="dxa"/>
              <w:bottom w:w="100" w:type="dxa"/>
              <w:end w:w="120" w:type="dxa"/>
            </w:tcMar>
            <w:vAlign w:val="center"/>
          </w:tcPr>
          <w:p>
            <w:r>
              <w:rPr>
                <w:sz w:val="17"/>
              </w:rPr>
              <w:t>Preserve source excerpts supporting claims.</w:t>
            </w:r>
          </w:p>
        </w:tc>
        <w:tc>
          <w:tcPr>
            <w:tcW w:type="dxa" w:w="3600"/>
            <w:tcMar>
              <w:top w:w="100" w:type="dxa"/>
              <w:start w:w="120" w:type="dxa"/>
              <w:bottom w:w="100" w:type="dxa"/>
              <w:end w:w="120" w:type="dxa"/>
            </w:tcMar>
            <w:vAlign w:val="center"/>
          </w:tcPr>
          <w:p>
            <w:r>
              <w:rPr>
                <w:sz w:val="17"/>
              </w:rPr>
              <w:t>Each claim links to exact evidence item and character or page range where available.</w:t>
            </w:r>
          </w:p>
        </w:tc>
      </w:tr>
      <w:tr>
        <w:tc>
          <w:tcPr>
            <w:tcW w:type="dxa" w:w="1296"/>
            <w:tcMar>
              <w:top w:w="100" w:type="dxa"/>
              <w:start w:w="120" w:type="dxa"/>
              <w:bottom w:w="100" w:type="dxa"/>
              <w:end w:w="120" w:type="dxa"/>
            </w:tcMar>
            <w:vAlign w:val="center"/>
          </w:tcPr>
          <w:p>
            <w:r>
              <w:rPr>
                <w:sz w:val="17"/>
              </w:rPr>
              <w:t>FR-EVID-03</w:t>
            </w:r>
          </w:p>
        </w:tc>
        <w:tc>
          <w:tcPr>
            <w:tcW w:type="dxa" w:w="4680"/>
            <w:tcMar>
              <w:top w:w="100" w:type="dxa"/>
              <w:start w:w="120" w:type="dxa"/>
              <w:bottom w:w="100" w:type="dxa"/>
              <w:end w:w="120" w:type="dxa"/>
            </w:tcMar>
            <w:vAlign w:val="center"/>
          </w:tcPr>
          <w:p>
            <w:r>
              <w:rPr>
                <w:sz w:val="17"/>
              </w:rPr>
              <w:t>Show source accessibility status.</w:t>
            </w:r>
          </w:p>
        </w:tc>
        <w:tc>
          <w:tcPr>
            <w:tcW w:type="dxa" w:w="3600"/>
            <w:tcMar>
              <w:top w:w="100" w:type="dxa"/>
              <w:start w:w="120" w:type="dxa"/>
              <w:bottom w:w="100" w:type="dxa"/>
              <w:end w:w="120" w:type="dxa"/>
            </w:tcMar>
            <w:vAlign w:val="center"/>
          </w:tcPr>
          <w:p>
            <w:r>
              <w:rPr>
                <w:sz w:val="17"/>
              </w:rPr>
              <w:t>UI labels public/free, licensed, unavailable, archived, or manually entered.</w:t>
            </w:r>
          </w:p>
        </w:tc>
      </w:tr>
      <w:tr>
        <w:tc>
          <w:tcPr>
            <w:tcW w:type="dxa" w:w="1296"/>
            <w:tcMar>
              <w:top w:w="100" w:type="dxa"/>
              <w:start w:w="120" w:type="dxa"/>
              <w:bottom w:w="100" w:type="dxa"/>
              <w:end w:w="120" w:type="dxa"/>
            </w:tcMar>
            <w:vAlign w:val="center"/>
          </w:tcPr>
          <w:p>
            <w:r>
              <w:rPr>
                <w:sz w:val="17"/>
              </w:rPr>
              <w:t>FR-EVID-04</w:t>
            </w:r>
          </w:p>
        </w:tc>
        <w:tc>
          <w:tcPr>
            <w:tcW w:type="dxa" w:w="4680"/>
            <w:tcMar>
              <w:top w:w="100" w:type="dxa"/>
              <w:start w:w="120" w:type="dxa"/>
              <w:bottom w:w="100" w:type="dxa"/>
              <w:end w:w="120" w:type="dxa"/>
            </w:tcMar>
            <w:vAlign w:val="center"/>
          </w:tcPr>
          <w:p>
            <w:r>
              <w:rPr>
                <w:sz w:val="17"/>
              </w:rPr>
              <w:t>Track contradictions.</w:t>
            </w:r>
          </w:p>
        </w:tc>
        <w:tc>
          <w:tcPr>
            <w:tcW w:type="dxa" w:w="3600"/>
            <w:tcMar>
              <w:top w:w="100" w:type="dxa"/>
              <w:start w:w="120" w:type="dxa"/>
              <w:bottom w:w="100" w:type="dxa"/>
              <w:end w:w="120" w:type="dxa"/>
            </w:tcMar>
            <w:vAlign w:val="center"/>
          </w:tcPr>
          <w:p>
            <w:r>
              <w:rPr>
                <w:sz w:val="17"/>
              </w:rPr>
              <w:t>Reviewer or model can link contradictory evidence to the same claim and reduce confidence.</w:t>
            </w:r>
          </w:p>
        </w:tc>
      </w:tr>
    </w:tbl>
    <w:p/>
    <w:p>
      <w:pPr>
        <w:pStyle w:val="Heading1"/>
      </w:pPr>
      <w:r>
        <w:t>7. Opportunity Scoring Framework</w:t>
      </w:r>
    </w:p>
    <w:p>
      <w:pPr>
        <w:pStyle w:val="Heading2"/>
      </w:pPr>
      <w:r>
        <w:t>7.1 Score outputs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Mar>
              <w:top w:w="120" w:type="dxa"/>
              <w:start w:w="100" w:type="dxa"/>
              <w:bottom w:w="120" w:type="dxa"/>
              <w:end w:w="100" w:type="dxa"/>
            </w:tcMar>
            <w:vAlign w:val="center"/>
          </w:tcPr>
          <w:p>
            <w:r>
              <w:rPr>
                <w:b/>
                <w:color w:val="FFFFFF"/>
                <w:sz w:val="18"/>
              </w:rPr>
              <w:t>Score</w:t>
            </w:r>
          </w:p>
        </w:tc>
        <w:tc>
          <w:tcPr>
            <w:tcW w:type="dxa" w:w="6192"/>
            <w:shd w:fill="17324D"/>
            <w:tcMar>
              <w:top w:w="120" w:type="dxa"/>
              <w:start w:w="100" w:type="dxa"/>
              <w:bottom w:w="120" w:type="dxa"/>
              <w:end w:w="100" w:type="dxa"/>
            </w:tcMar>
            <w:vAlign w:val="center"/>
          </w:tcPr>
          <w:p>
            <w:r>
              <w:rPr>
                <w:b/>
                <w:color w:val="FFFFFF"/>
                <w:sz w:val="18"/>
              </w:rPr>
              <w:t>Purpose</w:t>
            </w:r>
          </w:p>
        </w:tc>
        <w:tc>
          <w:tcPr>
            <w:tcW w:type="dxa" w:w="1152"/>
            <w:shd w:fill="17324D"/>
            <w:tcMar>
              <w:top w:w="120" w:type="dxa"/>
              <w:start w:w="100" w:type="dxa"/>
              <w:bottom w:w="120" w:type="dxa"/>
              <w:end w:w="100" w:type="dxa"/>
            </w:tcMar>
            <w:vAlign w:val="center"/>
          </w:tcPr>
          <w:p>
            <w:r>
              <w:rPr>
                <w:b/>
                <w:color w:val="FFFFFF"/>
                <w:sz w:val="18"/>
              </w:rPr>
              <w:t>Range</w:t>
            </w:r>
          </w:p>
        </w:tc>
      </w:tr>
      <w:tr>
        <w:tc>
          <w:tcPr>
            <w:tcW w:type="dxa" w:w="2232"/>
            <w:tcMar>
              <w:top w:w="100" w:type="dxa"/>
              <w:start w:w="120" w:type="dxa"/>
              <w:bottom w:w="100" w:type="dxa"/>
              <w:end w:w="120" w:type="dxa"/>
            </w:tcMar>
            <w:vAlign w:val="center"/>
          </w:tcPr>
          <w:p>
            <w:r>
              <w:rPr>
                <w:sz w:val="17"/>
              </w:rPr>
              <w:t>Information Asymmetry</w:t>
            </w:r>
          </w:p>
        </w:tc>
        <w:tc>
          <w:tcPr>
            <w:tcW w:type="dxa" w:w="6192"/>
            <w:tcMar>
              <w:top w:w="100" w:type="dxa"/>
              <w:start w:w="120" w:type="dxa"/>
              <w:bottom w:w="100" w:type="dxa"/>
              <w:end w:w="120" w:type="dxa"/>
            </w:tcMar>
            <w:vAlign w:val="center"/>
          </w:tcPr>
          <w:p>
            <w:r>
              <w:rPr>
                <w:sz w:val="17"/>
              </w:rPr>
              <w:t>How underfollowed or difficult to discover the signal appears.</w:t>
            </w:r>
          </w:p>
        </w:tc>
        <w:tc>
          <w:tcPr>
            <w:tcW w:type="dxa" w:w="1152"/>
            <w:tcMar>
              <w:top w:w="100" w:type="dxa"/>
              <w:start w:w="120" w:type="dxa"/>
              <w:bottom w:w="100" w:type="dxa"/>
              <w:end w:w="120" w:type="dxa"/>
            </w:tcMar>
            <w:vAlign w:val="center"/>
          </w:tcPr>
          <w:p>
            <w:r>
              <w:rPr>
                <w:sz w:val="17"/>
              </w:rPr>
              <w:t>1-100</w:t>
            </w:r>
          </w:p>
        </w:tc>
      </w:tr>
      <w:tr>
        <w:tc>
          <w:tcPr>
            <w:tcW w:type="dxa" w:w="2232"/>
            <w:tcMar>
              <w:top w:w="100" w:type="dxa"/>
              <w:start w:w="120" w:type="dxa"/>
              <w:bottom w:w="100" w:type="dxa"/>
              <w:end w:w="120" w:type="dxa"/>
            </w:tcMar>
            <w:vAlign w:val="center"/>
          </w:tcPr>
          <w:p>
            <w:r>
              <w:rPr>
                <w:sz w:val="17"/>
              </w:rPr>
              <w:t>Catalyst Strength</w:t>
            </w:r>
          </w:p>
        </w:tc>
        <w:tc>
          <w:tcPr>
            <w:tcW w:type="dxa" w:w="6192"/>
            <w:tcMar>
              <w:top w:w="100" w:type="dxa"/>
              <w:start w:w="120" w:type="dxa"/>
              <w:bottom w:w="100" w:type="dxa"/>
              <w:end w:w="120" w:type="dxa"/>
            </w:tcMar>
            <w:vAlign w:val="center"/>
          </w:tcPr>
          <w:p>
            <w:r>
              <w:rPr>
                <w:sz w:val="17"/>
              </w:rPr>
              <w:t>Potential business significance if the catalyst occurs or persists.</w:t>
            </w:r>
          </w:p>
        </w:tc>
        <w:tc>
          <w:tcPr>
            <w:tcW w:type="dxa" w:w="1152"/>
            <w:tcMar>
              <w:top w:w="100" w:type="dxa"/>
              <w:start w:w="120" w:type="dxa"/>
              <w:bottom w:w="100" w:type="dxa"/>
              <w:end w:w="120" w:type="dxa"/>
            </w:tcMar>
            <w:vAlign w:val="center"/>
          </w:tcPr>
          <w:p>
            <w:r>
              <w:rPr>
                <w:sz w:val="17"/>
              </w:rPr>
              <w:t>1-100</w:t>
            </w:r>
          </w:p>
        </w:tc>
      </w:tr>
      <w:tr>
        <w:tc>
          <w:tcPr>
            <w:tcW w:type="dxa" w:w="2232"/>
            <w:tcMar>
              <w:top w:w="100" w:type="dxa"/>
              <w:start w:w="120" w:type="dxa"/>
              <w:bottom w:w="100" w:type="dxa"/>
              <w:end w:w="120" w:type="dxa"/>
            </w:tcMar>
            <w:vAlign w:val="center"/>
          </w:tcPr>
          <w:p>
            <w:r>
              <w:rPr>
                <w:sz w:val="17"/>
              </w:rPr>
              <w:t>Evidence Quality</w:t>
            </w:r>
          </w:p>
        </w:tc>
        <w:tc>
          <w:tcPr>
            <w:tcW w:type="dxa" w:w="6192"/>
            <w:tcMar>
              <w:top w:w="100" w:type="dxa"/>
              <w:start w:w="120" w:type="dxa"/>
              <w:bottom w:w="100" w:type="dxa"/>
              <w:end w:w="120" w:type="dxa"/>
            </w:tcMar>
            <w:vAlign w:val="center"/>
          </w:tcPr>
          <w:p>
            <w:r>
              <w:rPr>
                <w:sz w:val="17"/>
              </w:rPr>
              <w:t>Reliability, specificity, freshness, and independence of supporting evidence.</w:t>
            </w:r>
          </w:p>
        </w:tc>
        <w:tc>
          <w:tcPr>
            <w:tcW w:type="dxa" w:w="1152"/>
            <w:tcMar>
              <w:top w:w="100" w:type="dxa"/>
              <w:start w:w="120" w:type="dxa"/>
              <w:bottom w:w="100" w:type="dxa"/>
              <w:end w:w="120" w:type="dxa"/>
            </w:tcMar>
            <w:vAlign w:val="center"/>
          </w:tcPr>
          <w:p>
            <w:r>
              <w:rPr>
                <w:sz w:val="17"/>
              </w:rPr>
              <w:t>1-100</w:t>
            </w:r>
          </w:p>
        </w:tc>
      </w:tr>
      <w:tr>
        <w:tc>
          <w:tcPr>
            <w:tcW w:type="dxa" w:w="2232"/>
            <w:tcMar>
              <w:top w:w="100" w:type="dxa"/>
              <w:start w:w="120" w:type="dxa"/>
              <w:bottom w:w="100" w:type="dxa"/>
              <w:end w:w="120" w:type="dxa"/>
            </w:tcMar>
            <w:vAlign w:val="center"/>
          </w:tcPr>
          <w:p>
            <w:r>
              <w:rPr>
                <w:sz w:val="17"/>
              </w:rPr>
              <w:t>Financial Materiality</w:t>
            </w:r>
          </w:p>
        </w:tc>
        <w:tc>
          <w:tcPr>
            <w:tcW w:type="dxa" w:w="6192"/>
            <w:tcMar>
              <w:top w:w="100" w:type="dxa"/>
              <w:start w:w="120" w:type="dxa"/>
              <w:bottom w:w="100" w:type="dxa"/>
              <w:end w:w="120" w:type="dxa"/>
            </w:tcMar>
            <w:vAlign w:val="center"/>
          </w:tcPr>
          <w:p>
            <w:r>
              <w:rPr>
                <w:sz w:val="17"/>
              </w:rPr>
              <w:t>Estimated significance relative to company scale.</w:t>
            </w:r>
          </w:p>
        </w:tc>
        <w:tc>
          <w:tcPr>
            <w:tcW w:type="dxa" w:w="1152"/>
            <w:tcMar>
              <w:top w:w="100" w:type="dxa"/>
              <w:start w:w="120" w:type="dxa"/>
              <w:bottom w:w="100" w:type="dxa"/>
              <w:end w:w="120" w:type="dxa"/>
            </w:tcMar>
            <w:vAlign w:val="center"/>
          </w:tcPr>
          <w:p>
            <w:r>
              <w:rPr>
                <w:sz w:val="17"/>
              </w:rPr>
              <w:t>1-100</w:t>
            </w:r>
          </w:p>
        </w:tc>
      </w:tr>
      <w:tr>
        <w:tc>
          <w:tcPr>
            <w:tcW w:type="dxa" w:w="2232"/>
            <w:tcMar>
              <w:top w:w="100" w:type="dxa"/>
              <w:start w:w="120" w:type="dxa"/>
              <w:bottom w:w="100" w:type="dxa"/>
              <w:end w:w="120" w:type="dxa"/>
            </w:tcMar>
            <w:vAlign w:val="center"/>
          </w:tcPr>
          <w:p>
            <w:r>
              <w:rPr>
                <w:sz w:val="17"/>
              </w:rPr>
              <w:t>Timing</w:t>
            </w:r>
          </w:p>
        </w:tc>
        <w:tc>
          <w:tcPr>
            <w:tcW w:type="dxa" w:w="6192"/>
            <w:tcMar>
              <w:top w:w="100" w:type="dxa"/>
              <w:start w:w="120" w:type="dxa"/>
              <w:bottom w:w="100" w:type="dxa"/>
              <w:end w:w="120" w:type="dxa"/>
            </w:tcMar>
            <w:vAlign w:val="center"/>
          </w:tcPr>
          <w:p>
            <w:r>
              <w:rPr>
                <w:sz w:val="17"/>
              </w:rPr>
              <w:t>How actionable and time-bounded the catalyst is.</w:t>
            </w:r>
          </w:p>
        </w:tc>
        <w:tc>
          <w:tcPr>
            <w:tcW w:type="dxa" w:w="1152"/>
            <w:tcMar>
              <w:top w:w="100" w:type="dxa"/>
              <w:start w:w="120" w:type="dxa"/>
              <w:bottom w:w="100" w:type="dxa"/>
              <w:end w:w="120" w:type="dxa"/>
            </w:tcMar>
            <w:vAlign w:val="center"/>
          </w:tcPr>
          <w:p>
            <w:r>
              <w:rPr>
                <w:sz w:val="17"/>
              </w:rPr>
              <w:t>1-100</w:t>
            </w:r>
          </w:p>
        </w:tc>
      </w:tr>
      <w:tr>
        <w:tc>
          <w:tcPr>
            <w:tcW w:type="dxa" w:w="2232"/>
            <w:tcMar>
              <w:top w:w="100" w:type="dxa"/>
              <w:start w:w="120" w:type="dxa"/>
              <w:bottom w:w="100" w:type="dxa"/>
              <w:end w:w="120" w:type="dxa"/>
            </w:tcMar>
            <w:vAlign w:val="center"/>
          </w:tcPr>
          <w:p>
            <w:r>
              <w:rPr>
                <w:sz w:val="17"/>
              </w:rPr>
              <w:t>Price Reaction</w:t>
            </w:r>
          </w:p>
        </w:tc>
        <w:tc>
          <w:tcPr>
            <w:tcW w:type="dxa" w:w="6192"/>
            <w:tcMar>
              <w:top w:w="100" w:type="dxa"/>
              <w:start w:w="120" w:type="dxa"/>
              <w:bottom w:w="100" w:type="dxa"/>
              <w:end w:w="120" w:type="dxa"/>
            </w:tcMar>
            <w:vAlign w:val="center"/>
          </w:tcPr>
          <w:p>
            <w:r>
              <w:rPr>
                <w:sz w:val="17"/>
              </w:rPr>
              <w:t>How little the market appears to have reacted after controlling for peers/sector.</w:t>
            </w:r>
          </w:p>
        </w:tc>
        <w:tc>
          <w:tcPr>
            <w:tcW w:type="dxa" w:w="1152"/>
            <w:tcMar>
              <w:top w:w="100" w:type="dxa"/>
              <w:start w:w="120" w:type="dxa"/>
              <w:bottom w:w="100" w:type="dxa"/>
              <w:end w:w="120" w:type="dxa"/>
            </w:tcMar>
            <w:vAlign w:val="center"/>
          </w:tcPr>
          <w:p>
            <w:r>
              <w:rPr>
                <w:sz w:val="17"/>
              </w:rPr>
              <w:t>1-100</w:t>
            </w:r>
          </w:p>
        </w:tc>
      </w:tr>
      <w:tr>
        <w:tc>
          <w:tcPr>
            <w:tcW w:type="dxa" w:w="2232"/>
            <w:tcMar>
              <w:top w:w="100" w:type="dxa"/>
              <w:start w:w="120" w:type="dxa"/>
              <w:bottom w:w="100" w:type="dxa"/>
              <w:end w:w="120" w:type="dxa"/>
            </w:tcMar>
            <w:vAlign w:val="center"/>
          </w:tcPr>
          <w:p>
            <w:r>
              <w:rPr>
                <w:sz w:val="17"/>
              </w:rPr>
              <w:t>Risk</w:t>
            </w:r>
          </w:p>
        </w:tc>
        <w:tc>
          <w:tcPr>
            <w:tcW w:type="dxa" w:w="6192"/>
            <w:tcMar>
              <w:top w:w="100" w:type="dxa"/>
              <w:start w:w="120" w:type="dxa"/>
              <w:bottom w:w="100" w:type="dxa"/>
              <w:end w:w="120" w:type="dxa"/>
            </w:tcMar>
            <w:vAlign w:val="center"/>
          </w:tcPr>
          <w:p>
            <w:r>
              <w:rPr>
                <w:sz w:val="17"/>
              </w:rPr>
              <w:t>Aggregate downside and uncertainty; higher means riskier.</w:t>
            </w:r>
          </w:p>
        </w:tc>
        <w:tc>
          <w:tcPr>
            <w:tcW w:type="dxa" w:w="1152"/>
            <w:tcMar>
              <w:top w:w="100" w:type="dxa"/>
              <w:start w:w="120" w:type="dxa"/>
              <w:bottom w:w="100" w:type="dxa"/>
              <w:end w:w="120" w:type="dxa"/>
            </w:tcMar>
            <w:vAlign w:val="center"/>
          </w:tcPr>
          <w:p>
            <w:r>
              <w:rPr>
                <w:sz w:val="17"/>
              </w:rPr>
              <w:t>1-100</w:t>
            </w:r>
          </w:p>
        </w:tc>
      </w:tr>
      <w:tr>
        <w:tc>
          <w:tcPr>
            <w:tcW w:type="dxa" w:w="2232"/>
            <w:tcMar>
              <w:top w:w="100" w:type="dxa"/>
              <w:start w:w="120" w:type="dxa"/>
              <w:bottom w:w="100" w:type="dxa"/>
              <w:end w:w="120" w:type="dxa"/>
            </w:tcMar>
            <w:vAlign w:val="center"/>
          </w:tcPr>
          <w:p>
            <w:r>
              <w:rPr>
                <w:sz w:val="17"/>
              </w:rPr>
              <w:t>Opportunity Score</w:t>
            </w:r>
          </w:p>
        </w:tc>
        <w:tc>
          <w:tcPr>
            <w:tcW w:type="dxa" w:w="6192"/>
            <w:tcMar>
              <w:top w:w="100" w:type="dxa"/>
              <w:start w:w="120" w:type="dxa"/>
              <w:bottom w:w="100" w:type="dxa"/>
              <w:end w:w="120" w:type="dxa"/>
            </w:tcMar>
            <w:vAlign w:val="center"/>
          </w:tcPr>
          <w:p>
            <w:r>
              <w:rPr>
                <w:sz w:val="17"/>
              </w:rPr>
              <w:t>Composite ranking for research priority, not a buy signal.</w:t>
            </w:r>
          </w:p>
        </w:tc>
        <w:tc>
          <w:tcPr>
            <w:tcW w:type="dxa" w:w="1152"/>
            <w:tcMar>
              <w:top w:w="100" w:type="dxa"/>
              <w:start w:w="120" w:type="dxa"/>
              <w:bottom w:w="100" w:type="dxa"/>
              <w:end w:w="120" w:type="dxa"/>
            </w:tcMar>
            <w:vAlign w:val="center"/>
          </w:tcPr>
          <w:p>
            <w:r>
              <w:rPr>
                <w:sz w:val="17"/>
              </w:rPr>
              <w:t>1-100</w:t>
            </w:r>
          </w:p>
        </w:tc>
      </w:tr>
    </w:tbl>
    <w:p/>
    <w:p>
      <w:pPr>
        <w:pStyle w:val="Heading2"/>
      </w:pPr>
      <w:r>
        <w:t>7.2 Proposed formula</w:t>
      </w:r>
    </w:p>
    <w:p>
      <w:r>
        <w:t>Opportunity Score = 0.20 × Information Asymmetry + 0.20 × Catalyst Strength + 0.20 × Evidence Quality + 0.15 × Financial Materiality + 0.10 × Timing + 0.10 × Price-Reaction Score + 0.05 × Valuation Context - 0.10 × Risk Penalty - 0.05 × Liquidity Penalty - 0.05 × Dilution Penalty.</w:t>
      </w:r>
    </w:p>
    <w:p>
      <w:r>
        <w:t>Clamp final output to 1-100. Missing factors must not be silently treated as favorable. A missing critical factor lowers confidence and may force manual review.</w:t>
      </w:r>
    </w:p>
    <w:p>
      <w:pPr>
        <w:pStyle w:val="Heading2"/>
      </w:pPr>
      <w:r>
        <w:t>7.3 Publication gates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17324D"/>
            <w:tcMar>
              <w:top w:w="120" w:type="dxa"/>
              <w:start w:w="100" w:type="dxa"/>
              <w:bottom w:w="120" w:type="dxa"/>
              <w:end w:w="100" w:type="dxa"/>
            </w:tcMar>
            <w:vAlign w:val="center"/>
          </w:tcPr>
          <w:p>
            <w:r>
              <w:rPr>
                <w:b/>
                <w:color w:val="FFFFFF"/>
                <w:sz w:val="18"/>
              </w:rPr>
              <w:t>Gate</w:t>
            </w:r>
          </w:p>
        </w:tc>
        <w:tc>
          <w:tcPr>
            <w:tcW w:type="dxa" w:w="3240"/>
            <w:shd w:fill="17324D"/>
            <w:tcMar>
              <w:top w:w="120" w:type="dxa"/>
              <w:start w:w="100" w:type="dxa"/>
              <w:bottom w:w="120" w:type="dxa"/>
              <w:end w:w="100" w:type="dxa"/>
            </w:tcMar>
            <w:vAlign w:val="center"/>
          </w:tcPr>
          <w:p>
            <w:r>
              <w:rPr>
                <w:b/>
                <w:color w:val="FFFFFF"/>
                <w:sz w:val="18"/>
              </w:rPr>
              <w:t>Auto-publish minimum</w:t>
            </w:r>
          </w:p>
        </w:tc>
        <w:tc>
          <w:tcPr>
            <w:tcW w:type="dxa" w:w="4176"/>
            <w:shd w:fill="17324D"/>
            <w:tcMar>
              <w:top w:w="120" w:type="dxa"/>
              <w:start w:w="100" w:type="dxa"/>
              <w:bottom w:w="120" w:type="dxa"/>
              <w:end w:w="100" w:type="dxa"/>
            </w:tcMar>
            <w:vAlign w:val="center"/>
          </w:tcPr>
          <w:p>
            <w:r>
              <w:rPr>
                <w:b/>
                <w:color w:val="FFFFFF"/>
                <w:sz w:val="18"/>
              </w:rPr>
              <w:t>Otherwise</w:t>
            </w:r>
          </w:p>
        </w:tc>
      </w:tr>
      <w:tr>
        <w:tc>
          <w:tcPr>
            <w:tcW w:type="dxa" w:w="2160"/>
            <w:tcMar>
              <w:top w:w="100" w:type="dxa"/>
              <w:start w:w="120" w:type="dxa"/>
              <w:bottom w:w="100" w:type="dxa"/>
              <w:end w:w="120" w:type="dxa"/>
            </w:tcMar>
            <w:vAlign w:val="center"/>
          </w:tcPr>
          <w:p>
            <w:r>
              <w:rPr>
                <w:sz w:val="17"/>
              </w:rPr>
              <w:t>Evidence</w:t>
            </w:r>
          </w:p>
        </w:tc>
        <w:tc>
          <w:tcPr>
            <w:tcW w:type="dxa" w:w="3240"/>
            <w:tcMar>
              <w:top w:w="100" w:type="dxa"/>
              <w:start w:w="120" w:type="dxa"/>
              <w:bottom w:w="100" w:type="dxa"/>
              <w:end w:w="120" w:type="dxa"/>
            </w:tcMar>
            <w:vAlign w:val="center"/>
          </w:tcPr>
          <w:p>
            <w:r>
              <w:rPr>
                <w:sz w:val="17"/>
              </w:rPr>
              <w:t>Evidence Quality ≥ 80 and at least one primary source</w:t>
            </w:r>
          </w:p>
        </w:tc>
        <w:tc>
          <w:tcPr>
            <w:tcW w:type="dxa" w:w="4176"/>
            <w:tcMar>
              <w:top w:w="100" w:type="dxa"/>
              <w:start w:w="120" w:type="dxa"/>
              <w:bottom w:w="100" w:type="dxa"/>
              <w:end w:w="120" w:type="dxa"/>
            </w:tcMar>
            <w:vAlign w:val="center"/>
          </w:tcPr>
          <w:p>
            <w:r>
              <w:rPr>
                <w:sz w:val="17"/>
              </w:rPr>
              <w:t>Manual review</w:t>
            </w:r>
          </w:p>
        </w:tc>
      </w:tr>
      <w:tr>
        <w:tc>
          <w:tcPr>
            <w:tcW w:type="dxa" w:w="2160"/>
            <w:tcMar>
              <w:top w:w="100" w:type="dxa"/>
              <w:start w:w="120" w:type="dxa"/>
              <w:bottom w:w="100" w:type="dxa"/>
              <w:end w:w="120" w:type="dxa"/>
            </w:tcMar>
            <w:vAlign w:val="center"/>
          </w:tcPr>
          <w:p>
            <w:r>
              <w:rPr>
                <w:sz w:val="17"/>
              </w:rPr>
              <w:t>Entity mapping</w:t>
            </w:r>
          </w:p>
        </w:tc>
        <w:tc>
          <w:tcPr>
            <w:tcW w:type="dxa" w:w="3240"/>
            <w:tcMar>
              <w:top w:w="100" w:type="dxa"/>
              <w:start w:w="120" w:type="dxa"/>
              <w:bottom w:w="100" w:type="dxa"/>
              <w:end w:w="120" w:type="dxa"/>
            </w:tcMar>
            <w:vAlign w:val="center"/>
          </w:tcPr>
          <w:p>
            <w:r>
              <w:rPr>
                <w:sz w:val="17"/>
              </w:rPr>
              <w:t>Public security mapping confidence ≥ 0.95</w:t>
            </w:r>
          </w:p>
        </w:tc>
        <w:tc>
          <w:tcPr>
            <w:tcW w:type="dxa" w:w="4176"/>
            <w:tcMar>
              <w:top w:w="100" w:type="dxa"/>
              <w:start w:w="120" w:type="dxa"/>
              <w:bottom w:w="100" w:type="dxa"/>
              <w:end w:w="120" w:type="dxa"/>
            </w:tcMar>
            <w:vAlign w:val="center"/>
          </w:tcPr>
          <w:p>
            <w:r>
              <w:rPr>
                <w:sz w:val="17"/>
              </w:rPr>
              <w:t>Manual review</w:t>
            </w:r>
          </w:p>
        </w:tc>
      </w:tr>
      <w:tr>
        <w:tc>
          <w:tcPr>
            <w:tcW w:type="dxa" w:w="2160"/>
            <w:tcMar>
              <w:top w:w="100" w:type="dxa"/>
              <w:start w:w="120" w:type="dxa"/>
              <w:bottom w:w="100" w:type="dxa"/>
              <w:end w:w="120" w:type="dxa"/>
            </w:tcMar>
            <w:vAlign w:val="center"/>
          </w:tcPr>
          <w:p>
            <w:r>
              <w:rPr>
                <w:sz w:val="17"/>
              </w:rPr>
              <w:t>Relationship</w:t>
            </w:r>
          </w:p>
        </w:tc>
        <w:tc>
          <w:tcPr>
            <w:tcW w:type="dxa" w:w="3240"/>
            <w:tcMar>
              <w:top w:w="100" w:type="dxa"/>
              <w:start w:w="120" w:type="dxa"/>
              <w:bottom w:w="100" w:type="dxa"/>
              <w:end w:w="120" w:type="dxa"/>
            </w:tcMar>
            <w:vAlign w:val="center"/>
          </w:tcPr>
          <w:p>
            <w:r>
              <w:rPr>
                <w:sz w:val="17"/>
              </w:rPr>
              <w:t>Direct relationship confidence ≥ 0.85 or indirect relationship reviewed</w:t>
            </w:r>
          </w:p>
        </w:tc>
        <w:tc>
          <w:tcPr>
            <w:tcW w:type="dxa" w:w="4176"/>
            <w:tcMar>
              <w:top w:w="100" w:type="dxa"/>
              <w:start w:w="120" w:type="dxa"/>
              <w:bottom w:w="100" w:type="dxa"/>
              <w:end w:w="120" w:type="dxa"/>
            </w:tcMar>
            <w:vAlign w:val="center"/>
          </w:tcPr>
          <w:p>
            <w:r>
              <w:rPr>
                <w:sz w:val="17"/>
              </w:rPr>
              <w:t>Manual review</w:t>
            </w:r>
          </w:p>
        </w:tc>
      </w:tr>
      <w:tr>
        <w:tc>
          <w:tcPr>
            <w:tcW w:type="dxa" w:w="2160"/>
            <w:tcMar>
              <w:top w:w="100" w:type="dxa"/>
              <w:start w:w="120" w:type="dxa"/>
              <w:bottom w:w="100" w:type="dxa"/>
              <w:end w:w="120" w:type="dxa"/>
            </w:tcMar>
            <w:vAlign w:val="center"/>
          </w:tcPr>
          <w:p>
            <w:r>
              <w:rPr>
                <w:sz w:val="17"/>
              </w:rPr>
              <w:t>Risk</w:t>
            </w:r>
          </w:p>
        </w:tc>
        <w:tc>
          <w:tcPr>
            <w:tcW w:type="dxa" w:w="3240"/>
            <w:tcMar>
              <w:top w:w="100" w:type="dxa"/>
              <w:start w:w="120" w:type="dxa"/>
              <w:bottom w:w="100" w:type="dxa"/>
              <w:end w:w="120" w:type="dxa"/>
            </w:tcMar>
            <w:vAlign w:val="center"/>
          </w:tcPr>
          <w:p>
            <w:r>
              <w:rPr>
                <w:sz w:val="17"/>
              </w:rPr>
              <w:t>Risk Score ≤ 65 and no prohibited-risk flag</w:t>
            </w:r>
          </w:p>
        </w:tc>
        <w:tc>
          <w:tcPr>
            <w:tcW w:type="dxa" w:w="4176"/>
            <w:tcMar>
              <w:top w:w="100" w:type="dxa"/>
              <w:start w:w="120" w:type="dxa"/>
              <w:bottom w:w="100" w:type="dxa"/>
              <w:end w:w="120" w:type="dxa"/>
            </w:tcMar>
            <w:vAlign w:val="center"/>
          </w:tcPr>
          <w:p>
            <w:r>
              <w:rPr>
                <w:sz w:val="17"/>
              </w:rPr>
              <w:t>Hold or manual review</w:t>
            </w:r>
          </w:p>
        </w:tc>
      </w:tr>
      <w:tr>
        <w:tc>
          <w:tcPr>
            <w:tcW w:type="dxa" w:w="2160"/>
            <w:tcMar>
              <w:top w:w="100" w:type="dxa"/>
              <w:start w:w="120" w:type="dxa"/>
              <w:bottom w:w="100" w:type="dxa"/>
              <w:end w:w="120" w:type="dxa"/>
            </w:tcMar>
            <w:vAlign w:val="center"/>
          </w:tcPr>
          <w:p>
            <w:r>
              <w:rPr>
                <w:sz w:val="17"/>
              </w:rPr>
              <w:t>Liquidity</w:t>
            </w:r>
          </w:p>
        </w:tc>
        <w:tc>
          <w:tcPr>
            <w:tcW w:type="dxa" w:w="3240"/>
            <w:tcMar>
              <w:top w:w="100" w:type="dxa"/>
              <w:start w:w="120" w:type="dxa"/>
              <w:bottom w:w="100" w:type="dxa"/>
              <w:end w:w="120" w:type="dxa"/>
            </w:tcMar>
            <w:vAlign w:val="center"/>
          </w:tcPr>
          <w:p>
            <w:r>
              <w:rPr>
                <w:sz w:val="17"/>
              </w:rPr>
              <w:t>Above configured liquidity threshold</w:t>
            </w:r>
          </w:p>
        </w:tc>
        <w:tc>
          <w:tcPr>
            <w:tcW w:type="dxa" w:w="4176"/>
            <w:tcMar>
              <w:top w:w="100" w:type="dxa"/>
              <w:start w:w="120" w:type="dxa"/>
              <w:bottom w:w="100" w:type="dxa"/>
              <w:end w:w="120" w:type="dxa"/>
            </w:tcMar>
            <w:vAlign w:val="center"/>
          </w:tcPr>
          <w:p>
            <w:r>
              <w:rPr>
                <w:sz w:val="17"/>
              </w:rPr>
              <w:t>Manual review or suppress</w:t>
            </w:r>
          </w:p>
        </w:tc>
      </w:tr>
      <w:tr>
        <w:tc>
          <w:tcPr>
            <w:tcW w:type="dxa" w:w="2160"/>
            <w:tcMar>
              <w:top w:w="100" w:type="dxa"/>
              <w:start w:w="120" w:type="dxa"/>
              <w:bottom w:w="100" w:type="dxa"/>
              <w:end w:w="120" w:type="dxa"/>
            </w:tcMar>
            <w:vAlign w:val="center"/>
          </w:tcPr>
          <w:p>
            <w:r>
              <w:rPr>
                <w:sz w:val="17"/>
              </w:rPr>
              <w:t>Legal/promotional</w:t>
            </w:r>
          </w:p>
        </w:tc>
        <w:tc>
          <w:tcPr>
            <w:tcW w:type="dxa" w:w="3240"/>
            <w:tcMar>
              <w:top w:w="100" w:type="dxa"/>
              <w:start w:w="120" w:type="dxa"/>
              <w:bottom w:w="100" w:type="dxa"/>
              <w:end w:w="120" w:type="dxa"/>
            </w:tcMar>
            <w:vAlign w:val="center"/>
          </w:tcPr>
          <w:p>
            <w:r>
              <w:rPr>
                <w:sz w:val="17"/>
              </w:rPr>
              <w:t>No defamation, rumor-only, or promotion flags</w:t>
            </w:r>
          </w:p>
        </w:tc>
        <w:tc>
          <w:tcPr>
            <w:tcW w:type="dxa" w:w="4176"/>
            <w:tcMar>
              <w:top w:w="100" w:type="dxa"/>
              <w:start w:w="120" w:type="dxa"/>
              <w:bottom w:w="100" w:type="dxa"/>
              <w:end w:w="120" w:type="dxa"/>
            </w:tcMar>
            <w:vAlign w:val="center"/>
          </w:tcPr>
          <w:p>
            <w:r>
              <w:rPr>
                <w:sz w:val="17"/>
              </w:rPr>
              <w:t>Reject or legal review</w:t>
            </w:r>
          </w:p>
        </w:tc>
      </w:tr>
    </w:tbl>
    <w:p/>
    <w:p>
      <w:pPr>
        <w:pStyle w:val="Heading2"/>
      </w:pPr>
      <w:r>
        <w:t>7.4 Example factor definitions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Mar>
              <w:top w:w="120" w:type="dxa"/>
              <w:start w:w="100" w:type="dxa"/>
              <w:bottom w:w="120" w:type="dxa"/>
              <w:end w:w="100" w:type="dxa"/>
            </w:tcMar>
            <w:vAlign w:val="center"/>
          </w:tcPr>
          <w:p>
            <w:r>
              <w:rPr>
                <w:b/>
                <w:color w:val="FFFFFF"/>
                <w:sz w:val="18"/>
              </w:rPr>
              <w:t>Score</w:t>
            </w:r>
          </w:p>
        </w:tc>
        <w:tc>
          <w:tcPr>
            <w:tcW w:type="dxa" w:w="7344"/>
            <w:shd w:fill="17324D"/>
            <w:tcMar>
              <w:top w:w="120" w:type="dxa"/>
              <w:start w:w="100" w:type="dxa"/>
              <w:bottom w:w="120" w:type="dxa"/>
              <w:end w:w="100" w:type="dxa"/>
            </w:tcMar>
            <w:vAlign w:val="center"/>
          </w:tcPr>
          <w:p>
            <w:r>
              <w:rPr>
                <w:b/>
                <w:color w:val="FFFFFF"/>
                <w:sz w:val="18"/>
              </w:rPr>
              <w:t>Example factors</w:t>
            </w:r>
          </w:p>
        </w:tc>
      </w:tr>
      <w:tr>
        <w:tc>
          <w:tcPr>
            <w:tcW w:type="dxa" w:w="2232"/>
            <w:tcMar>
              <w:top w:w="100" w:type="dxa"/>
              <w:start w:w="120" w:type="dxa"/>
              <w:bottom w:w="100" w:type="dxa"/>
              <w:end w:w="120" w:type="dxa"/>
            </w:tcMar>
            <w:vAlign w:val="center"/>
          </w:tcPr>
          <w:p>
            <w:r>
              <w:rPr>
                <w:sz w:val="17"/>
              </w:rPr>
              <w:t>Information Asymmetry</w:t>
            </w:r>
          </w:p>
        </w:tc>
        <w:tc>
          <w:tcPr>
            <w:tcW w:type="dxa" w:w="7344"/>
            <w:tcMar>
              <w:top w:w="100" w:type="dxa"/>
              <w:start w:w="120" w:type="dxa"/>
              <w:bottom w:w="100" w:type="dxa"/>
              <w:end w:w="120" w:type="dxa"/>
            </w:tcMar>
            <w:vAlign w:val="center"/>
          </w:tcPr>
          <w:p>
            <w:r>
              <w:rPr>
                <w:sz w:val="17"/>
              </w:rPr>
              <w:t>Analyst count, article count, social/search activity, source complexity, local-language barrier, indirectness, market cap, institutional ownership, price/volatility response.</w:t>
            </w:r>
          </w:p>
        </w:tc>
      </w:tr>
      <w:tr>
        <w:tc>
          <w:tcPr>
            <w:tcW w:type="dxa" w:w="2232"/>
            <w:tcMar>
              <w:top w:w="100" w:type="dxa"/>
              <w:start w:w="120" w:type="dxa"/>
              <w:bottom w:w="100" w:type="dxa"/>
              <w:end w:w="120" w:type="dxa"/>
            </w:tcMar>
            <w:vAlign w:val="center"/>
          </w:tcPr>
          <w:p>
            <w:r>
              <w:rPr>
                <w:sz w:val="17"/>
              </w:rPr>
              <w:t>Catalyst Strength</w:t>
            </w:r>
          </w:p>
        </w:tc>
        <w:tc>
          <w:tcPr>
            <w:tcW w:type="dxa" w:w="7344"/>
            <w:tcMar>
              <w:top w:w="100" w:type="dxa"/>
              <w:start w:w="120" w:type="dxa"/>
              <w:bottom w:w="100" w:type="dxa"/>
              <w:end w:w="120" w:type="dxa"/>
            </w:tcMar>
            <w:vAlign w:val="center"/>
          </w:tcPr>
          <w:p>
            <w:r>
              <w:rPr>
                <w:sz w:val="17"/>
              </w:rPr>
              <w:t>Revenue/profit potential, duration, recurrence, strategic importance, probability, regulatory significance, customer quality, competitive advantage.</w:t>
            </w:r>
          </w:p>
        </w:tc>
      </w:tr>
      <w:tr>
        <w:tc>
          <w:tcPr>
            <w:tcW w:type="dxa" w:w="2232"/>
            <w:tcMar>
              <w:top w:w="100" w:type="dxa"/>
              <w:start w:w="120" w:type="dxa"/>
              <w:bottom w:w="100" w:type="dxa"/>
              <w:end w:w="120" w:type="dxa"/>
            </w:tcMar>
            <w:vAlign w:val="center"/>
          </w:tcPr>
          <w:p>
            <w:r>
              <w:rPr>
                <w:sz w:val="17"/>
              </w:rPr>
              <w:t>Evidence Quality</w:t>
            </w:r>
          </w:p>
        </w:tc>
        <w:tc>
          <w:tcPr>
            <w:tcW w:type="dxa" w:w="7344"/>
            <w:tcMar>
              <w:top w:w="100" w:type="dxa"/>
              <w:start w:w="120" w:type="dxa"/>
              <w:bottom w:w="100" w:type="dxa"/>
              <w:end w:w="120" w:type="dxa"/>
            </w:tcMar>
            <w:vAlign w:val="center"/>
          </w:tcPr>
          <w:p>
            <w:r>
              <w:rPr>
                <w:sz w:val="17"/>
              </w:rPr>
              <w:t>Primary source, official filing, independent confirmation, freshness, specificity, contradictions, source reliability.</w:t>
            </w:r>
          </w:p>
        </w:tc>
      </w:tr>
      <w:tr>
        <w:tc>
          <w:tcPr>
            <w:tcW w:type="dxa" w:w="2232"/>
            <w:tcMar>
              <w:top w:w="100" w:type="dxa"/>
              <w:start w:w="120" w:type="dxa"/>
              <w:bottom w:w="100" w:type="dxa"/>
              <w:end w:w="120" w:type="dxa"/>
            </w:tcMar>
            <w:vAlign w:val="center"/>
          </w:tcPr>
          <w:p>
            <w:r>
              <w:rPr>
                <w:sz w:val="17"/>
              </w:rPr>
              <w:t>Financial Materiality</w:t>
            </w:r>
          </w:p>
        </w:tc>
        <w:tc>
          <w:tcPr>
            <w:tcW w:type="dxa" w:w="7344"/>
            <w:tcMar>
              <w:top w:w="100" w:type="dxa"/>
              <w:start w:w="120" w:type="dxa"/>
              <w:bottom w:w="100" w:type="dxa"/>
              <w:end w:w="120" w:type="dxa"/>
            </w:tcMar>
            <w:vAlign w:val="center"/>
          </w:tcPr>
          <w:p>
            <w:r>
              <w:rPr>
                <w:sz w:val="17"/>
              </w:rPr>
              <w:t>Contract value/revenue, expected gross profit/EBITDA effect, capex burden, balance-sheet effect, market size, company dependency.</w:t>
            </w:r>
          </w:p>
        </w:tc>
      </w:tr>
      <w:tr>
        <w:tc>
          <w:tcPr>
            <w:tcW w:type="dxa" w:w="2232"/>
            <w:tcMar>
              <w:top w:w="100" w:type="dxa"/>
              <w:start w:w="120" w:type="dxa"/>
              <w:bottom w:w="100" w:type="dxa"/>
              <w:end w:w="120" w:type="dxa"/>
            </w:tcMar>
            <w:vAlign w:val="center"/>
          </w:tcPr>
          <w:p>
            <w:r>
              <w:rPr>
                <w:sz w:val="17"/>
              </w:rPr>
              <w:t>Risk</w:t>
            </w:r>
          </w:p>
        </w:tc>
        <w:tc>
          <w:tcPr>
            <w:tcW w:type="dxa" w:w="7344"/>
            <w:tcMar>
              <w:top w:w="100" w:type="dxa"/>
              <w:start w:w="120" w:type="dxa"/>
              <w:bottom w:w="100" w:type="dxa"/>
              <w:end w:w="120" w:type="dxa"/>
            </w:tcMar>
            <w:vAlign w:val="center"/>
          </w:tcPr>
          <w:p>
            <w:r>
              <w:rPr>
                <w:sz w:val="17"/>
              </w:rPr>
              <w:t>Liquidity, dilution, financing need, binary outcome, legal uncertainty, customer concentration, promotional history, mapping uncertainty.</w:t>
            </w:r>
          </w:p>
        </w:tc>
      </w:tr>
    </w:tbl>
    <w:p/>
    <w:p>
      <w:pPr>
        <w:pStyle w:val="Heading1"/>
      </w:pPr>
      <w:r>
        <w:t>8. Data Sources and Ingestion</w:t>
      </w:r>
    </w:p>
    <w:p>
      <w:pPr>
        <w:pStyle w:val="Heading2"/>
      </w:pPr>
      <w:r>
        <w:t>8.1 MVP source connectors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792"/>
            <w:shd w:fill="17324D"/>
            <w:tcMar>
              <w:top w:w="120" w:type="dxa"/>
              <w:start w:w="100" w:type="dxa"/>
              <w:bottom w:w="120" w:type="dxa"/>
              <w:end w:w="100" w:type="dxa"/>
            </w:tcMar>
            <w:vAlign w:val="center"/>
          </w:tcPr>
          <w:p>
            <w:r>
              <w:rPr>
                <w:b/>
                <w:color w:val="FFFFFF"/>
                <w:sz w:val="18"/>
              </w:rPr>
              <w:t>Priority</w:t>
            </w:r>
          </w:p>
        </w:tc>
        <w:tc>
          <w:tcPr>
            <w:tcW w:type="dxa" w:w="1944"/>
            <w:shd w:fill="17324D"/>
            <w:tcMar>
              <w:top w:w="120" w:type="dxa"/>
              <w:start w:w="100" w:type="dxa"/>
              <w:bottom w:w="120" w:type="dxa"/>
              <w:end w:w="100" w:type="dxa"/>
            </w:tcMar>
            <w:vAlign w:val="center"/>
          </w:tcPr>
          <w:p>
            <w:r>
              <w:rPr>
                <w:b/>
                <w:color w:val="FFFFFF"/>
                <w:sz w:val="18"/>
              </w:rPr>
              <w:t>Source family</w:t>
            </w:r>
          </w:p>
        </w:tc>
        <w:tc>
          <w:tcPr>
            <w:tcW w:type="dxa" w:w="3168"/>
            <w:shd w:fill="17324D"/>
            <w:tcMar>
              <w:top w:w="120" w:type="dxa"/>
              <w:start w:w="100" w:type="dxa"/>
              <w:bottom w:w="120" w:type="dxa"/>
              <w:end w:w="100" w:type="dxa"/>
            </w:tcMar>
            <w:vAlign w:val="center"/>
          </w:tcPr>
          <w:p>
            <w:r>
              <w:rPr>
                <w:b/>
                <w:color w:val="FFFFFF"/>
                <w:sz w:val="18"/>
              </w:rPr>
              <w:t>Example data</w:t>
            </w:r>
          </w:p>
        </w:tc>
        <w:tc>
          <w:tcPr>
            <w:tcW w:type="dxa" w:w="2088"/>
            <w:shd w:fill="17324D"/>
            <w:tcMar>
              <w:top w:w="120" w:type="dxa"/>
              <w:start w:w="100" w:type="dxa"/>
              <w:bottom w:w="120" w:type="dxa"/>
              <w:end w:w="100" w:type="dxa"/>
            </w:tcMar>
            <w:vAlign w:val="center"/>
          </w:tcPr>
          <w:p>
            <w:r>
              <w:rPr>
                <w:b/>
                <w:color w:val="FFFFFF"/>
                <w:sz w:val="18"/>
              </w:rPr>
              <w:t>Method</w:t>
            </w:r>
          </w:p>
        </w:tc>
        <w:tc>
          <w:tcPr>
            <w:tcW w:type="dxa" w:w="1152"/>
            <w:shd w:fill="17324D"/>
            <w:tcMar>
              <w:top w:w="120" w:type="dxa"/>
              <w:start w:w="100" w:type="dxa"/>
              <w:bottom w:w="120" w:type="dxa"/>
              <w:end w:w="100" w:type="dxa"/>
            </w:tcMar>
            <w:vAlign w:val="center"/>
          </w:tcPr>
          <w:p>
            <w:r>
              <w:rPr>
                <w:b/>
                <w:color w:val="FFFFFF"/>
                <w:sz w:val="18"/>
              </w:rPr>
              <w:t>Refresh</w:t>
            </w:r>
          </w:p>
        </w:tc>
      </w:tr>
      <w:tr>
        <w:tc>
          <w:tcPr>
            <w:tcW w:type="dxa" w:w="792"/>
            <w:tcMar>
              <w:top w:w="100" w:type="dxa"/>
              <w:start w:w="120" w:type="dxa"/>
              <w:bottom w:w="100" w:type="dxa"/>
              <w:end w:w="120" w:type="dxa"/>
            </w:tcMar>
            <w:vAlign w:val="center"/>
          </w:tcPr>
          <w:p>
            <w:r>
              <w:rPr>
                <w:sz w:val="17"/>
              </w:rPr>
              <w:t>P0</w:t>
            </w:r>
          </w:p>
        </w:tc>
        <w:tc>
          <w:tcPr>
            <w:tcW w:type="dxa" w:w="1944"/>
            <w:tcMar>
              <w:top w:w="100" w:type="dxa"/>
              <w:start w:w="120" w:type="dxa"/>
              <w:bottom w:w="100" w:type="dxa"/>
              <w:end w:w="120" w:type="dxa"/>
            </w:tcMar>
            <w:vAlign w:val="center"/>
          </w:tcPr>
          <w:p>
            <w:r>
              <w:rPr>
                <w:sz w:val="17"/>
              </w:rPr>
              <w:t>SEC EDGAR</w:t>
            </w:r>
          </w:p>
        </w:tc>
        <w:tc>
          <w:tcPr>
            <w:tcW w:type="dxa" w:w="3168"/>
            <w:tcMar>
              <w:top w:w="100" w:type="dxa"/>
              <w:start w:w="120" w:type="dxa"/>
              <w:bottom w:w="100" w:type="dxa"/>
              <w:end w:w="120" w:type="dxa"/>
            </w:tcMar>
            <w:vAlign w:val="center"/>
          </w:tcPr>
          <w:p>
            <w:r>
              <w:rPr>
                <w:sz w:val="17"/>
              </w:rPr>
              <w:t>8-K, 10-Q, 10-K, S-1, 13D/G, Forms 3/4/5, exhibits</w:t>
            </w:r>
          </w:p>
        </w:tc>
        <w:tc>
          <w:tcPr>
            <w:tcW w:type="dxa" w:w="2088"/>
            <w:tcMar>
              <w:top w:w="100" w:type="dxa"/>
              <w:start w:w="120" w:type="dxa"/>
              <w:bottom w:w="100" w:type="dxa"/>
              <w:end w:w="120" w:type="dxa"/>
            </w:tcMar>
            <w:vAlign w:val="center"/>
          </w:tcPr>
          <w:p>
            <w:r>
              <w:rPr>
                <w:sz w:val="17"/>
              </w:rPr>
              <w:t>Official feeds/API-compatible retrieval</w:t>
            </w:r>
          </w:p>
        </w:tc>
        <w:tc>
          <w:tcPr>
            <w:tcW w:type="dxa" w:w="1152"/>
            <w:tcMar>
              <w:top w:w="100" w:type="dxa"/>
              <w:start w:w="120" w:type="dxa"/>
              <w:bottom w:w="100" w:type="dxa"/>
              <w:end w:w="120" w:type="dxa"/>
            </w:tcMar>
            <w:vAlign w:val="center"/>
          </w:tcPr>
          <w:p>
            <w:r>
              <w:rPr>
                <w:sz w:val="17"/>
              </w:rPr>
              <w:t>15-60 min depending on form</w:t>
            </w:r>
          </w:p>
        </w:tc>
      </w:tr>
      <w:tr>
        <w:tc>
          <w:tcPr>
            <w:tcW w:type="dxa" w:w="792"/>
            <w:tcMar>
              <w:top w:w="100" w:type="dxa"/>
              <w:start w:w="120" w:type="dxa"/>
              <w:bottom w:w="100" w:type="dxa"/>
              <w:end w:w="120" w:type="dxa"/>
            </w:tcMar>
            <w:vAlign w:val="center"/>
          </w:tcPr>
          <w:p>
            <w:r>
              <w:rPr>
                <w:sz w:val="17"/>
              </w:rPr>
              <w:t>P0</w:t>
            </w:r>
          </w:p>
        </w:tc>
        <w:tc>
          <w:tcPr>
            <w:tcW w:type="dxa" w:w="1944"/>
            <w:tcMar>
              <w:top w:w="100" w:type="dxa"/>
              <w:start w:w="120" w:type="dxa"/>
              <w:bottom w:w="100" w:type="dxa"/>
              <w:end w:w="120" w:type="dxa"/>
            </w:tcMar>
            <w:vAlign w:val="center"/>
          </w:tcPr>
          <w:p>
            <w:r>
              <w:rPr>
                <w:sz w:val="17"/>
              </w:rPr>
              <w:t>Company investor relations</w:t>
            </w:r>
          </w:p>
        </w:tc>
        <w:tc>
          <w:tcPr>
            <w:tcW w:type="dxa" w:w="3168"/>
            <w:tcMar>
              <w:top w:w="100" w:type="dxa"/>
              <w:start w:w="120" w:type="dxa"/>
              <w:bottom w:w="100" w:type="dxa"/>
              <w:end w:w="120" w:type="dxa"/>
            </w:tcMar>
            <w:vAlign w:val="center"/>
          </w:tcPr>
          <w:p>
            <w:r>
              <w:rPr>
                <w:sz w:val="17"/>
              </w:rPr>
              <w:t>Press releases, presentations, event notices</w:t>
            </w:r>
          </w:p>
        </w:tc>
        <w:tc>
          <w:tcPr>
            <w:tcW w:type="dxa" w:w="2088"/>
            <w:tcMar>
              <w:top w:w="100" w:type="dxa"/>
              <w:start w:w="120" w:type="dxa"/>
              <w:bottom w:w="100" w:type="dxa"/>
              <w:end w:w="120" w:type="dxa"/>
            </w:tcMar>
            <w:vAlign w:val="center"/>
          </w:tcPr>
          <w:p>
            <w:r>
              <w:rPr>
                <w:sz w:val="17"/>
              </w:rPr>
              <w:t>RSS/API where offered; compliant fetch otherwise</w:t>
            </w:r>
          </w:p>
        </w:tc>
        <w:tc>
          <w:tcPr>
            <w:tcW w:type="dxa" w:w="1152"/>
            <w:tcMar>
              <w:top w:w="100" w:type="dxa"/>
              <w:start w:w="120" w:type="dxa"/>
              <w:bottom w:w="100" w:type="dxa"/>
              <w:end w:w="120" w:type="dxa"/>
            </w:tcMar>
            <w:vAlign w:val="center"/>
          </w:tcPr>
          <w:p>
            <w:r>
              <w:rPr>
                <w:sz w:val="17"/>
              </w:rPr>
              <w:t>30-120 min</w:t>
            </w:r>
          </w:p>
        </w:tc>
      </w:tr>
      <w:tr>
        <w:tc>
          <w:tcPr>
            <w:tcW w:type="dxa" w:w="792"/>
            <w:tcMar>
              <w:top w:w="100" w:type="dxa"/>
              <w:start w:w="120" w:type="dxa"/>
              <w:bottom w:w="100" w:type="dxa"/>
              <w:end w:w="120" w:type="dxa"/>
            </w:tcMar>
            <w:vAlign w:val="center"/>
          </w:tcPr>
          <w:p>
            <w:r>
              <w:rPr>
                <w:sz w:val="17"/>
              </w:rPr>
              <w:t>P0</w:t>
            </w:r>
          </w:p>
        </w:tc>
        <w:tc>
          <w:tcPr>
            <w:tcW w:type="dxa" w:w="1944"/>
            <w:tcMar>
              <w:top w:w="100" w:type="dxa"/>
              <w:start w:w="120" w:type="dxa"/>
              <w:bottom w:w="100" w:type="dxa"/>
              <w:end w:w="120" w:type="dxa"/>
            </w:tcMar>
            <w:vAlign w:val="center"/>
          </w:tcPr>
          <w:p>
            <w:r>
              <w:rPr>
                <w:sz w:val="17"/>
              </w:rPr>
              <w:t>U.S. federal contracts</w:t>
            </w:r>
          </w:p>
        </w:tc>
        <w:tc>
          <w:tcPr>
            <w:tcW w:type="dxa" w:w="3168"/>
            <w:tcMar>
              <w:top w:w="100" w:type="dxa"/>
              <w:start w:w="120" w:type="dxa"/>
              <w:bottom w:w="100" w:type="dxa"/>
              <w:end w:w="120" w:type="dxa"/>
            </w:tcMar>
            <w:vAlign w:val="center"/>
          </w:tcPr>
          <w:p>
            <w:r>
              <w:rPr>
                <w:sz w:val="17"/>
              </w:rPr>
              <w:t>Award and modification records</w:t>
            </w:r>
          </w:p>
        </w:tc>
        <w:tc>
          <w:tcPr>
            <w:tcW w:type="dxa" w:w="2088"/>
            <w:tcMar>
              <w:top w:w="100" w:type="dxa"/>
              <w:start w:w="120" w:type="dxa"/>
              <w:bottom w:w="100" w:type="dxa"/>
              <w:end w:w="120" w:type="dxa"/>
            </w:tcMar>
            <w:vAlign w:val="center"/>
          </w:tcPr>
          <w:p>
            <w:r>
              <w:rPr>
                <w:sz w:val="17"/>
              </w:rPr>
              <w:t>Public API/download</w:t>
            </w:r>
          </w:p>
        </w:tc>
        <w:tc>
          <w:tcPr>
            <w:tcW w:type="dxa" w:w="1152"/>
            <w:tcMar>
              <w:top w:w="100" w:type="dxa"/>
              <w:start w:w="120" w:type="dxa"/>
              <w:bottom w:w="100" w:type="dxa"/>
              <w:end w:w="120" w:type="dxa"/>
            </w:tcMar>
            <w:vAlign w:val="center"/>
          </w:tcPr>
          <w:p>
            <w:r>
              <w:rPr>
                <w:sz w:val="17"/>
              </w:rPr>
              <w:t>Daily</w:t>
            </w:r>
          </w:p>
        </w:tc>
      </w:tr>
      <w:tr>
        <w:tc>
          <w:tcPr>
            <w:tcW w:type="dxa" w:w="792"/>
            <w:tcMar>
              <w:top w:w="100" w:type="dxa"/>
              <w:start w:w="120" w:type="dxa"/>
              <w:bottom w:w="100" w:type="dxa"/>
              <w:end w:w="120" w:type="dxa"/>
            </w:tcMar>
            <w:vAlign w:val="center"/>
          </w:tcPr>
          <w:p>
            <w:r>
              <w:rPr>
                <w:sz w:val="17"/>
              </w:rPr>
              <w:t>P0</w:t>
            </w:r>
          </w:p>
        </w:tc>
        <w:tc>
          <w:tcPr>
            <w:tcW w:type="dxa" w:w="1944"/>
            <w:tcMar>
              <w:top w:w="100" w:type="dxa"/>
              <w:start w:w="120" w:type="dxa"/>
              <w:bottom w:w="100" w:type="dxa"/>
              <w:end w:w="120" w:type="dxa"/>
            </w:tcMar>
            <w:vAlign w:val="center"/>
          </w:tcPr>
          <w:p>
            <w:r>
              <w:rPr>
                <w:sz w:val="17"/>
              </w:rPr>
              <w:t>FDA / ClinicalTrials.gov</w:t>
            </w:r>
          </w:p>
        </w:tc>
        <w:tc>
          <w:tcPr>
            <w:tcW w:type="dxa" w:w="3168"/>
            <w:tcMar>
              <w:top w:w="100" w:type="dxa"/>
              <w:start w:w="120" w:type="dxa"/>
              <w:bottom w:w="100" w:type="dxa"/>
              <w:end w:w="120" w:type="dxa"/>
            </w:tcMar>
            <w:vAlign w:val="center"/>
          </w:tcPr>
          <w:p>
            <w:r>
              <w:rPr>
                <w:sz w:val="17"/>
              </w:rPr>
              <w:t>Approvals, decisions, trial status/results</w:t>
            </w:r>
          </w:p>
        </w:tc>
        <w:tc>
          <w:tcPr>
            <w:tcW w:type="dxa" w:w="2088"/>
            <w:tcMar>
              <w:top w:w="100" w:type="dxa"/>
              <w:start w:w="120" w:type="dxa"/>
              <w:bottom w:w="100" w:type="dxa"/>
              <w:end w:w="120" w:type="dxa"/>
            </w:tcMar>
            <w:vAlign w:val="center"/>
          </w:tcPr>
          <w:p>
            <w:r>
              <w:rPr>
                <w:sz w:val="17"/>
              </w:rPr>
              <w:t>Public API/download</w:t>
            </w:r>
          </w:p>
        </w:tc>
        <w:tc>
          <w:tcPr>
            <w:tcW w:type="dxa" w:w="1152"/>
            <w:tcMar>
              <w:top w:w="100" w:type="dxa"/>
              <w:start w:w="120" w:type="dxa"/>
              <w:bottom w:w="100" w:type="dxa"/>
              <w:end w:w="120" w:type="dxa"/>
            </w:tcMar>
            <w:vAlign w:val="center"/>
          </w:tcPr>
          <w:p>
            <w:r>
              <w:rPr>
                <w:sz w:val="17"/>
              </w:rPr>
              <w:t>Daily</w:t>
            </w:r>
          </w:p>
        </w:tc>
      </w:tr>
      <w:tr>
        <w:tc>
          <w:tcPr>
            <w:tcW w:type="dxa" w:w="792"/>
            <w:tcMar>
              <w:top w:w="100" w:type="dxa"/>
              <w:start w:w="120" w:type="dxa"/>
              <w:bottom w:w="100" w:type="dxa"/>
              <w:end w:w="120" w:type="dxa"/>
            </w:tcMar>
            <w:vAlign w:val="center"/>
          </w:tcPr>
          <w:p>
            <w:r>
              <w:rPr>
                <w:sz w:val="17"/>
              </w:rPr>
              <w:t>P0</w:t>
            </w:r>
          </w:p>
        </w:tc>
        <w:tc>
          <w:tcPr>
            <w:tcW w:type="dxa" w:w="1944"/>
            <w:tcMar>
              <w:top w:w="100" w:type="dxa"/>
              <w:start w:w="120" w:type="dxa"/>
              <w:bottom w:w="100" w:type="dxa"/>
              <w:end w:w="120" w:type="dxa"/>
            </w:tcMar>
            <w:vAlign w:val="center"/>
          </w:tcPr>
          <w:p>
            <w:r>
              <w:rPr>
                <w:sz w:val="17"/>
              </w:rPr>
              <w:t>USPTO patent grants</w:t>
            </w:r>
          </w:p>
        </w:tc>
        <w:tc>
          <w:tcPr>
            <w:tcW w:type="dxa" w:w="3168"/>
            <w:tcMar>
              <w:top w:w="100" w:type="dxa"/>
              <w:start w:w="120" w:type="dxa"/>
              <w:bottom w:w="100" w:type="dxa"/>
              <w:end w:w="120" w:type="dxa"/>
            </w:tcMar>
            <w:vAlign w:val="center"/>
          </w:tcPr>
          <w:p>
            <w:r>
              <w:rPr>
                <w:sz w:val="17"/>
              </w:rPr>
              <w:t>Patent grants and assignments metadata</w:t>
            </w:r>
          </w:p>
        </w:tc>
        <w:tc>
          <w:tcPr>
            <w:tcW w:type="dxa" w:w="2088"/>
            <w:tcMar>
              <w:top w:w="100" w:type="dxa"/>
              <w:start w:w="120" w:type="dxa"/>
              <w:bottom w:w="100" w:type="dxa"/>
              <w:end w:w="120" w:type="dxa"/>
            </w:tcMar>
            <w:vAlign w:val="center"/>
          </w:tcPr>
          <w:p>
            <w:r>
              <w:rPr>
                <w:sz w:val="17"/>
              </w:rPr>
              <w:t>Public bulk/API-compatible sources</w:t>
            </w:r>
          </w:p>
        </w:tc>
        <w:tc>
          <w:tcPr>
            <w:tcW w:type="dxa" w:w="1152"/>
            <w:tcMar>
              <w:top w:w="100" w:type="dxa"/>
              <w:start w:w="120" w:type="dxa"/>
              <w:bottom w:w="100" w:type="dxa"/>
              <w:end w:w="120" w:type="dxa"/>
            </w:tcMar>
            <w:vAlign w:val="center"/>
          </w:tcPr>
          <w:p>
            <w:r>
              <w:rPr>
                <w:sz w:val="17"/>
              </w:rPr>
              <w:t>Daily/weekly</w:t>
            </w:r>
          </w:p>
        </w:tc>
      </w:tr>
      <w:tr>
        <w:tc>
          <w:tcPr>
            <w:tcW w:type="dxa" w:w="792"/>
            <w:tcMar>
              <w:top w:w="100" w:type="dxa"/>
              <w:start w:w="120" w:type="dxa"/>
              <w:bottom w:w="100" w:type="dxa"/>
              <w:end w:w="120" w:type="dxa"/>
            </w:tcMar>
            <w:vAlign w:val="center"/>
          </w:tcPr>
          <w:p>
            <w:r>
              <w:rPr>
                <w:sz w:val="17"/>
              </w:rPr>
              <w:t>P1</w:t>
            </w:r>
          </w:p>
        </w:tc>
        <w:tc>
          <w:tcPr>
            <w:tcW w:type="dxa" w:w="1944"/>
            <w:tcMar>
              <w:top w:w="100" w:type="dxa"/>
              <w:start w:w="120" w:type="dxa"/>
              <w:bottom w:w="100" w:type="dxa"/>
              <w:end w:w="120" w:type="dxa"/>
            </w:tcMar>
            <w:vAlign w:val="center"/>
          </w:tcPr>
          <w:p>
            <w:r>
              <w:rPr>
                <w:sz w:val="17"/>
              </w:rPr>
              <w:t>Regulatory permits</w:t>
            </w:r>
          </w:p>
        </w:tc>
        <w:tc>
          <w:tcPr>
            <w:tcW w:type="dxa" w:w="3168"/>
            <w:tcMar>
              <w:top w:w="100" w:type="dxa"/>
              <w:start w:w="120" w:type="dxa"/>
              <w:bottom w:w="100" w:type="dxa"/>
              <w:end w:w="120" w:type="dxa"/>
            </w:tcMar>
            <w:vAlign w:val="center"/>
          </w:tcPr>
          <w:p>
            <w:r>
              <w:rPr>
                <w:sz w:val="17"/>
              </w:rPr>
              <w:t>Energy, mining, environmental and utility decisions</w:t>
            </w:r>
          </w:p>
        </w:tc>
        <w:tc>
          <w:tcPr>
            <w:tcW w:type="dxa" w:w="2088"/>
            <w:tcMar>
              <w:top w:w="100" w:type="dxa"/>
              <w:start w:w="120" w:type="dxa"/>
              <w:bottom w:w="100" w:type="dxa"/>
              <w:end w:w="120" w:type="dxa"/>
            </w:tcMar>
            <w:vAlign w:val="center"/>
          </w:tcPr>
          <w:p>
            <w:r>
              <w:rPr>
                <w:sz w:val="17"/>
              </w:rPr>
              <w:t>Agency-specific API/feed/manual connector</w:t>
            </w:r>
          </w:p>
        </w:tc>
        <w:tc>
          <w:tcPr>
            <w:tcW w:type="dxa" w:w="1152"/>
            <w:tcMar>
              <w:top w:w="100" w:type="dxa"/>
              <w:start w:w="120" w:type="dxa"/>
              <w:bottom w:w="100" w:type="dxa"/>
              <w:end w:w="120" w:type="dxa"/>
            </w:tcMar>
            <w:vAlign w:val="center"/>
          </w:tcPr>
          <w:p>
            <w:r>
              <w:rPr>
                <w:sz w:val="17"/>
              </w:rPr>
              <w:t>Daily/weekly</w:t>
            </w:r>
          </w:p>
        </w:tc>
      </w:tr>
      <w:tr>
        <w:tc>
          <w:tcPr>
            <w:tcW w:type="dxa" w:w="792"/>
            <w:tcMar>
              <w:top w:w="100" w:type="dxa"/>
              <w:start w:w="120" w:type="dxa"/>
              <w:bottom w:w="100" w:type="dxa"/>
              <w:end w:w="120" w:type="dxa"/>
            </w:tcMar>
            <w:vAlign w:val="center"/>
          </w:tcPr>
          <w:p>
            <w:r>
              <w:rPr>
                <w:sz w:val="17"/>
              </w:rPr>
              <w:t>P1</w:t>
            </w:r>
          </w:p>
        </w:tc>
        <w:tc>
          <w:tcPr>
            <w:tcW w:type="dxa" w:w="1944"/>
            <w:tcMar>
              <w:top w:w="100" w:type="dxa"/>
              <w:start w:w="120" w:type="dxa"/>
              <w:bottom w:w="100" w:type="dxa"/>
              <w:end w:w="120" w:type="dxa"/>
            </w:tcMar>
            <w:vAlign w:val="center"/>
          </w:tcPr>
          <w:p>
            <w:r>
              <w:rPr>
                <w:sz w:val="17"/>
              </w:rPr>
              <w:t>Earnings-call transcripts</w:t>
            </w:r>
          </w:p>
        </w:tc>
        <w:tc>
          <w:tcPr>
            <w:tcW w:type="dxa" w:w="3168"/>
            <w:tcMar>
              <w:top w:w="100" w:type="dxa"/>
              <w:start w:w="120" w:type="dxa"/>
              <w:bottom w:w="100" w:type="dxa"/>
              <w:end w:w="120" w:type="dxa"/>
            </w:tcMar>
            <w:vAlign w:val="center"/>
          </w:tcPr>
          <w:p>
            <w:r>
              <w:rPr>
                <w:sz w:val="17"/>
              </w:rPr>
              <w:t>Customer/supplier references and guidance</w:t>
            </w:r>
          </w:p>
        </w:tc>
        <w:tc>
          <w:tcPr>
            <w:tcW w:type="dxa" w:w="2088"/>
            <w:tcMar>
              <w:top w:w="100" w:type="dxa"/>
              <w:start w:w="120" w:type="dxa"/>
              <w:bottom w:w="100" w:type="dxa"/>
              <w:end w:w="120" w:type="dxa"/>
            </w:tcMar>
            <w:vAlign w:val="center"/>
          </w:tcPr>
          <w:p>
            <w:r>
              <w:rPr>
                <w:sz w:val="17"/>
              </w:rPr>
              <w:t>Licensed provider or permitted source</w:t>
            </w:r>
          </w:p>
        </w:tc>
        <w:tc>
          <w:tcPr>
            <w:tcW w:type="dxa" w:w="1152"/>
            <w:tcMar>
              <w:top w:w="100" w:type="dxa"/>
              <w:start w:w="120" w:type="dxa"/>
              <w:bottom w:w="100" w:type="dxa"/>
              <w:end w:w="120" w:type="dxa"/>
            </w:tcMar>
            <w:vAlign w:val="center"/>
          </w:tcPr>
          <w:p>
            <w:r>
              <w:rPr>
                <w:sz w:val="17"/>
              </w:rPr>
              <w:t>Event-driven</w:t>
            </w:r>
          </w:p>
        </w:tc>
      </w:tr>
      <w:tr>
        <w:tc>
          <w:tcPr>
            <w:tcW w:type="dxa" w:w="792"/>
            <w:tcMar>
              <w:top w:w="100" w:type="dxa"/>
              <w:start w:w="120" w:type="dxa"/>
              <w:bottom w:w="100" w:type="dxa"/>
              <w:end w:w="120" w:type="dxa"/>
            </w:tcMar>
            <w:vAlign w:val="center"/>
          </w:tcPr>
          <w:p>
            <w:r>
              <w:rPr>
                <w:sz w:val="17"/>
              </w:rPr>
              <w:t>P1</w:t>
            </w:r>
          </w:p>
        </w:tc>
        <w:tc>
          <w:tcPr>
            <w:tcW w:type="dxa" w:w="1944"/>
            <w:tcMar>
              <w:top w:w="100" w:type="dxa"/>
              <w:start w:w="120" w:type="dxa"/>
              <w:bottom w:w="100" w:type="dxa"/>
              <w:end w:w="120" w:type="dxa"/>
            </w:tcMar>
            <w:vAlign w:val="center"/>
          </w:tcPr>
          <w:p>
            <w:r>
              <w:rPr>
                <w:sz w:val="17"/>
              </w:rPr>
              <w:t>Market data</w:t>
            </w:r>
          </w:p>
        </w:tc>
        <w:tc>
          <w:tcPr>
            <w:tcW w:type="dxa" w:w="3168"/>
            <w:tcMar>
              <w:top w:w="100" w:type="dxa"/>
              <w:start w:w="120" w:type="dxa"/>
              <w:bottom w:w="100" w:type="dxa"/>
              <w:end w:w="120" w:type="dxa"/>
            </w:tcMar>
            <w:vAlign w:val="center"/>
          </w:tcPr>
          <w:p>
            <w:r>
              <w:rPr>
                <w:sz w:val="17"/>
              </w:rPr>
              <w:t>Prices, volume, market cap, corporate actions</w:t>
            </w:r>
          </w:p>
        </w:tc>
        <w:tc>
          <w:tcPr>
            <w:tcW w:type="dxa" w:w="2088"/>
            <w:tcMar>
              <w:top w:w="100" w:type="dxa"/>
              <w:start w:w="120" w:type="dxa"/>
              <w:bottom w:w="100" w:type="dxa"/>
              <w:end w:w="120" w:type="dxa"/>
            </w:tcMar>
            <w:vAlign w:val="center"/>
          </w:tcPr>
          <w:p>
            <w:r>
              <w:rPr>
                <w:sz w:val="17"/>
              </w:rPr>
              <w:t>Licensed market-data API</w:t>
            </w:r>
          </w:p>
        </w:tc>
        <w:tc>
          <w:tcPr>
            <w:tcW w:type="dxa" w:w="1152"/>
            <w:tcMar>
              <w:top w:w="100" w:type="dxa"/>
              <w:start w:w="120" w:type="dxa"/>
              <w:bottom w:w="100" w:type="dxa"/>
              <w:end w:w="120" w:type="dxa"/>
            </w:tcMar>
            <w:vAlign w:val="center"/>
          </w:tcPr>
          <w:p>
            <w:r>
              <w:rPr>
                <w:sz w:val="17"/>
              </w:rPr>
              <w:t>Daily for MVP; intraday optional</w:t>
            </w:r>
          </w:p>
        </w:tc>
      </w:tr>
      <w:tr>
        <w:tc>
          <w:tcPr>
            <w:tcW w:type="dxa" w:w="792"/>
            <w:tcMar>
              <w:top w:w="100" w:type="dxa"/>
              <w:start w:w="120" w:type="dxa"/>
              <w:bottom w:w="100" w:type="dxa"/>
              <w:end w:w="120" w:type="dxa"/>
            </w:tcMar>
            <w:vAlign w:val="center"/>
          </w:tcPr>
          <w:p>
            <w:r>
              <w:rPr>
                <w:sz w:val="17"/>
              </w:rPr>
              <w:t>P1</w:t>
            </w:r>
          </w:p>
        </w:tc>
        <w:tc>
          <w:tcPr>
            <w:tcW w:type="dxa" w:w="1944"/>
            <w:tcMar>
              <w:top w:w="100" w:type="dxa"/>
              <w:start w:w="120" w:type="dxa"/>
              <w:bottom w:w="100" w:type="dxa"/>
              <w:end w:w="120" w:type="dxa"/>
            </w:tcMar>
            <w:vAlign w:val="center"/>
          </w:tcPr>
          <w:p>
            <w:r>
              <w:rPr>
                <w:sz w:val="17"/>
              </w:rPr>
              <w:t>News attention index</w:t>
            </w:r>
          </w:p>
        </w:tc>
        <w:tc>
          <w:tcPr>
            <w:tcW w:type="dxa" w:w="3168"/>
            <w:tcMar>
              <w:top w:w="100" w:type="dxa"/>
              <w:start w:w="120" w:type="dxa"/>
              <w:bottom w:w="100" w:type="dxa"/>
              <w:end w:w="120" w:type="dxa"/>
            </w:tcMar>
            <w:vAlign w:val="center"/>
          </w:tcPr>
          <w:p>
            <w:r>
              <w:rPr>
                <w:sz w:val="17"/>
              </w:rPr>
              <w:t>Article counts and mainstream-coverage timing</w:t>
            </w:r>
          </w:p>
        </w:tc>
        <w:tc>
          <w:tcPr>
            <w:tcW w:type="dxa" w:w="2088"/>
            <w:tcMar>
              <w:top w:w="100" w:type="dxa"/>
              <w:start w:w="120" w:type="dxa"/>
              <w:bottom w:w="100" w:type="dxa"/>
              <w:end w:w="120" w:type="dxa"/>
            </w:tcMar>
            <w:vAlign w:val="center"/>
          </w:tcPr>
          <w:p>
            <w:r>
              <w:rPr>
                <w:sz w:val="17"/>
              </w:rPr>
              <w:t>Licensed news/search API</w:t>
            </w:r>
          </w:p>
        </w:tc>
        <w:tc>
          <w:tcPr>
            <w:tcW w:type="dxa" w:w="1152"/>
            <w:tcMar>
              <w:top w:w="100" w:type="dxa"/>
              <w:start w:w="120" w:type="dxa"/>
              <w:bottom w:w="100" w:type="dxa"/>
              <w:end w:w="120" w:type="dxa"/>
            </w:tcMar>
            <w:vAlign w:val="center"/>
          </w:tcPr>
          <w:p>
            <w:r>
              <w:rPr>
                <w:sz w:val="17"/>
              </w:rPr>
              <w:t>Hourly/daily</w:t>
            </w:r>
          </w:p>
        </w:tc>
      </w:tr>
    </w:tbl>
    <w:p/>
    <w:p>
      <w:pPr>
        <w:pStyle w:val="Heading2"/>
      </w:pPr>
      <w:r>
        <w:t>8.2 Connector requirements</w:t>
      </w:r>
    </w:p>
    <w:p>
      <w:pPr>
        <w:pStyle w:val="ListBullet"/>
      </w:pPr>
      <w:r>
        <w:t>Each connector must have source ID, owner, legal basis, terms review date, rate limits, parser version, schedule, retry policy, and health status.</w:t>
      </w:r>
    </w:p>
    <w:p>
      <w:pPr>
        <w:pStyle w:val="ListBullet"/>
      </w:pPr>
      <w:r>
        <w:t>Raw source payloads are immutable. Parsed documents are versioned.</w:t>
      </w:r>
    </w:p>
    <w:p>
      <w:pPr>
        <w:pStyle w:val="ListBullet"/>
      </w:pPr>
      <w:r>
        <w:t>Every ingestion run records start/end, item counts, duplicates, failures, and checkpoints.</w:t>
      </w:r>
    </w:p>
    <w:p>
      <w:pPr>
        <w:pStyle w:val="ListBullet"/>
      </w:pPr>
      <w:r>
        <w:t>Use idempotency keys and content hashes so retries do not create duplicates.</w:t>
      </w:r>
    </w:p>
    <w:p>
      <w:pPr>
        <w:pStyle w:val="ListBullet"/>
      </w:pPr>
      <w:r>
        <w:t>Respect robots.txt and terms; do not bypass authentication, CAPTCHAs, or access controls.</w:t>
      </w:r>
    </w:p>
    <w:p>
      <w:pPr>
        <w:pStyle w:val="ListBullet"/>
      </w:pPr>
      <w:r>
        <w:t>If a source becomes unavailable, preserve prior evidence and mark freshness status.</w:t>
      </w:r>
    </w:p>
    <w:p>
      <w:pPr>
        <w:pStyle w:val="Heading1"/>
      </w:pPr>
      <w:r>
        <w:t>9. System Architecture</w:t>
      </w:r>
    </w:p>
    <w:p>
      <w:pPr>
        <w:pStyle w:val="Heading2"/>
      </w:pPr>
      <w:r>
        <w:t>9.1 Recommended MVP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Mar>
              <w:top w:w="120" w:type="dxa"/>
              <w:start w:w="100" w:type="dxa"/>
              <w:bottom w:w="120" w:type="dxa"/>
              <w:end w:w="100" w:type="dxa"/>
            </w:tcMar>
            <w:vAlign w:val="center"/>
          </w:tcPr>
          <w:p>
            <w:r>
              <w:rPr>
                <w:b/>
                <w:color w:val="FFFFFF"/>
                <w:sz w:val="18"/>
              </w:rPr>
              <w:t>Layer</w:t>
            </w:r>
          </w:p>
        </w:tc>
        <w:tc>
          <w:tcPr>
            <w:tcW w:type="dxa" w:w="3240"/>
            <w:shd w:fill="17324D"/>
            <w:tcMar>
              <w:top w:w="120" w:type="dxa"/>
              <w:start w:w="100" w:type="dxa"/>
              <w:bottom w:w="120" w:type="dxa"/>
              <w:end w:w="100" w:type="dxa"/>
            </w:tcMar>
            <w:vAlign w:val="center"/>
          </w:tcPr>
          <w:p>
            <w:r>
              <w:rPr>
                <w:b/>
                <w:color w:val="FFFFFF"/>
                <w:sz w:val="18"/>
              </w:rPr>
              <w:t>Recommendation</w:t>
            </w:r>
          </w:p>
        </w:tc>
        <w:tc>
          <w:tcPr>
            <w:tcW w:type="dxa" w:w="4464"/>
            <w:shd w:fill="17324D"/>
            <w:tcMar>
              <w:top w:w="120" w:type="dxa"/>
              <w:start w:w="100" w:type="dxa"/>
              <w:bottom w:w="120" w:type="dxa"/>
              <w:end w:w="100" w:type="dxa"/>
            </w:tcMar>
            <w:vAlign w:val="center"/>
          </w:tcPr>
          <w:p>
            <w:r>
              <w:rPr>
                <w:b/>
                <w:color w:val="FFFFFF"/>
                <w:sz w:val="18"/>
              </w:rPr>
              <w:t>Rationale</w:t>
            </w:r>
          </w:p>
        </w:tc>
      </w:tr>
      <w:tr>
        <w:tc>
          <w:tcPr>
            <w:tcW w:type="dxa" w:w="1800"/>
            <w:tcMar>
              <w:top w:w="100" w:type="dxa"/>
              <w:start w:w="120" w:type="dxa"/>
              <w:bottom w:w="100" w:type="dxa"/>
              <w:end w:w="120" w:type="dxa"/>
            </w:tcMar>
            <w:vAlign w:val="center"/>
          </w:tcPr>
          <w:p>
            <w:r>
              <w:rPr>
                <w:sz w:val="17"/>
              </w:rPr>
              <w:t>Frontend</w:t>
            </w:r>
          </w:p>
        </w:tc>
        <w:tc>
          <w:tcPr>
            <w:tcW w:type="dxa" w:w="3240"/>
            <w:tcMar>
              <w:top w:w="100" w:type="dxa"/>
              <w:start w:w="120" w:type="dxa"/>
              <w:bottom w:w="100" w:type="dxa"/>
              <w:end w:w="120" w:type="dxa"/>
            </w:tcMar>
            <w:vAlign w:val="center"/>
          </w:tcPr>
          <w:p>
            <w:r>
              <w:rPr>
                <w:sz w:val="17"/>
              </w:rPr>
              <w:t>Next.js + TypeScript + Tailwind + accessible component library</w:t>
            </w:r>
          </w:p>
        </w:tc>
        <w:tc>
          <w:tcPr>
            <w:tcW w:type="dxa" w:w="4464"/>
            <w:tcMar>
              <w:top w:w="100" w:type="dxa"/>
              <w:start w:w="120" w:type="dxa"/>
              <w:bottom w:w="100" w:type="dxa"/>
              <w:end w:w="120" w:type="dxa"/>
            </w:tcMar>
            <w:vAlign w:val="center"/>
          </w:tcPr>
          <w:p>
            <w:r>
              <w:rPr>
                <w:sz w:val="17"/>
              </w:rPr>
              <w:t>Fast product iteration, server rendering, typed routes, strong ecosystem.</w:t>
            </w:r>
          </w:p>
        </w:tc>
      </w:tr>
      <w:tr>
        <w:tc>
          <w:tcPr>
            <w:tcW w:type="dxa" w:w="1800"/>
            <w:tcMar>
              <w:top w:w="100" w:type="dxa"/>
              <w:start w:w="120" w:type="dxa"/>
              <w:bottom w:w="100" w:type="dxa"/>
              <w:end w:w="120" w:type="dxa"/>
            </w:tcMar>
            <w:vAlign w:val="center"/>
          </w:tcPr>
          <w:p>
            <w:r>
              <w:rPr>
                <w:sz w:val="17"/>
              </w:rPr>
              <w:t>Backend API</w:t>
            </w:r>
          </w:p>
        </w:tc>
        <w:tc>
          <w:tcPr>
            <w:tcW w:type="dxa" w:w="3240"/>
            <w:tcMar>
              <w:top w:w="100" w:type="dxa"/>
              <w:start w:w="120" w:type="dxa"/>
              <w:bottom w:w="100" w:type="dxa"/>
              <w:end w:w="120" w:type="dxa"/>
            </w:tcMar>
            <w:vAlign w:val="center"/>
          </w:tcPr>
          <w:p>
            <w:r>
              <w:rPr>
                <w:sz w:val="17"/>
              </w:rPr>
              <w:t>Next.js server routes or separate FastAPI service</w:t>
            </w:r>
          </w:p>
        </w:tc>
        <w:tc>
          <w:tcPr>
            <w:tcW w:type="dxa" w:w="4464"/>
            <w:tcMar>
              <w:top w:w="100" w:type="dxa"/>
              <w:start w:w="120" w:type="dxa"/>
              <w:bottom w:w="100" w:type="dxa"/>
              <w:end w:w="120" w:type="dxa"/>
            </w:tcMar>
            <w:vAlign w:val="center"/>
          </w:tcPr>
          <w:p>
            <w:r>
              <w:rPr>
                <w:sz w:val="17"/>
              </w:rPr>
              <w:t>Use one repository initially; split ingestion/AI workers into Python services where helpful.</w:t>
            </w:r>
          </w:p>
        </w:tc>
      </w:tr>
      <w:tr>
        <w:tc>
          <w:tcPr>
            <w:tcW w:type="dxa" w:w="1800"/>
            <w:tcMar>
              <w:top w:w="100" w:type="dxa"/>
              <w:start w:w="120" w:type="dxa"/>
              <w:bottom w:w="100" w:type="dxa"/>
              <w:end w:w="120" w:type="dxa"/>
            </w:tcMar>
            <w:vAlign w:val="center"/>
          </w:tcPr>
          <w:p>
            <w:r>
              <w:rPr>
                <w:sz w:val="17"/>
              </w:rPr>
              <w:t>Database</w:t>
            </w:r>
          </w:p>
        </w:tc>
        <w:tc>
          <w:tcPr>
            <w:tcW w:type="dxa" w:w="3240"/>
            <w:tcMar>
              <w:top w:w="100" w:type="dxa"/>
              <w:start w:w="120" w:type="dxa"/>
              <w:bottom w:w="100" w:type="dxa"/>
              <w:end w:w="120" w:type="dxa"/>
            </w:tcMar>
            <w:vAlign w:val="center"/>
          </w:tcPr>
          <w:p>
            <w:r>
              <w:rPr>
                <w:sz w:val="17"/>
              </w:rPr>
              <w:t>PostgreSQL</w:t>
            </w:r>
          </w:p>
        </w:tc>
        <w:tc>
          <w:tcPr>
            <w:tcW w:type="dxa" w:w="4464"/>
            <w:tcMar>
              <w:top w:w="100" w:type="dxa"/>
              <w:start w:w="120" w:type="dxa"/>
              <w:bottom w:w="100" w:type="dxa"/>
              <w:end w:w="120" w:type="dxa"/>
            </w:tcMar>
            <w:vAlign w:val="center"/>
          </w:tcPr>
          <w:p>
            <w:r>
              <w:rPr>
                <w:sz w:val="17"/>
              </w:rPr>
              <w:t>Strong relational integrity, JSONB for extracted metadata, mature search/analytics support.</w:t>
            </w:r>
          </w:p>
        </w:tc>
      </w:tr>
      <w:tr>
        <w:tc>
          <w:tcPr>
            <w:tcW w:type="dxa" w:w="1800"/>
            <w:tcMar>
              <w:top w:w="100" w:type="dxa"/>
              <w:start w:w="120" w:type="dxa"/>
              <w:bottom w:w="100" w:type="dxa"/>
              <w:end w:w="120" w:type="dxa"/>
            </w:tcMar>
            <w:vAlign w:val="center"/>
          </w:tcPr>
          <w:p>
            <w:r>
              <w:rPr>
                <w:sz w:val="17"/>
              </w:rPr>
              <w:t>ORM</w:t>
            </w:r>
          </w:p>
        </w:tc>
        <w:tc>
          <w:tcPr>
            <w:tcW w:type="dxa" w:w="3240"/>
            <w:tcMar>
              <w:top w:w="100" w:type="dxa"/>
              <w:start w:w="120" w:type="dxa"/>
              <w:bottom w:w="100" w:type="dxa"/>
              <w:end w:w="120" w:type="dxa"/>
            </w:tcMar>
            <w:vAlign w:val="center"/>
          </w:tcPr>
          <w:p>
            <w:r>
              <w:rPr>
                <w:sz w:val="17"/>
              </w:rPr>
              <w:t>Prisma for TypeScript services; SQLAlchemy for Python workers if separated</w:t>
            </w:r>
          </w:p>
        </w:tc>
        <w:tc>
          <w:tcPr>
            <w:tcW w:type="dxa" w:w="4464"/>
            <w:tcMar>
              <w:top w:w="100" w:type="dxa"/>
              <w:start w:w="120" w:type="dxa"/>
              <w:bottom w:w="100" w:type="dxa"/>
              <w:end w:w="120" w:type="dxa"/>
            </w:tcMar>
            <w:vAlign w:val="center"/>
          </w:tcPr>
          <w:p>
            <w:r>
              <w:rPr>
                <w:sz w:val="17"/>
              </w:rPr>
              <w:t>Typed schema and migrations.</w:t>
            </w:r>
          </w:p>
        </w:tc>
      </w:tr>
      <w:tr>
        <w:tc>
          <w:tcPr>
            <w:tcW w:type="dxa" w:w="1800"/>
            <w:tcMar>
              <w:top w:w="100" w:type="dxa"/>
              <w:start w:w="120" w:type="dxa"/>
              <w:bottom w:w="100" w:type="dxa"/>
              <w:end w:w="120" w:type="dxa"/>
            </w:tcMar>
            <w:vAlign w:val="center"/>
          </w:tcPr>
          <w:p>
            <w:r>
              <w:rPr>
                <w:sz w:val="17"/>
              </w:rPr>
              <w:t>Object storage</w:t>
            </w:r>
          </w:p>
        </w:tc>
        <w:tc>
          <w:tcPr>
            <w:tcW w:type="dxa" w:w="3240"/>
            <w:tcMar>
              <w:top w:w="100" w:type="dxa"/>
              <w:start w:w="120" w:type="dxa"/>
              <w:bottom w:w="100" w:type="dxa"/>
              <w:end w:w="120" w:type="dxa"/>
            </w:tcMar>
            <w:vAlign w:val="center"/>
          </w:tcPr>
          <w:p>
            <w:r>
              <w:rPr>
                <w:sz w:val="17"/>
              </w:rPr>
              <w:t>S3-compatible storage</w:t>
            </w:r>
          </w:p>
        </w:tc>
        <w:tc>
          <w:tcPr>
            <w:tcW w:type="dxa" w:w="4464"/>
            <w:tcMar>
              <w:top w:w="100" w:type="dxa"/>
              <w:start w:w="120" w:type="dxa"/>
              <w:bottom w:w="100" w:type="dxa"/>
              <w:end w:w="120" w:type="dxa"/>
            </w:tcMar>
            <w:vAlign w:val="center"/>
          </w:tcPr>
          <w:p>
            <w:r>
              <w:rPr>
                <w:sz w:val="17"/>
              </w:rPr>
              <w:t>Raw documents, archived payloads, generated reports.</w:t>
            </w:r>
          </w:p>
        </w:tc>
      </w:tr>
      <w:tr>
        <w:tc>
          <w:tcPr>
            <w:tcW w:type="dxa" w:w="1800"/>
            <w:tcMar>
              <w:top w:w="100" w:type="dxa"/>
              <w:start w:w="120" w:type="dxa"/>
              <w:bottom w:w="100" w:type="dxa"/>
              <w:end w:w="120" w:type="dxa"/>
            </w:tcMar>
            <w:vAlign w:val="center"/>
          </w:tcPr>
          <w:p>
            <w:r>
              <w:rPr>
                <w:sz w:val="17"/>
              </w:rPr>
              <w:t>Queue / jobs</w:t>
            </w:r>
          </w:p>
        </w:tc>
        <w:tc>
          <w:tcPr>
            <w:tcW w:type="dxa" w:w="3240"/>
            <w:tcMar>
              <w:top w:w="100" w:type="dxa"/>
              <w:start w:w="120" w:type="dxa"/>
              <w:bottom w:w="100" w:type="dxa"/>
              <w:end w:w="120" w:type="dxa"/>
            </w:tcMar>
            <w:vAlign w:val="center"/>
          </w:tcPr>
          <w:p>
            <w:r>
              <w:rPr>
                <w:sz w:val="17"/>
              </w:rPr>
              <w:t>Redis-backed queue or managed task queue</w:t>
            </w:r>
          </w:p>
        </w:tc>
        <w:tc>
          <w:tcPr>
            <w:tcW w:type="dxa" w:w="4464"/>
            <w:tcMar>
              <w:top w:w="100" w:type="dxa"/>
              <w:start w:w="120" w:type="dxa"/>
              <w:bottom w:w="100" w:type="dxa"/>
              <w:end w:w="120" w:type="dxa"/>
            </w:tcMar>
            <w:vAlign w:val="center"/>
          </w:tcPr>
          <w:p>
            <w:r>
              <w:rPr>
                <w:sz w:val="17"/>
              </w:rPr>
              <w:t>Scheduled ingestion, extraction, scoring, alerts, retries.</w:t>
            </w:r>
          </w:p>
        </w:tc>
      </w:tr>
      <w:tr>
        <w:tc>
          <w:tcPr>
            <w:tcW w:type="dxa" w:w="1800"/>
            <w:tcMar>
              <w:top w:w="100" w:type="dxa"/>
              <w:start w:w="120" w:type="dxa"/>
              <w:bottom w:w="100" w:type="dxa"/>
              <w:end w:w="120" w:type="dxa"/>
            </w:tcMar>
            <w:vAlign w:val="center"/>
          </w:tcPr>
          <w:p>
            <w:r>
              <w:rPr>
                <w:sz w:val="17"/>
              </w:rPr>
              <w:t>Search</w:t>
            </w:r>
          </w:p>
        </w:tc>
        <w:tc>
          <w:tcPr>
            <w:tcW w:type="dxa" w:w="3240"/>
            <w:tcMar>
              <w:top w:w="100" w:type="dxa"/>
              <w:start w:w="120" w:type="dxa"/>
              <w:bottom w:w="100" w:type="dxa"/>
              <w:end w:w="120" w:type="dxa"/>
            </w:tcMar>
            <w:vAlign w:val="center"/>
          </w:tcPr>
          <w:p>
            <w:r>
              <w:rPr>
                <w:sz w:val="17"/>
              </w:rPr>
              <w:t>PostgreSQL full-text first; OpenSearch later</w:t>
            </w:r>
          </w:p>
        </w:tc>
        <w:tc>
          <w:tcPr>
            <w:tcW w:type="dxa" w:w="4464"/>
            <w:tcMar>
              <w:top w:w="100" w:type="dxa"/>
              <w:start w:w="120" w:type="dxa"/>
              <w:bottom w:w="100" w:type="dxa"/>
              <w:end w:w="120" w:type="dxa"/>
            </w:tcMar>
            <w:vAlign w:val="center"/>
          </w:tcPr>
          <w:p>
            <w:r>
              <w:rPr>
                <w:sz w:val="17"/>
              </w:rPr>
              <w:t>Avoid premature infrastructure while supporting useful MVP search.</w:t>
            </w:r>
          </w:p>
        </w:tc>
      </w:tr>
      <w:tr>
        <w:tc>
          <w:tcPr>
            <w:tcW w:type="dxa" w:w="1800"/>
            <w:tcMar>
              <w:top w:w="100" w:type="dxa"/>
              <w:start w:w="120" w:type="dxa"/>
              <w:bottom w:w="100" w:type="dxa"/>
              <w:end w:w="120" w:type="dxa"/>
            </w:tcMar>
            <w:vAlign w:val="center"/>
          </w:tcPr>
          <w:p>
            <w:r>
              <w:rPr>
                <w:sz w:val="17"/>
              </w:rPr>
              <w:t>Vector search</w:t>
            </w:r>
          </w:p>
        </w:tc>
        <w:tc>
          <w:tcPr>
            <w:tcW w:type="dxa" w:w="3240"/>
            <w:tcMar>
              <w:top w:w="100" w:type="dxa"/>
              <w:start w:w="120" w:type="dxa"/>
              <w:bottom w:w="100" w:type="dxa"/>
              <w:end w:w="120" w:type="dxa"/>
            </w:tcMar>
            <w:vAlign w:val="center"/>
          </w:tcPr>
          <w:p>
            <w:r>
              <w:rPr>
                <w:sz w:val="17"/>
              </w:rPr>
              <w:t>pgvector</w:t>
            </w:r>
          </w:p>
        </w:tc>
        <w:tc>
          <w:tcPr>
            <w:tcW w:type="dxa" w:w="4464"/>
            <w:tcMar>
              <w:top w:w="100" w:type="dxa"/>
              <w:start w:w="120" w:type="dxa"/>
              <w:bottom w:w="100" w:type="dxa"/>
              <w:end w:w="120" w:type="dxa"/>
            </w:tcMar>
            <w:vAlign w:val="center"/>
          </w:tcPr>
          <w:p>
            <w:r>
              <w:rPr>
                <w:sz w:val="17"/>
              </w:rPr>
              <w:t>Semantic retrieval without separate vector database initially.</w:t>
            </w:r>
          </w:p>
        </w:tc>
      </w:tr>
      <w:tr>
        <w:tc>
          <w:tcPr>
            <w:tcW w:type="dxa" w:w="1800"/>
            <w:tcMar>
              <w:top w:w="100" w:type="dxa"/>
              <w:start w:w="120" w:type="dxa"/>
              <w:bottom w:w="100" w:type="dxa"/>
              <w:end w:w="120" w:type="dxa"/>
            </w:tcMar>
            <w:vAlign w:val="center"/>
          </w:tcPr>
          <w:p>
            <w:r>
              <w:rPr>
                <w:sz w:val="17"/>
              </w:rPr>
              <w:t>Auth</w:t>
            </w:r>
          </w:p>
        </w:tc>
        <w:tc>
          <w:tcPr>
            <w:tcW w:type="dxa" w:w="3240"/>
            <w:tcMar>
              <w:top w:w="100" w:type="dxa"/>
              <w:start w:w="120" w:type="dxa"/>
              <w:bottom w:w="100" w:type="dxa"/>
              <w:end w:w="120" w:type="dxa"/>
            </w:tcMar>
            <w:vAlign w:val="center"/>
          </w:tcPr>
          <w:p>
            <w:r>
              <w:rPr>
                <w:sz w:val="17"/>
              </w:rPr>
              <w:t>Managed auth provider or secure application auth</w:t>
            </w:r>
          </w:p>
        </w:tc>
        <w:tc>
          <w:tcPr>
            <w:tcW w:type="dxa" w:w="4464"/>
            <w:tcMar>
              <w:top w:w="100" w:type="dxa"/>
              <w:start w:w="120" w:type="dxa"/>
              <w:bottom w:w="100" w:type="dxa"/>
              <w:end w:w="120" w:type="dxa"/>
            </w:tcMar>
            <w:vAlign w:val="center"/>
          </w:tcPr>
          <w:p>
            <w:r>
              <w:rPr>
                <w:sz w:val="17"/>
              </w:rPr>
              <w:t>Reduce security surface.</w:t>
            </w:r>
          </w:p>
        </w:tc>
      </w:tr>
      <w:tr>
        <w:tc>
          <w:tcPr>
            <w:tcW w:type="dxa" w:w="1800"/>
            <w:tcMar>
              <w:top w:w="100" w:type="dxa"/>
              <w:start w:w="120" w:type="dxa"/>
              <w:bottom w:w="100" w:type="dxa"/>
              <w:end w:w="120" w:type="dxa"/>
            </w:tcMar>
            <w:vAlign w:val="center"/>
          </w:tcPr>
          <w:p>
            <w:r>
              <w:rPr>
                <w:sz w:val="17"/>
              </w:rPr>
              <w:t>Email</w:t>
            </w:r>
          </w:p>
        </w:tc>
        <w:tc>
          <w:tcPr>
            <w:tcW w:type="dxa" w:w="3240"/>
            <w:tcMar>
              <w:top w:w="100" w:type="dxa"/>
              <w:start w:w="120" w:type="dxa"/>
              <w:bottom w:w="100" w:type="dxa"/>
              <w:end w:w="120" w:type="dxa"/>
            </w:tcMar>
            <w:vAlign w:val="center"/>
          </w:tcPr>
          <w:p>
            <w:r>
              <w:rPr>
                <w:sz w:val="17"/>
              </w:rPr>
              <w:t>Transactional email provider</w:t>
            </w:r>
          </w:p>
        </w:tc>
        <w:tc>
          <w:tcPr>
            <w:tcW w:type="dxa" w:w="4464"/>
            <w:tcMar>
              <w:top w:w="100" w:type="dxa"/>
              <w:start w:w="120" w:type="dxa"/>
              <w:bottom w:w="100" w:type="dxa"/>
              <w:end w:w="120" w:type="dxa"/>
            </w:tcMar>
            <w:vAlign w:val="center"/>
          </w:tcPr>
          <w:p>
            <w:r>
              <w:rPr>
                <w:sz w:val="17"/>
              </w:rPr>
              <w:t>Digest and alert deliverability.</w:t>
            </w:r>
          </w:p>
        </w:tc>
      </w:tr>
      <w:tr>
        <w:tc>
          <w:tcPr>
            <w:tcW w:type="dxa" w:w="1800"/>
            <w:tcMar>
              <w:top w:w="100" w:type="dxa"/>
              <w:start w:w="120" w:type="dxa"/>
              <w:bottom w:w="100" w:type="dxa"/>
              <w:end w:w="120" w:type="dxa"/>
            </w:tcMar>
            <w:vAlign w:val="center"/>
          </w:tcPr>
          <w:p>
            <w:r>
              <w:rPr>
                <w:sz w:val="17"/>
              </w:rPr>
              <w:t>Observability</w:t>
            </w:r>
          </w:p>
        </w:tc>
        <w:tc>
          <w:tcPr>
            <w:tcW w:type="dxa" w:w="3240"/>
            <w:tcMar>
              <w:top w:w="100" w:type="dxa"/>
              <w:start w:w="120" w:type="dxa"/>
              <w:bottom w:w="100" w:type="dxa"/>
              <w:end w:w="120" w:type="dxa"/>
            </w:tcMar>
            <w:vAlign w:val="center"/>
          </w:tcPr>
          <w:p>
            <w:r>
              <w:rPr>
                <w:sz w:val="17"/>
              </w:rPr>
              <w:t>Structured logs, error tracking, metrics, job dashboards</w:t>
            </w:r>
          </w:p>
        </w:tc>
        <w:tc>
          <w:tcPr>
            <w:tcW w:type="dxa" w:w="4464"/>
            <w:tcMar>
              <w:top w:w="100" w:type="dxa"/>
              <w:start w:w="120" w:type="dxa"/>
              <w:bottom w:w="100" w:type="dxa"/>
              <w:end w:w="120" w:type="dxa"/>
            </w:tcMar>
            <w:vAlign w:val="center"/>
          </w:tcPr>
          <w:p>
            <w:r>
              <w:rPr>
                <w:sz w:val="17"/>
              </w:rPr>
              <w:t>Required for connector and scoring reliability.</w:t>
            </w:r>
          </w:p>
        </w:tc>
      </w:tr>
      <w:tr>
        <w:tc>
          <w:tcPr>
            <w:tcW w:type="dxa" w:w="1800"/>
            <w:tcMar>
              <w:top w:w="100" w:type="dxa"/>
              <w:start w:w="120" w:type="dxa"/>
              <w:bottom w:w="100" w:type="dxa"/>
              <w:end w:w="120" w:type="dxa"/>
            </w:tcMar>
            <w:vAlign w:val="center"/>
          </w:tcPr>
          <w:p>
            <w:r>
              <w:rPr>
                <w:sz w:val="17"/>
              </w:rPr>
              <w:t>Hosting</w:t>
            </w:r>
          </w:p>
        </w:tc>
        <w:tc>
          <w:tcPr>
            <w:tcW w:type="dxa" w:w="3240"/>
            <w:tcMar>
              <w:top w:w="100" w:type="dxa"/>
              <w:start w:w="120" w:type="dxa"/>
              <w:bottom w:w="100" w:type="dxa"/>
              <w:end w:w="120" w:type="dxa"/>
            </w:tcMar>
            <w:vAlign w:val="center"/>
          </w:tcPr>
          <w:p>
            <w:r>
              <w:rPr>
                <w:sz w:val="17"/>
              </w:rPr>
              <w:t>Managed web platform plus managed Postgres and worker runtime</w:t>
            </w:r>
          </w:p>
        </w:tc>
        <w:tc>
          <w:tcPr>
            <w:tcW w:type="dxa" w:w="4464"/>
            <w:tcMar>
              <w:top w:w="100" w:type="dxa"/>
              <w:start w:w="120" w:type="dxa"/>
              <w:bottom w:w="100" w:type="dxa"/>
              <w:end w:w="120" w:type="dxa"/>
            </w:tcMar>
            <w:vAlign w:val="center"/>
          </w:tcPr>
          <w:p>
            <w:r>
              <w:rPr>
                <w:sz w:val="17"/>
              </w:rPr>
              <w:t>Fast deployment and operational simplicity.</w:t>
            </w:r>
          </w:p>
        </w:tc>
      </w:tr>
    </w:tbl>
    <w:p/>
    <w:p>
      <w:pPr>
        <w:pStyle w:val="Heading2"/>
      </w:pPr>
      <w:r>
        <w:t>9.2 Architecture diagram</w:t>
      </w:r>
    </w:p>
    <w:p>
      <w:pPr>
        <w:pStyle w:val="CodeBlock"/>
      </w:pPr>
      <w:r>
        <w:t>[Public / Licensed Sources]</w:t>
        <w:br/>
        <w:t xml:space="preserve">        |</w:t>
        <w:br/>
        <w:t xml:space="preserve">        v</w:t>
        <w:br/>
        <w:t>[Connectors &amp; Schedulers] ---&gt; [Raw Object Storage]</w:t>
        <w:br/>
        <w:t xml:space="preserve">        |                              |</w:t>
        <w:br/>
        <w:t xml:space="preserve">        v                              v</w:t>
        <w:br/>
        <w:t>[Document Normalization] ---&gt; [Document + Evidence DB]</w:t>
        <w:br/>
        <w:t xml:space="preserve">        |</w:t>
        <w:br/>
        <w:t xml:space="preserve">        v</w:t>
        <w:br/>
        <w:t>[Entity Extraction / Resolution] ---&gt; [Company &amp; Security Master]</w:t>
        <w:br/>
        <w:t xml:space="preserve">        |</w:t>
        <w:br/>
        <w:t xml:space="preserve">        v</w:t>
        <w:br/>
        <w:t>[Relationship + Catalyst Detection] ---&gt; [Knowledge Graph Tables]</w:t>
        <w:br/>
        <w:t xml:space="preserve">        |</w:t>
        <w:br/>
        <w:t xml:space="preserve">        v</w:t>
        <w:br/>
        <w:t>[Materiality / Attention / Market-Reaction Services]</w:t>
        <w:br/>
        <w:t xml:space="preserve">        |</w:t>
        <w:br/>
        <w:t xml:space="preserve">        v</w:t>
        <w:br/>
        <w:t>[Scoring + Rules Engine] ---&gt; [Human Review Queue]</w:t>
        <w:br/>
        <w:t xml:space="preserve">                                  | approve</w:t>
        <w:br/>
        <w:t xml:space="preserve">                                  v</w:t>
        <w:br/>
        <w:t xml:space="preserve">                          [Published Opportunities]</w:t>
        <w:br/>
        <w:t xml:space="preserve">                                  |</w:t>
        <w:br/>
        <w:t xml:space="preserve">                  +---------------+----------------+</w:t>
        <w:br/>
        <w:t xml:space="preserve">                  v                                v</w:t>
        <w:br/>
        <w:t xml:space="preserve">             [Web API]                      [Alert Jobs]</w:t>
        <w:br/>
        <w:t xml:space="preserve">                  |                                |</w:t>
        <w:br/>
        <w:t xml:space="preserve">                  v                                v</w:t>
        <w:br/>
        <w:t xml:space="preserve">          [Next.js Website]                 [Email / Digest]</w:t>
        <w:br/>
      </w:r>
    </w:p>
    <w:p>
      <w:pPr>
        <w:pStyle w:val="Heading2"/>
      </w:pPr>
      <w:r>
        <w:t>9.3 Service boundaries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120" w:type="dxa"/>
              <w:start w:w="100" w:type="dxa"/>
              <w:bottom w:w="120" w:type="dxa"/>
              <w:end w:w="100" w:type="dxa"/>
            </w:tcMar>
            <w:vAlign w:val="center"/>
          </w:tcPr>
          <w:p>
            <w:r>
              <w:rPr>
                <w:b/>
                <w:color w:val="FFFFFF"/>
                <w:sz w:val="18"/>
              </w:rPr>
              <w:t>Service</w:t>
            </w:r>
          </w:p>
        </w:tc>
        <w:tc>
          <w:tcPr>
            <w:tcW w:type="dxa" w:w="7488"/>
            <w:shd w:fill="17324D"/>
            <w:tcMar>
              <w:top w:w="120" w:type="dxa"/>
              <w:start w:w="100" w:type="dxa"/>
              <w:bottom w:w="120" w:type="dxa"/>
              <w:end w:w="100" w:type="dxa"/>
            </w:tcMar>
            <w:vAlign w:val="center"/>
          </w:tcPr>
          <w:p>
            <w:r>
              <w:rPr>
                <w:b/>
                <w:color w:val="FFFFFF"/>
                <w:sz w:val="18"/>
              </w:rPr>
              <w:t>Responsibilities</w:t>
            </w:r>
          </w:p>
        </w:tc>
      </w:tr>
      <w:tr>
        <w:tc>
          <w:tcPr>
            <w:tcW w:type="dxa" w:w="2088"/>
            <w:tcMar>
              <w:top w:w="100" w:type="dxa"/>
              <w:start w:w="120" w:type="dxa"/>
              <w:bottom w:w="100" w:type="dxa"/>
              <w:end w:w="120" w:type="dxa"/>
            </w:tcMar>
            <w:vAlign w:val="center"/>
          </w:tcPr>
          <w:p>
            <w:r>
              <w:rPr>
                <w:sz w:val="17"/>
              </w:rPr>
              <w:t>Source service</w:t>
            </w:r>
          </w:p>
        </w:tc>
        <w:tc>
          <w:tcPr>
            <w:tcW w:type="dxa" w:w="7488"/>
            <w:tcMar>
              <w:top w:w="100" w:type="dxa"/>
              <w:start w:w="120" w:type="dxa"/>
              <w:bottom w:w="100" w:type="dxa"/>
              <w:end w:w="120" w:type="dxa"/>
            </w:tcMar>
            <w:vAlign w:val="center"/>
          </w:tcPr>
          <w:p>
            <w:r>
              <w:rPr>
                <w:sz w:val="17"/>
              </w:rPr>
              <w:t>Connector definitions, schedules, fetching, checkpoints, raw payload storage.</w:t>
            </w:r>
          </w:p>
        </w:tc>
      </w:tr>
      <w:tr>
        <w:tc>
          <w:tcPr>
            <w:tcW w:type="dxa" w:w="2088"/>
            <w:tcMar>
              <w:top w:w="100" w:type="dxa"/>
              <w:start w:w="120" w:type="dxa"/>
              <w:bottom w:w="100" w:type="dxa"/>
              <w:end w:w="120" w:type="dxa"/>
            </w:tcMar>
            <w:vAlign w:val="center"/>
          </w:tcPr>
          <w:p>
            <w:r>
              <w:rPr>
                <w:sz w:val="17"/>
              </w:rPr>
              <w:t>Document service</w:t>
            </w:r>
          </w:p>
        </w:tc>
        <w:tc>
          <w:tcPr>
            <w:tcW w:type="dxa" w:w="7488"/>
            <w:tcMar>
              <w:top w:w="100" w:type="dxa"/>
              <w:start w:w="120" w:type="dxa"/>
              <w:bottom w:w="100" w:type="dxa"/>
              <w:end w:w="120" w:type="dxa"/>
            </w:tcMar>
            <w:vAlign w:val="center"/>
          </w:tcPr>
          <w:p>
            <w:r>
              <w:rPr>
                <w:sz w:val="17"/>
              </w:rPr>
              <w:t>Normalization, hashing, text extraction, metadata, evidence anchors.</w:t>
            </w:r>
          </w:p>
        </w:tc>
      </w:tr>
      <w:tr>
        <w:tc>
          <w:tcPr>
            <w:tcW w:type="dxa" w:w="2088"/>
            <w:tcMar>
              <w:top w:w="100" w:type="dxa"/>
              <w:start w:w="120" w:type="dxa"/>
              <w:bottom w:w="100" w:type="dxa"/>
              <w:end w:w="120" w:type="dxa"/>
            </w:tcMar>
            <w:vAlign w:val="center"/>
          </w:tcPr>
          <w:p>
            <w:r>
              <w:rPr>
                <w:sz w:val="17"/>
              </w:rPr>
              <w:t>Entity service</w:t>
            </w:r>
          </w:p>
        </w:tc>
        <w:tc>
          <w:tcPr>
            <w:tcW w:type="dxa" w:w="7488"/>
            <w:tcMar>
              <w:top w:w="100" w:type="dxa"/>
              <w:start w:w="120" w:type="dxa"/>
              <w:bottom w:w="100" w:type="dxa"/>
              <w:end w:w="120" w:type="dxa"/>
            </w:tcMar>
            <w:vAlign w:val="center"/>
          </w:tcPr>
          <w:p>
            <w:r>
              <w:rPr>
                <w:sz w:val="17"/>
              </w:rPr>
              <w:t>Company/security master, aliases, CIK/ticker mapping, people/agencies/products.</w:t>
            </w:r>
          </w:p>
        </w:tc>
      </w:tr>
      <w:tr>
        <w:tc>
          <w:tcPr>
            <w:tcW w:type="dxa" w:w="2088"/>
            <w:tcMar>
              <w:top w:w="100" w:type="dxa"/>
              <w:start w:w="120" w:type="dxa"/>
              <w:bottom w:w="100" w:type="dxa"/>
              <w:end w:w="120" w:type="dxa"/>
            </w:tcMar>
            <w:vAlign w:val="center"/>
          </w:tcPr>
          <w:p>
            <w:r>
              <w:rPr>
                <w:sz w:val="17"/>
              </w:rPr>
              <w:t>Relationship service</w:t>
            </w:r>
          </w:p>
        </w:tc>
        <w:tc>
          <w:tcPr>
            <w:tcW w:type="dxa" w:w="7488"/>
            <w:tcMar>
              <w:top w:w="100" w:type="dxa"/>
              <w:start w:w="120" w:type="dxa"/>
              <w:bottom w:w="100" w:type="dxa"/>
              <w:end w:w="120" w:type="dxa"/>
            </w:tcMar>
            <w:vAlign w:val="center"/>
          </w:tcPr>
          <w:p>
            <w:r>
              <w:rPr>
                <w:sz w:val="17"/>
              </w:rPr>
              <w:t>Source-backed edges, confidence, validity dates, direct/indirect paths.</w:t>
            </w:r>
          </w:p>
        </w:tc>
      </w:tr>
      <w:tr>
        <w:tc>
          <w:tcPr>
            <w:tcW w:type="dxa" w:w="2088"/>
            <w:tcMar>
              <w:top w:w="100" w:type="dxa"/>
              <w:start w:w="120" w:type="dxa"/>
              <w:bottom w:w="100" w:type="dxa"/>
              <w:end w:w="120" w:type="dxa"/>
            </w:tcMar>
            <w:vAlign w:val="center"/>
          </w:tcPr>
          <w:p>
            <w:r>
              <w:rPr>
                <w:sz w:val="17"/>
              </w:rPr>
              <w:t>Opportunity service</w:t>
            </w:r>
          </w:p>
        </w:tc>
        <w:tc>
          <w:tcPr>
            <w:tcW w:type="dxa" w:w="7488"/>
            <w:tcMar>
              <w:top w:w="100" w:type="dxa"/>
              <w:start w:w="120" w:type="dxa"/>
              <w:bottom w:w="100" w:type="dxa"/>
              <w:end w:w="120" w:type="dxa"/>
            </w:tcMar>
            <w:vAlign w:val="center"/>
          </w:tcPr>
          <w:p>
            <w:r>
              <w:rPr>
                <w:sz w:val="17"/>
              </w:rPr>
              <w:t>Candidate lifecycle, claims, scenarios, risks, invalidation conditions.</w:t>
            </w:r>
          </w:p>
        </w:tc>
      </w:tr>
      <w:tr>
        <w:tc>
          <w:tcPr>
            <w:tcW w:type="dxa" w:w="2088"/>
            <w:tcMar>
              <w:top w:w="100" w:type="dxa"/>
              <w:start w:w="120" w:type="dxa"/>
              <w:bottom w:w="100" w:type="dxa"/>
              <w:end w:w="120" w:type="dxa"/>
            </w:tcMar>
            <w:vAlign w:val="center"/>
          </w:tcPr>
          <w:p>
            <w:r>
              <w:rPr>
                <w:sz w:val="17"/>
              </w:rPr>
              <w:t>Scoring service</w:t>
            </w:r>
          </w:p>
        </w:tc>
        <w:tc>
          <w:tcPr>
            <w:tcW w:type="dxa" w:w="7488"/>
            <w:tcMar>
              <w:top w:w="100" w:type="dxa"/>
              <w:start w:w="120" w:type="dxa"/>
              <w:bottom w:w="100" w:type="dxa"/>
              <w:end w:w="120" w:type="dxa"/>
            </w:tcMar>
            <w:vAlign w:val="center"/>
          </w:tcPr>
          <w:p>
            <w:r>
              <w:rPr>
                <w:sz w:val="17"/>
              </w:rPr>
              <w:t>Factor calculations, model versioning, explainability payload.</w:t>
            </w:r>
          </w:p>
        </w:tc>
      </w:tr>
      <w:tr>
        <w:tc>
          <w:tcPr>
            <w:tcW w:type="dxa" w:w="2088"/>
            <w:tcMar>
              <w:top w:w="100" w:type="dxa"/>
              <w:start w:w="120" w:type="dxa"/>
              <w:bottom w:w="100" w:type="dxa"/>
              <w:end w:w="120" w:type="dxa"/>
            </w:tcMar>
            <w:vAlign w:val="center"/>
          </w:tcPr>
          <w:p>
            <w:r>
              <w:rPr>
                <w:sz w:val="17"/>
              </w:rPr>
              <w:t>Market service</w:t>
            </w:r>
          </w:p>
        </w:tc>
        <w:tc>
          <w:tcPr>
            <w:tcW w:type="dxa" w:w="7488"/>
            <w:tcMar>
              <w:top w:w="100" w:type="dxa"/>
              <w:start w:w="120" w:type="dxa"/>
              <w:bottom w:w="100" w:type="dxa"/>
              <w:end w:w="120" w:type="dxa"/>
            </w:tcMar>
            <w:vAlign w:val="center"/>
          </w:tcPr>
          <w:p>
            <w:r>
              <w:rPr>
                <w:sz w:val="17"/>
              </w:rPr>
              <w:t>Price, volume, benchmark, corporate-action normalization.</w:t>
            </w:r>
          </w:p>
        </w:tc>
      </w:tr>
      <w:tr>
        <w:tc>
          <w:tcPr>
            <w:tcW w:type="dxa" w:w="2088"/>
            <w:tcMar>
              <w:top w:w="100" w:type="dxa"/>
              <w:start w:w="120" w:type="dxa"/>
              <w:bottom w:w="100" w:type="dxa"/>
              <w:end w:w="120" w:type="dxa"/>
            </w:tcMar>
            <w:vAlign w:val="center"/>
          </w:tcPr>
          <w:p>
            <w:r>
              <w:rPr>
                <w:sz w:val="17"/>
              </w:rPr>
              <w:t>Review service</w:t>
            </w:r>
          </w:p>
        </w:tc>
        <w:tc>
          <w:tcPr>
            <w:tcW w:type="dxa" w:w="7488"/>
            <w:tcMar>
              <w:top w:w="100" w:type="dxa"/>
              <w:start w:w="120" w:type="dxa"/>
              <w:bottom w:w="100" w:type="dxa"/>
              <w:end w:w="120" w:type="dxa"/>
            </w:tcMar>
            <w:vAlign w:val="center"/>
          </w:tcPr>
          <w:p>
            <w:r>
              <w:rPr>
                <w:sz w:val="17"/>
              </w:rPr>
              <w:t>Queue, reviewer actions, approval gates, audit.</w:t>
            </w:r>
          </w:p>
        </w:tc>
      </w:tr>
      <w:tr>
        <w:tc>
          <w:tcPr>
            <w:tcW w:type="dxa" w:w="2088"/>
            <w:tcMar>
              <w:top w:w="100" w:type="dxa"/>
              <w:start w:w="120" w:type="dxa"/>
              <w:bottom w:w="100" w:type="dxa"/>
              <w:end w:w="120" w:type="dxa"/>
            </w:tcMar>
            <w:vAlign w:val="center"/>
          </w:tcPr>
          <w:p>
            <w:r>
              <w:rPr>
                <w:sz w:val="17"/>
              </w:rPr>
              <w:t>Alert service</w:t>
            </w:r>
          </w:p>
        </w:tc>
        <w:tc>
          <w:tcPr>
            <w:tcW w:type="dxa" w:w="7488"/>
            <w:tcMar>
              <w:top w:w="100" w:type="dxa"/>
              <w:start w:w="120" w:type="dxa"/>
              <w:bottom w:w="100" w:type="dxa"/>
              <w:end w:w="120" w:type="dxa"/>
            </w:tcMar>
            <w:vAlign w:val="center"/>
          </w:tcPr>
          <w:p>
            <w:r>
              <w:rPr>
                <w:sz w:val="17"/>
              </w:rPr>
              <w:t>Subscriptions, matching, digest composition, delivery, idempotency.</w:t>
            </w:r>
          </w:p>
        </w:tc>
      </w:tr>
      <w:tr>
        <w:tc>
          <w:tcPr>
            <w:tcW w:type="dxa" w:w="2088"/>
            <w:tcMar>
              <w:top w:w="100" w:type="dxa"/>
              <w:start w:w="120" w:type="dxa"/>
              <w:bottom w:w="100" w:type="dxa"/>
              <w:end w:w="120" w:type="dxa"/>
            </w:tcMar>
            <w:vAlign w:val="center"/>
          </w:tcPr>
          <w:p>
            <w:r>
              <w:rPr>
                <w:sz w:val="17"/>
              </w:rPr>
              <w:t>Web API</w:t>
            </w:r>
          </w:p>
        </w:tc>
        <w:tc>
          <w:tcPr>
            <w:tcW w:type="dxa" w:w="7488"/>
            <w:tcMar>
              <w:top w:w="100" w:type="dxa"/>
              <w:start w:w="120" w:type="dxa"/>
              <w:bottom w:w="100" w:type="dxa"/>
              <w:end w:w="120" w:type="dxa"/>
            </w:tcMar>
            <w:vAlign w:val="center"/>
          </w:tcPr>
          <w:p>
            <w:r>
              <w:rPr>
                <w:sz w:val="17"/>
              </w:rPr>
              <w:t>Authenticated read/write operations for UI and integrations.</w:t>
            </w:r>
          </w:p>
        </w:tc>
      </w:tr>
    </w:tbl>
    <w:p/>
    <w:p>
      <w:pPr>
        <w:pStyle w:val="Heading1"/>
      </w:pPr>
      <w:r>
        <w:t>10. Data Model</w:t>
      </w:r>
    </w:p>
    <w:p>
      <w:pPr>
        <w:pStyle w:val="Heading2"/>
      </w:pPr>
      <w:r>
        <w:t>10.1 Core entities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Mar>
              <w:top w:w="120" w:type="dxa"/>
              <w:start w:w="100" w:type="dxa"/>
              <w:bottom w:w="120" w:type="dxa"/>
              <w:end w:w="100" w:type="dxa"/>
            </w:tcMar>
            <w:vAlign w:val="center"/>
          </w:tcPr>
          <w:p>
            <w:r>
              <w:rPr>
                <w:b/>
                <w:color w:val="FFFFFF"/>
                <w:sz w:val="18"/>
              </w:rPr>
              <w:t>Entity</w:t>
            </w:r>
          </w:p>
        </w:tc>
        <w:tc>
          <w:tcPr>
            <w:tcW w:type="dxa" w:w="7344"/>
            <w:shd w:fill="17324D"/>
            <w:tcMar>
              <w:top w:w="120" w:type="dxa"/>
              <w:start w:w="100" w:type="dxa"/>
              <w:bottom w:w="120" w:type="dxa"/>
              <w:end w:w="100" w:type="dxa"/>
            </w:tcMar>
            <w:vAlign w:val="center"/>
          </w:tcPr>
          <w:p>
            <w:r>
              <w:rPr>
                <w:b/>
                <w:color w:val="FFFFFF"/>
                <w:sz w:val="18"/>
              </w:rPr>
              <w:t>Key fields</w:t>
            </w:r>
          </w:p>
        </w:tc>
      </w:tr>
      <w:tr>
        <w:tc>
          <w:tcPr>
            <w:tcW w:type="dxa" w:w="2232"/>
            <w:tcMar>
              <w:top w:w="100" w:type="dxa"/>
              <w:start w:w="120" w:type="dxa"/>
              <w:bottom w:w="100" w:type="dxa"/>
              <w:end w:w="120" w:type="dxa"/>
            </w:tcMar>
            <w:vAlign w:val="center"/>
          </w:tcPr>
          <w:p>
            <w:r>
              <w:rPr>
                <w:sz w:val="17"/>
              </w:rPr>
              <w:t>users</w:t>
            </w:r>
          </w:p>
        </w:tc>
        <w:tc>
          <w:tcPr>
            <w:tcW w:type="dxa" w:w="7344"/>
            <w:tcMar>
              <w:top w:w="100" w:type="dxa"/>
              <w:start w:w="120" w:type="dxa"/>
              <w:bottom w:w="100" w:type="dxa"/>
              <w:end w:w="120" w:type="dxa"/>
            </w:tcMar>
            <w:vAlign w:val="center"/>
          </w:tcPr>
          <w:p>
            <w:r>
              <w:rPr>
                <w:sz w:val="17"/>
              </w:rPr>
              <w:t>id, email, role, timezone, policy_acceptances, created_at, last_login_at</w:t>
            </w:r>
          </w:p>
        </w:tc>
      </w:tr>
      <w:tr>
        <w:tc>
          <w:tcPr>
            <w:tcW w:type="dxa" w:w="2232"/>
            <w:tcMar>
              <w:top w:w="100" w:type="dxa"/>
              <w:start w:w="120" w:type="dxa"/>
              <w:bottom w:w="100" w:type="dxa"/>
              <w:end w:w="120" w:type="dxa"/>
            </w:tcMar>
            <w:vAlign w:val="center"/>
          </w:tcPr>
          <w:p>
            <w:r>
              <w:rPr>
                <w:sz w:val="17"/>
              </w:rPr>
              <w:t>companies</w:t>
            </w:r>
          </w:p>
        </w:tc>
        <w:tc>
          <w:tcPr>
            <w:tcW w:type="dxa" w:w="7344"/>
            <w:tcMar>
              <w:top w:w="100" w:type="dxa"/>
              <w:start w:w="120" w:type="dxa"/>
              <w:bottom w:w="100" w:type="dxa"/>
              <w:end w:w="120" w:type="dxa"/>
            </w:tcMar>
            <w:vAlign w:val="center"/>
          </w:tcPr>
          <w:p>
            <w:r>
              <w:rPr>
                <w:sz w:val="17"/>
              </w:rPr>
              <w:t>id, legal_name, display_name, cik, lei, sector, industry, website, status</w:t>
            </w:r>
          </w:p>
        </w:tc>
      </w:tr>
      <w:tr>
        <w:tc>
          <w:tcPr>
            <w:tcW w:type="dxa" w:w="2232"/>
            <w:tcMar>
              <w:top w:w="100" w:type="dxa"/>
              <w:start w:w="120" w:type="dxa"/>
              <w:bottom w:w="100" w:type="dxa"/>
              <w:end w:w="120" w:type="dxa"/>
            </w:tcMar>
            <w:vAlign w:val="center"/>
          </w:tcPr>
          <w:p>
            <w:r>
              <w:rPr>
                <w:sz w:val="17"/>
              </w:rPr>
              <w:t>securities</w:t>
            </w:r>
          </w:p>
        </w:tc>
        <w:tc>
          <w:tcPr>
            <w:tcW w:type="dxa" w:w="7344"/>
            <w:tcMar>
              <w:top w:w="100" w:type="dxa"/>
              <w:start w:w="120" w:type="dxa"/>
              <w:bottom w:w="100" w:type="dxa"/>
              <w:end w:w="120" w:type="dxa"/>
            </w:tcMar>
            <w:vAlign w:val="center"/>
          </w:tcPr>
          <w:p>
            <w:r>
              <w:rPr>
                <w:sz w:val="17"/>
              </w:rPr>
              <w:t>id, company_id, ticker, exchange, security_type, active, market_cap, avg_dollar_volume</w:t>
            </w:r>
          </w:p>
        </w:tc>
      </w:tr>
      <w:tr>
        <w:tc>
          <w:tcPr>
            <w:tcW w:type="dxa" w:w="2232"/>
            <w:tcMar>
              <w:top w:w="100" w:type="dxa"/>
              <w:start w:w="120" w:type="dxa"/>
              <w:bottom w:w="100" w:type="dxa"/>
              <w:end w:w="120" w:type="dxa"/>
            </w:tcMar>
            <w:vAlign w:val="center"/>
          </w:tcPr>
          <w:p>
            <w:r>
              <w:rPr>
                <w:sz w:val="17"/>
              </w:rPr>
              <w:t>sources</w:t>
            </w:r>
          </w:p>
        </w:tc>
        <w:tc>
          <w:tcPr>
            <w:tcW w:type="dxa" w:w="7344"/>
            <w:tcMar>
              <w:top w:w="100" w:type="dxa"/>
              <w:start w:w="120" w:type="dxa"/>
              <w:bottom w:w="100" w:type="dxa"/>
              <w:end w:w="120" w:type="dxa"/>
            </w:tcMar>
            <w:vAlign w:val="center"/>
          </w:tcPr>
          <w:p>
            <w:r>
              <w:rPr>
                <w:sz w:val="17"/>
              </w:rPr>
              <w:t>id, name, family, access_type, reliability_tier, legal_basis, terms_reviewed_at, enabled</w:t>
            </w:r>
          </w:p>
        </w:tc>
      </w:tr>
      <w:tr>
        <w:tc>
          <w:tcPr>
            <w:tcW w:type="dxa" w:w="2232"/>
            <w:tcMar>
              <w:top w:w="100" w:type="dxa"/>
              <w:start w:w="120" w:type="dxa"/>
              <w:bottom w:w="100" w:type="dxa"/>
              <w:end w:w="120" w:type="dxa"/>
            </w:tcMar>
            <w:vAlign w:val="center"/>
          </w:tcPr>
          <w:p>
            <w:r>
              <w:rPr>
                <w:sz w:val="17"/>
              </w:rPr>
              <w:t>documents</w:t>
            </w:r>
          </w:p>
        </w:tc>
        <w:tc>
          <w:tcPr>
            <w:tcW w:type="dxa" w:w="7344"/>
            <w:tcMar>
              <w:top w:w="100" w:type="dxa"/>
              <w:start w:w="120" w:type="dxa"/>
              <w:bottom w:w="100" w:type="dxa"/>
              <w:end w:w="120" w:type="dxa"/>
            </w:tcMar>
            <w:vAlign w:val="center"/>
          </w:tcPr>
          <w:p>
            <w:r>
              <w:rPr>
                <w:sz w:val="17"/>
              </w:rPr>
              <w:t>id, source_id, canonical_url, published_at, retrieved_at, content_hash, title, raw_object_key, text, language, parser_version</w:t>
            </w:r>
          </w:p>
        </w:tc>
      </w:tr>
      <w:tr>
        <w:tc>
          <w:tcPr>
            <w:tcW w:type="dxa" w:w="2232"/>
            <w:tcMar>
              <w:top w:w="100" w:type="dxa"/>
              <w:start w:w="120" w:type="dxa"/>
              <w:bottom w:w="100" w:type="dxa"/>
              <w:end w:w="120" w:type="dxa"/>
            </w:tcMar>
            <w:vAlign w:val="center"/>
          </w:tcPr>
          <w:p>
            <w:r>
              <w:rPr>
                <w:sz w:val="17"/>
              </w:rPr>
              <w:t>entities</w:t>
            </w:r>
          </w:p>
        </w:tc>
        <w:tc>
          <w:tcPr>
            <w:tcW w:type="dxa" w:w="7344"/>
            <w:tcMar>
              <w:top w:w="100" w:type="dxa"/>
              <w:start w:w="120" w:type="dxa"/>
              <w:bottom w:w="100" w:type="dxa"/>
              <w:end w:w="120" w:type="dxa"/>
            </w:tcMar>
            <w:vAlign w:val="center"/>
          </w:tcPr>
          <w:p>
            <w:r>
              <w:rPr>
                <w:sz w:val="17"/>
              </w:rPr>
              <w:t>id, entity_type, canonical_name, attributes_json</w:t>
            </w:r>
          </w:p>
        </w:tc>
      </w:tr>
      <w:tr>
        <w:tc>
          <w:tcPr>
            <w:tcW w:type="dxa" w:w="2232"/>
            <w:tcMar>
              <w:top w:w="100" w:type="dxa"/>
              <w:start w:w="120" w:type="dxa"/>
              <w:bottom w:w="100" w:type="dxa"/>
              <w:end w:w="120" w:type="dxa"/>
            </w:tcMar>
            <w:vAlign w:val="center"/>
          </w:tcPr>
          <w:p>
            <w:r>
              <w:rPr>
                <w:sz w:val="17"/>
              </w:rPr>
              <w:t>entity_aliases</w:t>
            </w:r>
          </w:p>
        </w:tc>
        <w:tc>
          <w:tcPr>
            <w:tcW w:type="dxa" w:w="7344"/>
            <w:tcMar>
              <w:top w:w="100" w:type="dxa"/>
              <w:start w:w="120" w:type="dxa"/>
              <w:bottom w:w="100" w:type="dxa"/>
              <w:end w:w="120" w:type="dxa"/>
            </w:tcMar>
            <w:vAlign w:val="center"/>
          </w:tcPr>
          <w:p>
            <w:r>
              <w:rPr>
                <w:sz w:val="17"/>
              </w:rPr>
              <w:t>id, entity_id, alias, normalized_alias, source_id</w:t>
            </w:r>
          </w:p>
        </w:tc>
      </w:tr>
      <w:tr>
        <w:tc>
          <w:tcPr>
            <w:tcW w:type="dxa" w:w="2232"/>
            <w:tcMar>
              <w:top w:w="100" w:type="dxa"/>
              <w:start w:w="120" w:type="dxa"/>
              <w:bottom w:w="100" w:type="dxa"/>
              <w:end w:w="120" w:type="dxa"/>
            </w:tcMar>
            <w:vAlign w:val="center"/>
          </w:tcPr>
          <w:p>
            <w:r>
              <w:rPr>
                <w:sz w:val="17"/>
              </w:rPr>
              <w:t>relationships</w:t>
            </w:r>
          </w:p>
        </w:tc>
        <w:tc>
          <w:tcPr>
            <w:tcW w:type="dxa" w:w="7344"/>
            <w:tcMar>
              <w:top w:w="100" w:type="dxa"/>
              <w:start w:w="120" w:type="dxa"/>
              <w:bottom w:w="100" w:type="dxa"/>
              <w:end w:w="120" w:type="dxa"/>
            </w:tcMar>
            <w:vAlign w:val="center"/>
          </w:tcPr>
          <w:p>
            <w:r>
              <w:rPr>
                <w:sz w:val="17"/>
              </w:rPr>
              <w:t>id, from_entity_id, to_entity_id, relationship_type, directness, confidence, materiality, valid_from, valid_to, evidence_id</w:t>
            </w:r>
          </w:p>
        </w:tc>
      </w:tr>
      <w:tr>
        <w:tc>
          <w:tcPr>
            <w:tcW w:type="dxa" w:w="2232"/>
            <w:tcMar>
              <w:top w:w="100" w:type="dxa"/>
              <w:start w:w="120" w:type="dxa"/>
              <w:bottom w:w="100" w:type="dxa"/>
              <w:end w:w="120" w:type="dxa"/>
            </w:tcMar>
            <w:vAlign w:val="center"/>
          </w:tcPr>
          <w:p>
            <w:r>
              <w:rPr>
                <w:sz w:val="17"/>
              </w:rPr>
              <w:t>evidence_items</w:t>
            </w:r>
          </w:p>
        </w:tc>
        <w:tc>
          <w:tcPr>
            <w:tcW w:type="dxa" w:w="7344"/>
            <w:tcMar>
              <w:top w:w="100" w:type="dxa"/>
              <w:start w:w="120" w:type="dxa"/>
              <w:bottom w:w="100" w:type="dxa"/>
              <w:end w:w="120" w:type="dxa"/>
            </w:tcMar>
            <w:vAlign w:val="center"/>
          </w:tcPr>
          <w:p>
            <w:r>
              <w:rPr>
                <w:sz w:val="17"/>
              </w:rPr>
              <w:t>id, document_id, excerpt, locator_json, evidence_type, quality_score, verified_by, verified_at</w:t>
            </w:r>
          </w:p>
        </w:tc>
      </w:tr>
      <w:tr>
        <w:tc>
          <w:tcPr>
            <w:tcW w:type="dxa" w:w="2232"/>
            <w:tcMar>
              <w:top w:w="100" w:type="dxa"/>
              <w:start w:w="120" w:type="dxa"/>
              <w:bottom w:w="100" w:type="dxa"/>
              <w:end w:w="120" w:type="dxa"/>
            </w:tcMar>
            <w:vAlign w:val="center"/>
          </w:tcPr>
          <w:p>
            <w:r>
              <w:rPr>
                <w:sz w:val="17"/>
              </w:rPr>
              <w:t>events</w:t>
            </w:r>
          </w:p>
        </w:tc>
        <w:tc>
          <w:tcPr>
            <w:tcW w:type="dxa" w:w="7344"/>
            <w:tcMar>
              <w:top w:w="100" w:type="dxa"/>
              <w:start w:w="120" w:type="dxa"/>
              <w:bottom w:w="100" w:type="dxa"/>
              <w:end w:w="120" w:type="dxa"/>
            </w:tcMar>
            <w:vAlign w:val="center"/>
          </w:tcPr>
          <w:p>
            <w:r>
              <w:rPr>
                <w:sz w:val="17"/>
              </w:rPr>
              <w:t>id, event_type, title, occurred_at, expected_at, status, geography, primary_entity_id</w:t>
            </w:r>
          </w:p>
        </w:tc>
      </w:tr>
      <w:tr>
        <w:tc>
          <w:tcPr>
            <w:tcW w:type="dxa" w:w="2232"/>
            <w:tcMar>
              <w:top w:w="100" w:type="dxa"/>
              <w:start w:w="120" w:type="dxa"/>
              <w:bottom w:w="100" w:type="dxa"/>
              <w:end w:w="120" w:type="dxa"/>
            </w:tcMar>
            <w:vAlign w:val="center"/>
          </w:tcPr>
          <w:p>
            <w:r>
              <w:rPr>
                <w:sz w:val="17"/>
              </w:rPr>
              <w:t>opportunities</w:t>
            </w:r>
          </w:p>
        </w:tc>
        <w:tc>
          <w:tcPr>
            <w:tcW w:type="dxa" w:w="7344"/>
            <w:tcMar>
              <w:top w:w="100" w:type="dxa"/>
              <w:start w:w="120" w:type="dxa"/>
              <w:bottom w:w="100" w:type="dxa"/>
              <w:end w:w="120" w:type="dxa"/>
            </w:tcMar>
            <w:vAlign w:val="center"/>
          </w:tcPr>
          <w:p>
            <w:r>
              <w:rPr>
                <w:sz w:val="17"/>
              </w:rPr>
              <w:t>id, security_id, event_id, title, summary, status, detected_at, published_at, confidence, reviewer_id</w:t>
            </w:r>
          </w:p>
        </w:tc>
      </w:tr>
      <w:tr>
        <w:tc>
          <w:tcPr>
            <w:tcW w:type="dxa" w:w="2232"/>
            <w:tcMar>
              <w:top w:w="100" w:type="dxa"/>
              <w:start w:w="120" w:type="dxa"/>
              <w:bottom w:w="100" w:type="dxa"/>
              <w:end w:w="120" w:type="dxa"/>
            </w:tcMar>
            <w:vAlign w:val="center"/>
          </w:tcPr>
          <w:p>
            <w:r>
              <w:rPr>
                <w:sz w:val="17"/>
              </w:rPr>
              <w:t>claims</w:t>
            </w:r>
          </w:p>
        </w:tc>
        <w:tc>
          <w:tcPr>
            <w:tcW w:type="dxa" w:w="7344"/>
            <w:tcMar>
              <w:top w:w="100" w:type="dxa"/>
              <w:start w:w="120" w:type="dxa"/>
              <w:bottom w:w="100" w:type="dxa"/>
              <w:end w:w="120" w:type="dxa"/>
            </w:tcMar>
            <w:vAlign w:val="center"/>
          </w:tcPr>
          <w:p>
            <w:r>
              <w:rPr>
                <w:sz w:val="17"/>
              </w:rPr>
              <w:t>id, opportunity_id, claim_type, text, confidence, evidence_item_id</w:t>
            </w:r>
          </w:p>
        </w:tc>
      </w:tr>
      <w:tr>
        <w:tc>
          <w:tcPr>
            <w:tcW w:type="dxa" w:w="2232"/>
            <w:tcMar>
              <w:top w:w="100" w:type="dxa"/>
              <w:start w:w="120" w:type="dxa"/>
              <w:bottom w:w="100" w:type="dxa"/>
              <w:end w:w="120" w:type="dxa"/>
            </w:tcMar>
            <w:vAlign w:val="center"/>
          </w:tcPr>
          <w:p>
            <w:r>
              <w:rPr>
                <w:sz w:val="17"/>
              </w:rPr>
              <w:t>scores</w:t>
            </w:r>
          </w:p>
        </w:tc>
        <w:tc>
          <w:tcPr>
            <w:tcW w:type="dxa" w:w="7344"/>
            <w:tcMar>
              <w:top w:w="100" w:type="dxa"/>
              <w:start w:w="120" w:type="dxa"/>
              <w:bottom w:w="100" w:type="dxa"/>
              <w:end w:w="120" w:type="dxa"/>
            </w:tcMar>
            <w:vAlign w:val="center"/>
          </w:tcPr>
          <w:p>
            <w:r>
              <w:rPr>
                <w:sz w:val="17"/>
              </w:rPr>
              <w:t>id, opportunity_id, score_type, value, factors_json, model_version, calculated_at, overridden_by</w:t>
            </w:r>
          </w:p>
        </w:tc>
      </w:tr>
      <w:tr>
        <w:tc>
          <w:tcPr>
            <w:tcW w:type="dxa" w:w="2232"/>
            <w:tcMar>
              <w:top w:w="100" w:type="dxa"/>
              <w:start w:w="120" w:type="dxa"/>
              <w:bottom w:w="100" w:type="dxa"/>
              <w:end w:w="120" w:type="dxa"/>
            </w:tcMar>
            <w:vAlign w:val="center"/>
          </w:tcPr>
          <w:p>
            <w:r>
              <w:rPr>
                <w:sz w:val="17"/>
              </w:rPr>
              <w:t>risks</w:t>
            </w:r>
          </w:p>
        </w:tc>
        <w:tc>
          <w:tcPr>
            <w:tcW w:type="dxa" w:w="7344"/>
            <w:tcMar>
              <w:top w:w="100" w:type="dxa"/>
              <w:start w:w="120" w:type="dxa"/>
              <w:bottom w:w="100" w:type="dxa"/>
              <w:end w:w="120" w:type="dxa"/>
            </w:tcMar>
            <w:vAlign w:val="center"/>
          </w:tcPr>
          <w:p>
            <w:r>
              <w:rPr>
                <w:sz w:val="17"/>
              </w:rPr>
              <w:t>id, opportunity_id, risk_type, severity, description, evidence_item_id</w:t>
            </w:r>
          </w:p>
        </w:tc>
      </w:tr>
      <w:tr>
        <w:tc>
          <w:tcPr>
            <w:tcW w:type="dxa" w:w="2232"/>
            <w:tcMar>
              <w:top w:w="100" w:type="dxa"/>
              <w:start w:w="120" w:type="dxa"/>
              <w:bottom w:w="100" w:type="dxa"/>
              <w:end w:w="120" w:type="dxa"/>
            </w:tcMar>
            <w:vAlign w:val="center"/>
          </w:tcPr>
          <w:p>
            <w:r>
              <w:rPr>
                <w:sz w:val="17"/>
              </w:rPr>
              <w:t>invalidation_rules</w:t>
            </w:r>
          </w:p>
        </w:tc>
        <w:tc>
          <w:tcPr>
            <w:tcW w:type="dxa" w:w="7344"/>
            <w:tcMar>
              <w:top w:w="100" w:type="dxa"/>
              <w:start w:w="120" w:type="dxa"/>
              <w:bottom w:w="100" w:type="dxa"/>
              <w:end w:w="120" w:type="dxa"/>
            </w:tcMar>
            <w:vAlign w:val="center"/>
          </w:tcPr>
          <w:p>
            <w:r>
              <w:rPr>
                <w:sz w:val="17"/>
              </w:rPr>
              <w:t>id, opportunity_id, rule_type, definition_json, status, triggered_at</w:t>
            </w:r>
          </w:p>
        </w:tc>
      </w:tr>
      <w:tr>
        <w:tc>
          <w:tcPr>
            <w:tcW w:type="dxa" w:w="2232"/>
            <w:tcMar>
              <w:top w:w="100" w:type="dxa"/>
              <w:start w:w="120" w:type="dxa"/>
              <w:bottom w:w="100" w:type="dxa"/>
              <w:end w:w="120" w:type="dxa"/>
            </w:tcMar>
            <w:vAlign w:val="center"/>
          </w:tcPr>
          <w:p>
            <w:r>
              <w:rPr>
                <w:sz w:val="17"/>
              </w:rPr>
              <w:t>watchlists</w:t>
            </w:r>
          </w:p>
        </w:tc>
        <w:tc>
          <w:tcPr>
            <w:tcW w:type="dxa" w:w="7344"/>
            <w:tcMar>
              <w:top w:w="100" w:type="dxa"/>
              <w:start w:w="120" w:type="dxa"/>
              <w:bottom w:w="100" w:type="dxa"/>
              <w:end w:w="120" w:type="dxa"/>
            </w:tcMar>
            <w:vAlign w:val="center"/>
          </w:tcPr>
          <w:p>
            <w:r>
              <w:rPr>
                <w:sz w:val="17"/>
              </w:rPr>
              <w:t>id, user_id, name, settings_json</w:t>
            </w:r>
          </w:p>
        </w:tc>
      </w:tr>
      <w:tr>
        <w:tc>
          <w:tcPr>
            <w:tcW w:type="dxa" w:w="2232"/>
            <w:tcMar>
              <w:top w:w="100" w:type="dxa"/>
              <w:start w:w="120" w:type="dxa"/>
              <w:bottom w:w="100" w:type="dxa"/>
              <w:end w:w="120" w:type="dxa"/>
            </w:tcMar>
            <w:vAlign w:val="center"/>
          </w:tcPr>
          <w:p>
            <w:r>
              <w:rPr>
                <w:sz w:val="17"/>
              </w:rPr>
              <w:t>watchlist_items</w:t>
            </w:r>
          </w:p>
        </w:tc>
        <w:tc>
          <w:tcPr>
            <w:tcW w:type="dxa" w:w="7344"/>
            <w:tcMar>
              <w:top w:w="100" w:type="dxa"/>
              <w:start w:w="120" w:type="dxa"/>
              <w:bottom w:w="100" w:type="dxa"/>
              <w:end w:w="120" w:type="dxa"/>
            </w:tcMar>
            <w:vAlign w:val="center"/>
          </w:tcPr>
          <w:p>
            <w:r>
              <w:rPr>
                <w:sz w:val="17"/>
              </w:rPr>
              <w:t>id, watchlist_id, entity_type, entity_id</w:t>
            </w:r>
          </w:p>
        </w:tc>
      </w:tr>
      <w:tr>
        <w:tc>
          <w:tcPr>
            <w:tcW w:type="dxa" w:w="2232"/>
            <w:tcMar>
              <w:top w:w="100" w:type="dxa"/>
              <w:start w:w="120" w:type="dxa"/>
              <w:bottom w:w="100" w:type="dxa"/>
              <w:end w:w="120" w:type="dxa"/>
            </w:tcMar>
            <w:vAlign w:val="center"/>
          </w:tcPr>
          <w:p>
            <w:r>
              <w:rPr>
                <w:sz w:val="17"/>
              </w:rPr>
              <w:t>alert_rules</w:t>
            </w:r>
          </w:p>
        </w:tc>
        <w:tc>
          <w:tcPr>
            <w:tcW w:type="dxa" w:w="7344"/>
            <w:tcMar>
              <w:top w:w="100" w:type="dxa"/>
              <w:start w:w="120" w:type="dxa"/>
              <w:bottom w:w="100" w:type="dxa"/>
              <w:end w:w="120" w:type="dxa"/>
            </w:tcMar>
            <w:vAlign w:val="center"/>
          </w:tcPr>
          <w:p>
            <w:r>
              <w:rPr>
                <w:sz w:val="17"/>
              </w:rPr>
              <w:t>id, user_id, watchlist_id, channel, thresholds_json, cadence, enabled</w:t>
            </w:r>
          </w:p>
        </w:tc>
      </w:tr>
      <w:tr>
        <w:tc>
          <w:tcPr>
            <w:tcW w:type="dxa" w:w="2232"/>
            <w:tcMar>
              <w:top w:w="100" w:type="dxa"/>
              <w:start w:w="120" w:type="dxa"/>
              <w:bottom w:w="100" w:type="dxa"/>
              <w:end w:w="120" w:type="dxa"/>
            </w:tcMar>
            <w:vAlign w:val="center"/>
          </w:tcPr>
          <w:p>
            <w:r>
              <w:rPr>
                <w:sz w:val="17"/>
              </w:rPr>
              <w:t>notifications</w:t>
            </w:r>
          </w:p>
        </w:tc>
        <w:tc>
          <w:tcPr>
            <w:tcW w:type="dxa" w:w="7344"/>
            <w:tcMar>
              <w:top w:w="100" w:type="dxa"/>
              <w:start w:w="120" w:type="dxa"/>
              <w:bottom w:w="100" w:type="dxa"/>
              <w:end w:w="120" w:type="dxa"/>
            </w:tcMar>
            <w:vAlign w:val="center"/>
          </w:tcPr>
          <w:p>
            <w:r>
              <w:rPr>
                <w:sz w:val="17"/>
              </w:rPr>
              <w:t>id, user_id, opportunity_id, type, status, idempotency_key, sent_at</w:t>
            </w:r>
          </w:p>
        </w:tc>
      </w:tr>
      <w:tr>
        <w:tc>
          <w:tcPr>
            <w:tcW w:type="dxa" w:w="2232"/>
            <w:tcMar>
              <w:top w:w="100" w:type="dxa"/>
              <w:start w:w="120" w:type="dxa"/>
              <w:bottom w:w="100" w:type="dxa"/>
              <w:end w:w="120" w:type="dxa"/>
            </w:tcMar>
            <w:vAlign w:val="center"/>
          </w:tcPr>
          <w:p>
            <w:r>
              <w:rPr>
                <w:sz w:val="17"/>
              </w:rPr>
              <w:t>review_actions</w:t>
            </w:r>
          </w:p>
        </w:tc>
        <w:tc>
          <w:tcPr>
            <w:tcW w:type="dxa" w:w="7344"/>
            <w:tcMar>
              <w:top w:w="100" w:type="dxa"/>
              <w:start w:w="120" w:type="dxa"/>
              <w:bottom w:w="100" w:type="dxa"/>
              <w:end w:w="120" w:type="dxa"/>
            </w:tcMar>
            <w:vAlign w:val="center"/>
          </w:tcPr>
          <w:p>
            <w:r>
              <w:rPr>
                <w:sz w:val="17"/>
              </w:rPr>
              <w:t>id, opportunity_id, actor_id, action, before_json, after_json, reason, created_at</w:t>
            </w:r>
          </w:p>
        </w:tc>
      </w:tr>
      <w:tr>
        <w:tc>
          <w:tcPr>
            <w:tcW w:type="dxa" w:w="2232"/>
            <w:tcMar>
              <w:top w:w="100" w:type="dxa"/>
              <w:start w:w="120" w:type="dxa"/>
              <w:bottom w:w="100" w:type="dxa"/>
              <w:end w:w="120" w:type="dxa"/>
            </w:tcMar>
            <w:vAlign w:val="center"/>
          </w:tcPr>
          <w:p>
            <w:r>
              <w:rPr>
                <w:sz w:val="17"/>
              </w:rPr>
              <w:t>ingestion_runs</w:t>
            </w:r>
          </w:p>
        </w:tc>
        <w:tc>
          <w:tcPr>
            <w:tcW w:type="dxa" w:w="7344"/>
            <w:tcMar>
              <w:top w:w="100" w:type="dxa"/>
              <w:start w:w="120" w:type="dxa"/>
              <w:bottom w:w="100" w:type="dxa"/>
              <w:end w:w="120" w:type="dxa"/>
            </w:tcMar>
            <w:vAlign w:val="center"/>
          </w:tcPr>
          <w:p>
            <w:r>
              <w:rPr>
                <w:sz w:val="17"/>
              </w:rPr>
              <w:t>id, source_id, status, cursor_json, counts_json, started_at, completed_at, error_json</w:t>
            </w:r>
          </w:p>
        </w:tc>
      </w:tr>
    </w:tbl>
    <w:p/>
    <w:p>
      <w:pPr>
        <w:pStyle w:val="Heading2"/>
      </w:pPr>
      <w:r>
        <w:t>10.2 Required indexes</w:t>
      </w:r>
    </w:p>
    <w:p>
      <w:pPr>
        <w:pStyle w:val="ListBullet"/>
      </w:pPr>
      <w:r>
        <w:t>Unique: securities(exchange, ticker), companies(cik) where not null, documents(content_hash), notifications(idempotency_key).</w:t>
      </w:r>
    </w:p>
    <w:p>
      <w:pPr>
        <w:pStyle w:val="ListBullet"/>
      </w:pPr>
      <w:r>
        <w:t>B-tree: opportunities(status, published_at), events(expected_at), documents(published_at), scores(opportunity_id, score_type).</w:t>
      </w:r>
    </w:p>
    <w:p>
      <w:pPr>
        <w:pStyle w:val="ListBullet"/>
      </w:pPr>
      <w:r>
        <w:t>GIN: documents text search, JSONB factor metadata where needed, vector index for document embeddings.</w:t>
      </w:r>
    </w:p>
    <w:p>
      <w:pPr>
        <w:pStyle w:val="ListBullet"/>
      </w:pPr>
      <w:r>
        <w:t>Trigram or normalized alias index for company/entity resolution.</w:t>
      </w:r>
    </w:p>
    <w:p>
      <w:pPr>
        <w:pStyle w:val="Heading1"/>
      </w:pPr>
      <w:r>
        <w:t>11. API Contract</w:t>
      </w:r>
    </w:p>
    <w:p>
      <w:pPr>
        <w:pStyle w:val="Heading2"/>
      </w:pPr>
      <w:r>
        <w:t>11.1 Public application endpoints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7324D"/>
            <w:tcMar>
              <w:top w:w="120" w:type="dxa"/>
              <w:start w:w="100" w:type="dxa"/>
              <w:bottom w:w="120" w:type="dxa"/>
              <w:end w:w="100" w:type="dxa"/>
            </w:tcMar>
            <w:vAlign w:val="center"/>
          </w:tcPr>
          <w:p>
            <w:r>
              <w:rPr>
                <w:b/>
                <w:color w:val="FFFFFF"/>
                <w:sz w:val="18"/>
              </w:rPr>
              <w:t>Method</w:t>
            </w:r>
          </w:p>
        </w:tc>
        <w:tc>
          <w:tcPr>
            <w:tcW w:type="dxa" w:w="3240"/>
            <w:shd w:fill="17324D"/>
            <w:tcMar>
              <w:top w:w="120" w:type="dxa"/>
              <w:start w:w="100" w:type="dxa"/>
              <w:bottom w:w="120" w:type="dxa"/>
              <w:end w:w="100" w:type="dxa"/>
            </w:tcMar>
            <w:vAlign w:val="center"/>
          </w:tcPr>
          <w:p>
            <w:r>
              <w:rPr>
                <w:b/>
                <w:color w:val="FFFFFF"/>
                <w:sz w:val="18"/>
              </w:rPr>
              <w:t>Endpoint</w:t>
            </w:r>
          </w:p>
        </w:tc>
        <w:tc>
          <w:tcPr>
            <w:tcW w:type="dxa" w:w="5400"/>
            <w:shd w:fill="17324D"/>
            <w:tcMar>
              <w:top w:w="120" w:type="dxa"/>
              <w:start w:w="100" w:type="dxa"/>
              <w:bottom w:w="120" w:type="dxa"/>
              <w:end w:w="100" w:type="dxa"/>
            </w:tcMar>
            <w:vAlign w:val="center"/>
          </w:tcPr>
          <w:p>
            <w:r>
              <w:rPr>
                <w:b/>
                <w:color w:val="FFFFFF"/>
                <w:sz w:val="18"/>
              </w:rPr>
              <w:t>Purpose</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/api/opportunities</w:t>
            </w:r>
          </w:p>
        </w:tc>
        <w:tc>
          <w:tcPr>
            <w:tcW w:type="dxa" w:w="5400"/>
            <w:tcMar>
              <w:top w:w="100" w:type="dxa"/>
              <w:start w:w="120" w:type="dxa"/>
              <w:bottom w:w="100" w:type="dxa"/>
              <w:end w:w="120" w:type="dxa"/>
            </w:tcMar>
            <w:vAlign w:val="center"/>
          </w:tcPr>
          <w:p>
            <w:r>
              <w:rPr>
                <w:sz w:val="17"/>
              </w:rPr>
              <w:t>Paginated feed with filters and sort.</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/api/opportunities/:id</w:t>
            </w:r>
          </w:p>
        </w:tc>
        <w:tc>
          <w:tcPr>
            <w:tcW w:type="dxa" w:w="5400"/>
            <w:tcMar>
              <w:top w:w="100" w:type="dxa"/>
              <w:start w:w="120" w:type="dxa"/>
              <w:bottom w:w="100" w:type="dxa"/>
              <w:end w:w="120" w:type="dxa"/>
            </w:tcMar>
            <w:vAlign w:val="center"/>
          </w:tcPr>
          <w:p>
            <w:r>
              <w:rPr>
                <w:sz w:val="17"/>
              </w:rPr>
              <w:t>Opportunity detail including claims, scores, risks, evidence, relationships.</w:t>
            </w:r>
          </w:p>
        </w:tc>
      </w:tr>
      <w:tr>
        <w:tc>
          <w:tcPr>
            <w:tcW w:type="dxa" w:w="936"/>
            <w:tcMar>
              <w:top w:w="100" w:type="dxa"/>
              <w:start w:w="120" w:type="dxa"/>
              <w:bottom w:w="100" w:type="dxa"/>
              <w:end w:w="120" w:type="dxa"/>
            </w:tcMar>
            <w:vAlign w:val="center"/>
          </w:tcPr>
          <w:p>
            <w:r>
              <w:rPr>
                <w:sz w:val="17"/>
              </w:rPr>
              <w:t>POST</w:t>
            </w:r>
          </w:p>
        </w:tc>
        <w:tc>
          <w:tcPr>
            <w:tcW w:type="dxa" w:w="3240"/>
            <w:tcMar>
              <w:top w:w="100" w:type="dxa"/>
              <w:start w:w="120" w:type="dxa"/>
              <w:bottom w:w="100" w:type="dxa"/>
              <w:end w:w="120" w:type="dxa"/>
            </w:tcMar>
            <w:vAlign w:val="center"/>
          </w:tcPr>
          <w:p>
            <w:r>
              <w:rPr>
                <w:sz w:val="17"/>
              </w:rPr>
              <w:t>/api/opportunities/:id/save</w:t>
            </w:r>
          </w:p>
        </w:tc>
        <w:tc>
          <w:tcPr>
            <w:tcW w:type="dxa" w:w="5400"/>
            <w:tcMar>
              <w:top w:w="100" w:type="dxa"/>
              <w:start w:w="120" w:type="dxa"/>
              <w:bottom w:w="100" w:type="dxa"/>
              <w:end w:w="120" w:type="dxa"/>
            </w:tcMar>
            <w:vAlign w:val="center"/>
          </w:tcPr>
          <w:p>
            <w:r>
              <w:rPr>
                <w:sz w:val="17"/>
              </w:rPr>
              <w:t>Save to user research list.</w:t>
            </w:r>
          </w:p>
        </w:tc>
      </w:tr>
      <w:tr>
        <w:tc>
          <w:tcPr>
            <w:tcW w:type="dxa" w:w="936"/>
            <w:tcMar>
              <w:top w:w="100" w:type="dxa"/>
              <w:start w:w="120" w:type="dxa"/>
              <w:bottom w:w="100" w:type="dxa"/>
              <w:end w:w="120" w:type="dxa"/>
            </w:tcMar>
            <w:vAlign w:val="center"/>
          </w:tcPr>
          <w:p>
            <w:r>
              <w:rPr>
                <w:sz w:val="17"/>
              </w:rPr>
              <w:t>POST</w:t>
            </w:r>
          </w:p>
        </w:tc>
        <w:tc>
          <w:tcPr>
            <w:tcW w:type="dxa" w:w="3240"/>
            <w:tcMar>
              <w:top w:w="100" w:type="dxa"/>
              <w:start w:w="120" w:type="dxa"/>
              <w:bottom w:w="100" w:type="dxa"/>
              <w:end w:w="120" w:type="dxa"/>
            </w:tcMar>
            <w:vAlign w:val="center"/>
          </w:tcPr>
          <w:p>
            <w:r>
              <w:rPr>
                <w:sz w:val="17"/>
              </w:rPr>
              <w:t>/api/opportunities/:id/feedback</w:t>
            </w:r>
          </w:p>
        </w:tc>
        <w:tc>
          <w:tcPr>
            <w:tcW w:type="dxa" w:w="5400"/>
            <w:tcMar>
              <w:top w:w="100" w:type="dxa"/>
              <w:start w:w="120" w:type="dxa"/>
              <w:bottom w:w="100" w:type="dxa"/>
              <w:end w:w="120" w:type="dxa"/>
            </w:tcMar>
            <w:vAlign w:val="center"/>
          </w:tcPr>
          <w:p>
            <w:r>
              <w:rPr>
                <w:sz w:val="17"/>
              </w:rPr>
              <w:t>Submit useful/not useful/incorrect feedback.</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/api/companies/:ticker</w:t>
            </w:r>
          </w:p>
        </w:tc>
        <w:tc>
          <w:tcPr>
            <w:tcW w:type="dxa" w:w="5400"/>
            <w:tcMar>
              <w:top w:w="100" w:type="dxa"/>
              <w:start w:w="120" w:type="dxa"/>
              <w:bottom w:w="100" w:type="dxa"/>
              <w:end w:w="120" w:type="dxa"/>
            </w:tcMar>
            <w:vAlign w:val="center"/>
          </w:tcPr>
          <w:p>
            <w:r>
              <w:rPr>
                <w:sz w:val="17"/>
              </w:rPr>
              <w:t>Company profile and active opportunities.</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/api/search</w:t>
            </w:r>
          </w:p>
        </w:tc>
        <w:tc>
          <w:tcPr>
            <w:tcW w:type="dxa" w:w="5400"/>
            <w:tcMar>
              <w:top w:w="100" w:type="dxa"/>
              <w:start w:w="120" w:type="dxa"/>
              <w:bottom w:w="100" w:type="dxa"/>
              <w:end w:w="120" w:type="dxa"/>
            </w:tcMar>
            <w:vAlign w:val="center"/>
          </w:tcPr>
          <w:p>
            <w:r>
              <w:rPr>
                <w:sz w:val="17"/>
              </w:rPr>
              <w:t>Typed global search.</w:t>
            </w:r>
          </w:p>
        </w:tc>
      </w:tr>
      <w:tr>
        <w:tc>
          <w:tcPr>
            <w:tcW w:type="dxa" w:w="936"/>
            <w:tcMar>
              <w:top w:w="100" w:type="dxa"/>
              <w:start w:w="120" w:type="dxa"/>
              <w:bottom w:w="100" w:type="dxa"/>
              <w:end w:w="120" w:type="dxa"/>
            </w:tcMar>
            <w:vAlign w:val="center"/>
          </w:tcPr>
          <w:p>
            <w:r>
              <w:rPr>
                <w:sz w:val="17"/>
              </w:rPr>
              <w:t>GET/POST</w:t>
            </w:r>
          </w:p>
        </w:tc>
        <w:tc>
          <w:tcPr>
            <w:tcW w:type="dxa" w:w="3240"/>
            <w:tcMar>
              <w:top w:w="100" w:type="dxa"/>
              <w:start w:w="120" w:type="dxa"/>
              <w:bottom w:w="100" w:type="dxa"/>
              <w:end w:w="120" w:type="dxa"/>
            </w:tcMar>
            <w:vAlign w:val="center"/>
          </w:tcPr>
          <w:p>
            <w:r>
              <w:rPr>
                <w:sz w:val="17"/>
              </w:rPr>
              <w:t>/api/watchlists</w:t>
            </w:r>
          </w:p>
        </w:tc>
        <w:tc>
          <w:tcPr>
            <w:tcW w:type="dxa" w:w="5400"/>
            <w:tcMar>
              <w:top w:w="100" w:type="dxa"/>
              <w:start w:w="120" w:type="dxa"/>
              <w:bottom w:w="100" w:type="dxa"/>
              <w:end w:w="120" w:type="dxa"/>
            </w:tcMar>
            <w:vAlign w:val="center"/>
          </w:tcPr>
          <w:p>
            <w:r>
              <w:rPr>
                <w:sz w:val="17"/>
              </w:rPr>
              <w:t>List or create watchlists.</w:t>
            </w:r>
          </w:p>
        </w:tc>
      </w:tr>
      <w:tr>
        <w:tc>
          <w:tcPr>
            <w:tcW w:type="dxa" w:w="936"/>
            <w:tcMar>
              <w:top w:w="100" w:type="dxa"/>
              <w:start w:w="120" w:type="dxa"/>
              <w:bottom w:w="100" w:type="dxa"/>
              <w:end w:w="120" w:type="dxa"/>
            </w:tcMar>
            <w:vAlign w:val="center"/>
          </w:tcPr>
          <w:p>
            <w:r>
              <w:rPr>
                <w:sz w:val="17"/>
              </w:rPr>
              <w:t>PATCH/DELETE</w:t>
            </w:r>
          </w:p>
        </w:tc>
        <w:tc>
          <w:tcPr>
            <w:tcW w:type="dxa" w:w="3240"/>
            <w:tcMar>
              <w:top w:w="100" w:type="dxa"/>
              <w:start w:w="120" w:type="dxa"/>
              <w:bottom w:w="100" w:type="dxa"/>
              <w:end w:w="120" w:type="dxa"/>
            </w:tcMar>
            <w:vAlign w:val="center"/>
          </w:tcPr>
          <w:p>
            <w:r>
              <w:rPr>
                <w:sz w:val="17"/>
              </w:rPr>
              <w:t>/api/watchlists/:id</w:t>
            </w:r>
          </w:p>
        </w:tc>
        <w:tc>
          <w:tcPr>
            <w:tcW w:type="dxa" w:w="5400"/>
            <w:tcMar>
              <w:top w:w="100" w:type="dxa"/>
              <w:start w:w="120" w:type="dxa"/>
              <w:bottom w:w="100" w:type="dxa"/>
              <w:end w:w="120" w:type="dxa"/>
            </w:tcMar>
            <w:vAlign w:val="center"/>
          </w:tcPr>
          <w:p>
            <w:r>
              <w:rPr>
                <w:sz w:val="17"/>
              </w:rPr>
              <w:t>Update or delete watchlist.</w:t>
            </w:r>
          </w:p>
        </w:tc>
      </w:tr>
      <w:tr>
        <w:tc>
          <w:tcPr>
            <w:tcW w:type="dxa" w:w="936"/>
            <w:tcMar>
              <w:top w:w="100" w:type="dxa"/>
              <w:start w:w="120" w:type="dxa"/>
              <w:bottom w:w="100" w:type="dxa"/>
              <w:end w:w="120" w:type="dxa"/>
            </w:tcMar>
            <w:vAlign w:val="center"/>
          </w:tcPr>
          <w:p>
            <w:r>
              <w:rPr>
                <w:sz w:val="17"/>
              </w:rPr>
              <w:t>POST</w:t>
            </w:r>
          </w:p>
        </w:tc>
        <w:tc>
          <w:tcPr>
            <w:tcW w:type="dxa" w:w="3240"/>
            <w:tcMar>
              <w:top w:w="100" w:type="dxa"/>
              <w:start w:w="120" w:type="dxa"/>
              <w:bottom w:w="100" w:type="dxa"/>
              <w:end w:w="120" w:type="dxa"/>
            </w:tcMar>
            <w:vAlign w:val="center"/>
          </w:tcPr>
          <w:p>
            <w:r>
              <w:rPr>
                <w:sz w:val="17"/>
              </w:rPr>
              <w:t>/api/watchlists/:id/items</w:t>
            </w:r>
          </w:p>
        </w:tc>
        <w:tc>
          <w:tcPr>
            <w:tcW w:type="dxa" w:w="5400"/>
            <w:tcMar>
              <w:top w:w="100" w:type="dxa"/>
              <w:start w:w="120" w:type="dxa"/>
              <w:bottom w:w="100" w:type="dxa"/>
              <w:end w:w="120" w:type="dxa"/>
            </w:tcMar>
            <w:vAlign w:val="center"/>
          </w:tcPr>
          <w:p>
            <w:r>
              <w:rPr>
                <w:sz w:val="17"/>
              </w:rPr>
              <w:t>Add entity to watchlist.</w:t>
            </w:r>
          </w:p>
        </w:tc>
      </w:tr>
      <w:tr>
        <w:tc>
          <w:tcPr>
            <w:tcW w:type="dxa" w:w="936"/>
            <w:tcMar>
              <w:top w:w="100" w:type="dxa"/>
              <w:start w:w="120" w:type="dxa"/>
              <w:bottom w:w="100" w:type="dxa"/>
              <w:end w:w="120" w:type="dxa"/>
            </w:tcMar>
            <w:vAlign w:val="center"/>
          </w:tcPr>
          <w:p>
            <w:r>
              <w:rPr>
                <w:sz w:val="17"/>
              </w:rPr>
              <w:t>DELETE</w:t>
            </w:r>
          </w:p>
        </w:tc>
        <w:tc>
          <w:tcPr>
            <w:tcW w:type="dxa" w:w="3240"/>
            <w:tcMar>
              <w:top w:w="100" w:type="dxa"/>
              <w:start w:w="120" w:type="dxa"/>
              <w:bottom w:w="100" w:type="dxa"/>
              <w:end w:w="120" w:type="dxa"/>
            </w:tcMar>
            <w:vAlign w:val="center"/>
          </w:tcPr>
          <w:p>
            <w:r>
              <w:rPr>
                <w:sz w:val="17"/>
              </w:rPr>
              <w:t>/api/watchlists/:id/items/:itemId</w:t>
            </w:r>
          </w:p>
        </w:tc>
        <w:tc>
          <w:tcPr>
            <w:tcW w:type="dxa" w:w="5400"/>
            <w:tcMar>
              <w:top w:w="100" w:type="dxa"/>
              <w:start w:w="120" w:type="dxa"/>
              <w:bottom w:w="100" w:type="dxa"/>
              <w:end w:w="120" w:type="dxa"/>
            </w:tcMar>
            <w:vAlign w:val="center"/>
          </w:tcPr>
          <w:p>
            <w:r>
              <w:rPr>
                <w:sz w:val="17"/>
              </w:rPr>
              <w:t>Remove item.</w:t>
            </w:r>
          </w:p>
        </w:tc>
      </w:tr>
      <w:tr>
        <w:tc>
          <w:tcPr>
            <w:tcW w:type="dxa" w:w="936"/>
            <w:tcMar>
              <w:top w:w="100" w:type="dxa"/>
              <w:start w:w="120" w:type="dxa"/>
              <w:bottom w:w="100" w:type="dxa"/>
              <w:end w:w="120" w:type="dxa"/>
            </w:tcMar>
            <w:vAlign w:val="center"/>
          </w:tcPr>
          <w:p>
            <w:r>
              <w:rPr>
                <w:sz w:val="17"/>
              </w:rPr>
              <w:t>GET/PATCH</w:t>
            </w:r>
          </w:p>
        </w:tc>
        <w:tc>
          <w:tcPr>
            <w:tcW w:type="dxa" w:w="3240"/>
            <w:tcMar>
              <w:top w:w="100" w:type="dxa"/>
              <w:start w:w="120" w:type="dxa"/>
              <w:bottom w:w="100" w:type="dxa"/>
              <w:end w:w="120" w:type="dxa"/>
            </w:tcMar>
            <w:vAlign w:val="center"/>
          </w:tcPr>
          <w:p>
            <w:r>
              <w:rPr>
                <w:sz w:val="17"/>
              </w:rPr>
              <w:t>/api/settings</w:t>
            </w:r>
          </w:p>
        </w:tc>
        <w:tc>
          <w:tcPr>
            <w:tcW w:type="dxa" w:w="5400"/>
            <w:tcMar>
              <w:top w:w="100" w:type="dxa"/>
              <w:start w:w="120" w:type="dxa"/>
              <w:bottom w:w="100" w:type="dxa"/>
              <w:end w:w="120" w:type="dxa"/>
            </w:tcMar>
            <w:vAlign w:val="center"/>
          </w:tcPr>
          <w:p>
            <w:r>
              <w:rPr>
                <w:sz w:val="17"/>
              </w:rPr>
              <w:t>Read or update user settings.</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/api/methodology</w:t>
            </w:r>
          </w:p>
        </w:tc>
        <w:tc>
          <w:tcPr>
            <w:tcW w:type="dxa" w:w="5400"/>
            <w:tcMar>
              <w:top w:w="100" w:type="dxa"/>
              <w:start w:w="120" w:type="dxa"/>
              <w:bottom w:w="100" w:type="dxa"/>
              <w:end w:w="120" w:type="dxa"/>
            </w:tcMar>
            <w:vAlign w:val="center"/>
          </w:tcPr>
          <w:p>
            <w:r>
              <w:rPr>
                <w:sz w:val="17"/>
              </w:rPr>
              <w:t>Current score definitions and model versions.</w:t>
            </w:r>
          </w:p>
        </w:tc>
      </w:tr>
    </w:tbl>
    <w:p/>
    <w:p>
      <w:pPr>
        <w:pStyle w:val="Heading2"/>
      </w:pPr>
      <w:r>
        <w:t>11.2 Admin endpoints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936"/>
            <w:shd w:fill="17324D"/>
            <w:tcMar>
              <w:top w:w="120" w:type="dxa"/>
              <w:start w:w="100" w:type="dxa"/>
              <w:bottom w:w="120" w:type="dxa"/>
              <w:end w:w="100" w:type="dxa"/>
            </w:tcMar>
            <w:vAlign w:val="center"/>
          </w:tcPr>
          <w:p>
            <w:r>
              <w:rPr>
                <w:b/>
                <w:color w:val="FFFFFF"/>
                <w:sz w:val="18"/>
              </w:rPr>
              <w:t>Method</w:t>
            </w:r>
          </w:p>
        </w:tc>
        <w:tc>
          <w:tcPr>
            <w:tcW w:type="dxa" w:w="3240"/>
            <w:shd w:fill="17324D"/>
            <w:tcMar>
              <w:top w:w="120" w:type="dxa"/>
              <w:start w:w="100" w:type="dxa"/>
              <w:bottom w:w="120" w:type="dxa"/>
              <w:end w:w="100" w:type="dxa"/>
            </w:tcMar>
            <w:vAlign w:val="center"/>
          </w:tcPr>
          <w:p>
            <w:r>
              <w:rPr>
                <w:b/>
                <w:color w:val="FFFFFF"/>
                <w:sz w:val="18"/>
              </w:rPr>
              <w:t>Endpoint</w:t>
            </w:r>
          </w:p>
        </w:tc>
        <w:tc>
          <w:tcPr>
            <w:tcW w:type="dxa" w:w="5400"/>
            <w:shd w:fill="17324D"/>
            <w:tcMar>
              <w:top w:w="120" w:type="dxa"/>
              <w:start w:w="100" w:type="dxa"/>
              <w:bottom w:w="120" w:type="dxa"/>
              <w:end w:w="100" w:type="dxa"/>
            </w:tcMar>
            <w:vAlign w:val="center"/>
          </w:tcPr>
          <w:p>
            <w:r>
              <w:rPr>
                <w:b/>
                <w:color w:val="FFFFFF"/>
                <w:sz w:val="18"/>
              </w:rPr>
              <w:t>Purpose</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/api/admin/review</w:t>
            </w:r>
          </w:p>
        </w:tc>
        <w:tc>
          <w:tcPr>
            <w:tcW w:type="dxa" w:w="5400"/>
            <w:tcMar>
              <w:top w:w="100" w:type="dxa"/>
              <w:start w:w="120" w:type="dxa"/>
              <w:bottom w:w="100" w:type="dxa"/>
              <w:end w:w="120" w:type="dxa"/>
            </w:tcMar>
            <w:vAlign w:val="center"/>
          </w:tcPr>
          <w:p>
            <w:r>
              <w:rPr>
                <w:sz w:val="17"/>
              </w:rPr>
              <w:t>Candidate review queue.</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/api/admin/review/:id</w:t>
            </w:r>
          </w:p>
        </w:tc>
        <w:tc>
          <w:tcPr>
            <w:tcW w:type="dxa" w:w="5400"/>
            <w:tcMar>
              <w:top w:w="100" w:type="dxa"/>
              <w:start w:w="120" w:type="dxa"/>
              <w:bottom w:w="100" w:type="dxa"/>
              <w:end w:w="120" w:type="dxa"/>
            </w:tcMar>
            <w:vAlign w:val="center"/>
          </w:tcPr>
          <w:p>
            <w:r>
              <w:rPr>
                <w:sz w:val="17"/>
              </w:rPr>
              <w:t>Full candidate packet.</w:t>
            </w:r>
          </w:p>
        </w:tc>
      </w:tr>
      <w:tr>
        <w:tc>
          <w:tcPr>
            <w:tcW w:type="dxa" w:w="936"/>
            <w:tcMar>
              <w:top w:w="100" w:type="dxa"/>
              <w:start w:w="120" w:type="dxa"/>
              <w:bottom w:w="100" w:type="dxa"/>
              <w:end w:w="120" w:type="dxa"/>
            </w:tcMar>
            <w:vAlign w:val="center"/>
          </w:tcPr>
          <w:p>
            <w:r>
              <w:rPr>
                <w:sz w:val="17"/>
              </w:rPr>
              <w:t>POST</w:t>
            </w:r>
          </w:p>
        </w:tc>
        <w:tc>
          <w:tcPr>
            <w:tcW w:type="dxa" w:w="3240"/>
            <w:tcMar>
              <w:top w:w="100" w:type="dxa"/>
              <w:start w:w="120" w:type="dxa"/>
              <w:bottom w:w="100" w:type="dxa"/>
              <w:end w:w="120" w:type="dxa"/>
            </w:tcMar>
            <w:vAlign w:val="center"/>
          </w:tcPr>
          <w:p>
            <w:r>
              <w:rPr>
                <w:sz w:val="17"/>
              </w:rPr>
              <w:t>/api/admin/review/:id/approve</w:t>
            </w:r>
          </w:p>
        </w:tc>
        <w:tc>
          <w:tcPr>
            <w:tcW w:type="dxa" w:w="5400"/>
            <w:tcMar>
              <w:top w:w="100" w:type="dxa"/>
              <w:start w:w="120" w:type="dxa"/>
              <w:bottom w:w="100" w:type="dxa"/>
              <w:end w:w="120" w:type="dxa"/>
            </w:tcMar>
            <w:vAlign w:val="center"/>
          </w:tcPr>
          <w:p>
            <w:r>
              <w:rPr>
                <w:sz w:val="17"/>
              </w:rPr>
              <w:t>Approve and optionally publish.</w:t>
            </w:r>
          </w:p>
        </w:tc>
      </w:tr>
      <w:tr>
        <w:tc>
          <w:tcPr>
            <w:tcW w:type="dxa" w:w="936"/>
            <w:tcMar>
              <w:top w:w="100" w:type="dxa"/>
              <w:start w:w="120" w:type="dxa"/>
              <w:bottom w:w="100" w:type="dxa"/>
              <w:end w:w="120" w:type="dxa"/>
            </w:tcMar>
            <w:vAlign w:val="center"/>
          </w:tcPr>
          <w:p>
            <w:r>
              <w:rPr>
                <w:sz w:val="17"/>
              </w:rPr>
              <w:t>POST</w:t>
            </w:r>
          </w:p>
        </w:tc>
        <w:tc>
          <w:tcPr>
            <w:tcW w:type="dxa" w:w="3240"/>
            <w:tcMar>
              <w:top w:w="100" w:type="dxa"/>
              <w:start w:w="120" w:type="dxa"/>
              <w:bottom w:w="100" w:type="dxa"/>
              <w:end w:w="120" w:type="dxa"/>
            </w:tcMar>
            <w:vAlign w:val="center"/>
          </w:tcPr>
          <w:p>
            <w:r>
              <w:rPr>
                <w:sz w:val="17"/>
              </w:rPr>
              <w:t>/api/admin/review/:id/reject</w:t>
            </w:r>
          </w:p>
        </w:tc>
        <w:tc>
          <w:tcPr>
            <w:tcW w:type="dxa" w:w="5400"/>
            <w:tcMar>
              <w:top w:w="100" w:type="dxa"/>
              <w:start w:w="120" w:type="dxa"/>
              <w:bottom w:w="100" w:type="dxa"/>
              <w:end w:w="120" w:type="dxa"/>
            </w:tcMar>
            <w:vAlign w:val="center"/>
          </w:tcPr>
          <w:p>
            <w:r>
              <w:rPr>
                <w:sz w:val="17"/>
              </w:rPr>
              <w:t>Reject with reason.</w:t>
            </w:r>
          </w:p>
        </w:tc>
      </w:tr>
      <w:tr>
        <w:tc>
          <w:tcPr>
            <w:tcW w:type="dxa" w:w="936"/>
            <w:tcMar>
              <w:top w:w="100" w:type="dxa"/>
              <w:start w:w="120" w:type="dxa"/>
              <w:bottom w:w="100" w:type="dxa"/>
              <w:end w:w="120" w:type="dxa"/>
            </w:tcMar>
            <w:vAlign w:val="center"/>
          </w:tcPr>
          <w:p>
            <w:r>
              <w:rPr>
                <w:sz w:val="17"/>
              </w:rPr>
              <w:t>POST</w:t>
            </w:r>
          </w:p>
        </w:tc>
        <w:tc>
          <w:tcPr>
            <w:tcW w:type="dxa" w:w="3240"/>
            <w:tcMar>
              <w:top w:w="100" w:type="dxa"/>
              <w:start w:w="120" w:type="dxa"/>
              <w:bottom w:w="100" w:type="dxa"/>
              <w:end w:w="120" w:type="dxa"/>
            </w:tcMar>
            <w:vAlign w:val="center"/>
          </w:tcPr>
          <w:p>
            <w:r>
              <w:rPr>
                <w:sz w:val="17"/>
              </w:rPr>
              <w:t>/api/admin/review/:id/merge</w:t>
            </w:r>
          </w:p>
        </w:tc>
        <w:tc>
          <w:tcPr>
            <w:tcW w:type="dxa" w:w="5400"/>
            <w:tcMar>
              <w:top w:w="100" w:type="dxa"/>
              <w:start w:w="120" w:type="dxa"/>
              <w:bottom w:w="100" w:type="dxa"/>
              <w:end w:w="120" w:type="dxa"/>
            </w:tcMar>
            <w:vAlign w:val="center"/>
          </w:tcPr>
          <w:p>
            <w:r>
              <w:rPr>
                <w:sz w:val="17"/>
              </w:rPr>
              <w:t>Merge duplicate candidates.</w:t>
            </w:r>
          </w:p>
        </w:tc>
      </w:tr>
      <w:tr>
        <w:tc>
          <w:tcPr>
            <w:tcW w:type="dxa" w:w="936"/>
            <w:tcMar>
              <w:top w:w="100" w:type="dxa"/>
              <w:start w:w="120" w:type="dxa"/>
              <w:bottom w:w="100" w:type="dxa"/>
              <w:end w:w="120" w:type="dxa"/>
            </w:tcMar>
            <w:vAlign w:val="center"/>
          </w:tcPr>
          <w:p>
            <w:r>
              <w:rPr>
                <w:sz w:val="17"/>
              </w:rPr>
              <w:t>PATCH</w:t>
            </w:r>
          </w:p>
        </w:tc>
        <w:tc>
          <w:tcPr>
            <w:tcW w:type="dxa" w:w="3240"/>
            <w:tcMar>
              <w:top w:w="100" w:type="dxa"/>
              <w:start w:w="120" w:type="dxa"/>
              <w:bottom w:w="100" w:type="dxa"/>
              <w:end w:w="120" w:type="dxa"/>
            </w:tcMar>
            <w:vAlign w:val="center"/>
          </w:tcPr>
          <w:p>
            <w:r>
              <w:rPr>
                <w:sz w:val="17"/>
              </w:rPr>
              <w:t>/api/admin/opportunities/:id</w:t>
            </w:r>
          </w:p>
        </w:tc>
        <w:tc>
          <w:tcPr>
            <w:tcW w:type="dxa" w:w="5400"/>
            <w:tcMar>
              <w:top w:w="100" w:type="dxa"/>
              <w:start w:w="120" w:type="dxa"/>
              <w:bottom w:w="100" w:type="dxa"/>
              <w:end w:w="120" w:type="dxa"/>
            </w:tcMar>
            <w:vAlign w:val="center"/>
          </w:tcPr>
          <w:p>
            <w:r>
              <w:rPr>
                <w:sz w:val="17"/>
              </w:rPr>
              <w:t>Edit summary, claims, scores, risks, dates.</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/api/admin/sources</w:t>
            </w:r>
          </w:p>
        </w:tc>
        <w:tc>
          <w:tcPr>
            <w:tcW w:type="dxa" w:w="5400"/>
            <w:tcMar>
              <w:top w:w="100" w:type="dxa"/>
              <w:start w:w="120" w:type="dxa"/>
              <w:bottom w:w="100" w:type="dxa"/>
              <w:end w:w="120" w:type="dxa"/>
            </w:tcMar>
            <w:vAlign w:val="center"/>
          </w:tcPr>
          <w:p>
            <w:r>
              <w:rPr>
                <w:sz w:val="17"/>
              </w:rPr>
              <w:t>Connector health.</w:t>
            </w:r>
          </w:p>
        </w:tc>
      </w:tr>
      <w:tr>
        <w:tc>
          <w:tcPr>
            <w:tcW w:type="dxa" w:w="936"/>
            <w:tcMar>
              <w:top w:w="100" w:type="dxa"/>
              <w:start w:w="120" w:type="dxa"/>
              <w:bottom w:w="100" w:type="dxa"/>
              <w:end w:w="120" w:type="dxa"/>
            </w:tcMar>
            <w:vAlign w:val="center"/>
          </w:tcPr>
          <w:p>
            <w:r>
              <w:rPr>
                <w:sz w:val="17"/>
              </w:rPr>
              <w:t>POST</w:t>
            </w:r>
          </w:p>
        </w:tc>
        <w:tc>
          <w:tcPr>
            <w:tcW w:type="dxa" w:w="3240"/>
            <w:tcMar>
              <w:top w:w="100" w:type="dxa"/>
              <w:start w:w="120" w:type="dxa"/>
              <w:bottom w:w="100" w:type="dxa"/>
              <w:end w:w="120" w:type="dxa"/>
            </w:tcMar>
            <w:vAlign w:val="center"/>
          </w:tcPr>
          <w:p>
            <w:r>
              <w:rPr>
                <w:sz w:val="17"/>
              </w:rPr>
              <w:t>/api/admin/sources/:id/run</w:t>
            </w:r>
          </w:p>
        </w:tc>
        <w:tc>
          <w:tcPr>
            <w:tcW w:type="dxa" w:w="5400"/>
            <w:tcMar>
              <w:top w:w="100" w:type="dxa"/>
              <w:start w:w="120" w:type="dxa"/>
              <w:bottom w:w="100" w:type="dxa"/>
              <w:end w:w="120" w:type="dxa"/>
            </w:tcMar>
            <w:vAlign w:val="center"/>
          </w:tcPr>
          <w:p>
            <w:r>
              <w:rPr>
                <w:sz w:val="17"/>
              </w:rPr>
              <w:t>Trigger authorized connector run.</w:t>
            </w:r>
          </w:p>
        </w:tc>
      </w:tr>
      <w:tr>
        <w:tc>
          <w:tcPr>
            <w:tcW w:type="dxa" w:w="936"/>
            <w:tcMar>
              <w:top w:w="100" w:type="dxa"/>
              <w:start w:w="120" w:type="dxa"/>
              <w:bottom w:w="100" w:type="dxa"/>
              <w:end w:w="120" w:type="dxa"/>
            </w:tcMar>
            <w:vAlign w:val="center"/>
          </w:tcPr>
          <w:p>
            <w:r>
              <w:rPr>
                <w:sz w:val="17"/>
              </w:rPr>
              <w:t>GET</w:t>
            </w:r>
          </w:p>
        </w:tc>
        <w:tc>
          <w:tcPr>
            <w:tcW w:type="dxa" w:w="3240"/>
            <w:tcMar>
              <w:top w:w="100" w:type="dxa"/>
              <w:start w:w="120" w:type="dxa"/>
              <w:bottom w:w="100" w:type="dxa"/>
              <w:end w:w="120" w:type="dxa"/>
            </w:tcMar>
            <w:vAlign w:val="center"/>
          </w:tcPr>
          <w:p>
            <w:r>
              <w:rPr>
                <w:sz w:val="17"/>
              </w:rPr>
              <w:t>/api/admin/ingestion-runs/:id</w:t>
            </w:r>
          </w:p>
        </w:tc>
        <w:tc>
          <w:tcPr>
            <w:tcW w:type="dxa" w:w="5400"/>
            <w:tcMar>
              <w:top w:w="100" w:type="dxa"/>
              <w:start w:w="120" w:type="dxa"/>
              <w:bottom w:w="100" w:type="dxa"/>
              <w:end w:w="120" w:type="dxa"/>
            </w:tcMar>
            <w:vAlign w:val="center"/>
          </w:tcPr>
          <w:p>
            <w:r>
              <w:rPr>
                <w:sz w:val="17"/>
              </w:rPr>
              <w:t>Inspect logs and item counts.</w:t>
            </w:r>
          </w:p>
        </w:tc>
      </w:tr>
    </w:tbl>
    <w:p/>
    <w:p>
      <w:pPr>
        <w:pStyle w:val="Heading2"/>
      </w:pPr>
      <w:r>
        <w:t>11.3 Opportunity response example</w:t>
      </w:r>
    </w:p>
    <w:p>
      <w:pPr>
        <w:pStyle w:val="CodeBlock"/>
      </w:pPr>
      <w:r>
        <w:t>{</w:t>
        <w:br/>
        <w:t xml:space="preserve">  "id": "opp_123",</w:t>
        <w:br/>
        <w:t xml:space="preserve">  "company": {"name": "Example Systems", "ticker": "EXM", "exchange": "NASDAQ"},</w:t>
        <w:br/>
        <w:t xml:space="preserve">  "title": "Federal contract modification expands program ceiling",</w:t>
        <w:br/>
        <w:t xml:space="preserve">  "status": "published",</w:t>
        <w:br/>
        <w:t xml:space="preserve">  "verifiedFacts": [{"text": "The agency published a contract modification...", "evidenceId": "ev_1"}],</w:t>
        <w:br/>
        <w:t xml:space="preserve">  "inferences": [{"text": "The modification may increase addressable revenue...", "confidence": 0.71}],</w:t>
        <w:br/>
        <w:t xml:space="preserve">  "scores": {</w:t>
        <w:br/>
        <w:t xml:space="preserve">    "opportunity": 78,</w:t>
        <w:br/>
        <w:t xml:space="preserve">    "informationAsymmetry": 84,</w:t>
        <w:br/>
        <w:t xml:space="preserve">    "catalystStrength": 73,</w:t>
        <w:br/>
        <w:t xml:space="preserve">    "evidenceQuality": 92,</w:t>
        <w:br/>
        <w:t xml:space="preserve">    "financialMateriality": 69,</w:t>
        <w:br/>
        <w:t xml:space="preserve">    "risk": 42</w:t>
        <w:br/>
        <w:t xml:space="preserve">  },</w:t>
        <w:br/>
        <w:t xml:space="preserve">  "risks": [{"type": "contract_ceiling_not_guaranteed", "severity": "medium"}],</w:t>
        <w:br/>
        <w:t xml:space="preserve">  "evidence": [{"id": "ev_1", "sourceType": "government", "primary": true}],</w:t>
        <w:br/>
        <w:t xml:space="preserve">  "detectedAt": "2026-08-01T09:14:00Z"</w:t>
        <w:br/>
        <w:t>}</w:t>
      </w:r>
    </w:p>
    <w:p>
      <w:pPr>
        <w:pStyle w:val="Heading1"/>
      </w:pPr>
      <w:r>
        <w:t>12. AI and Rules Architecture</w:t>
      </w:r>
    </w:p>
    <w:p>
      <w:pPr>
        <w:pStyle w:val="Heading2"/>
      </w:pPr>
      <w:r>
        <w:t>12.1 AI-assisted tasks</w:t>
      </w:r>
    </w:p>
    <w:p>
      <w:pPr>
        <w:pStyle w:val="ListBullet"/>
      </w:pPr>
      <w:r>
        <w:t>Extract entities, dates, event types, amounts, products, agencies, and relationship candidates from documents.</w:t>
      </w:r>
    </w:p>
    <w:p>
      <w:pPr>
        <w:pStyle w:val="ListBullet"/>
      </w:pPr>
      <w:r>
        <w:t>Generate candidate claims with evidence anchors.</w:t>
      </w:r>
    </w:p>
    <w:p>
      <w:pPr>
        <w:pStyle w:val="ListBullet"/>
      </w:pPr>
      <w:r>
        <w:t>Propose direct and second-order relationships, always with confidence and supporting text.</w:t>
      </w:r>
    </w:p>
    <w:p>
      <w:pPr>
        <w:pStyle w:val="ListBullet"/>
      </w:pPr>
      <w:r>
        <w:t>Summarize why an event may matter and why it may be overlooked.</w:t>
      </w:r>
    </w:p>
    <w:p>
      <w:pPr>
        <w:pStyle w:val="ListBullet"/>
      </w:pPr>
      <w:r>
        <w:t>Generate bull, base, and bear scenarios without presenting them as predictions.</w:t>
      </w:r>
    </w:p>
    <w:p>
      <w:pPr>
        <w:pStyle w:val="ListBullet"/>
      </w:pPr>
      <w:r>
        <w:t>Identify contradictory evidence and potential invalidation signals.</w:t>
      </w:r>
    </w:p>
    <w:p>
      <w:pPr>
        <w:pStyle w:val="ListBullet"/>
      </w:pPr>
      <w:r>
        <w:t>Translate and normalize local-language source text when legally available.</w:t>
      </w:r>
    </w:p>
    <w:p>
      <w:pPr>
        <w:pStyle w:val="Heading2"/>
      </w:pPr>
      <w:r>
        <w:t>12.2 Deterministic tasks</w:t>
      </w:r>
    </w:p>
    <w:p>
      <w:pPr>
        <w:pStyle w:val="ListBullet"/>
      </w:pPr>
      <w:r>
        <w:t>Ticker and CIK validation, date normalization, score arithmetic, threshold gates, market-return calculations, alert matching, audit logging, permissions, and duplicate hashes.</w:t>
      </w:r>
    </w:p>
    <w:p>
      <w:pPr>
        <w:pStyle w:val="ListBullet"/>
      </w:pPr>
      <w:r>
        <w:t>No LLM may directly publish an opportunity or send a high-impact alert without rules-gate approval.</w:t>
      </w:r>
    </w:p>
    <w:p>
      <w:pPr>
        <w:pStyle w:val="Heading2"/>
      </w:pPr>
      <w:r>
        <w:t>12.3 Prompt-output contract</w:t>
      </w:r>
    </w:p>
    <w:p>
      <w:r>
        <w:t>Every model call used in production must return validated structured JSON. Required fields include extracted claim, claim type, supporting excerpt, source locator, entity IDs or unresolved names, confidence, uncertainty reasons, and prohibited-content flags. Reject malformed output; do not attempt silent coercion for critical fields.</w:t>
      </w:r>
    </w:p>
    <w:p>
      <w:pPr>
        <w:pStyle w:val="Heading2"/>
      </w:pPr>
      <w:r>
        <w:t>12.4 Model safeguards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17324D"/>
            <w:tcMar>
              <w:top w:w="120" w:type="dxa"/>
              <w:start w:w="100" w:type="dxa"/>
              <w:bottom w:w="120" w:type="dxa"/>
              <w:end w:w="100" w:type="dxa"/>
            </w:tcMar>
            <w:vAlign w:val="center"/>
          </w:tcPr>
          <w:p>
            <w:r>
              <w:rPr>
                <w:b/>
                <w:color w:val="FFFFFF"/>
                <w:sz w:val="18"/>
              </w:rPr>
              <w:t>Control</w:t>
            </w:r>
          </w:p>
        </w:tc>
        <w:tc>
          <w:tcPr>
            <w:tcW w:type="dxa" w:w="7560"/>
            <w:shd w:fill="17324D"/>
            <w:tcMar>
              <w:top w:w="120" w:type="dxa"/>
              <w:start w:w="100" w:type="dxa"/>
              <w:bottom w:w="120" w:type="dxa"/>
              <w:end w:w="100" w:type="dxa"/>
            </w:tcMar>
            <w:vAlign w:val="center"/>
          </w:tcPr>
          <w:p>
            <w:r>
              <w:rPr>
                <w:b/>
                <w:color w:val="FFFFFF"/>
                <w:sz w:val="18"/>
              </w:rPr>
              <w:t>Requirement</w:t>
            </w:r>
          </w:p>
        </w:tc>
      </w:tr>
      <w:tr>
        <w:tc>
          <w:tcPr>
            <w:tcW w:type="dxa" w:w="2016"/>
            <w:tcMar>
              <w:top w:w="100" w:type="dxa"/>
              <w:start w:w="120" w:type="dxa"/>
              <w:bottom w:w="100" w:type="dxa"/>
              <w:end w:w="120" w:type="dxa"/>
            </w:tcMar>
            <w:vAlign w:val="center"/>
          </w:tcPr>
          <w:p>
            <w:r>
              <w:rPr>
                <w:sz w:val="17"/>
              </w:rPr>
              <w:t>Grounding</w:t>
            </w:r>
          </w:p>
        </w:tc>
        <w:tc>
          <w:tcPr>
            <w:tcW w:type="dxa" w:w="7560"/>
            <w:tcMar>
              <w:top w:w="100" w:type="dxa"/>
              <w:start w:w="120" w:type="dxa"/>
              <w:bottom w:w="100" w:type="dxa"/>
              <w:end w:w="120" w:type="dxa"/>
            </w:tcMar>
            <w:vAlign w:val="center"/>
          </w:tcPr>
          <w:p>
            <w:r>
              <w:rPr>
                <w:sz w:val="17"/>
              </w:rPr>
              <w:t>All generated claims must reference retrieved evidence IDs.</w:t>
            </w:r>
          </w:p>
        </w:tc>
      </w:tr>
      <w:tr>
        <w:tc>
          <w:tcPr>
            <w:tcW w:type="dxa" w:w="2016"/>
            <w:tcMar>
              <w:top w:w="100" w:type="dxa"/>
              <w:start w:w="120" w:type="dxa"/>
              <w:bottom w:w="100" w:type="dxa"/>
              <w:end w:w="120" w:type="dxa"/>
            </w:tcMar>
            <w:vAlign w:val="center"/>
          </w:tcPr>
          <w:p>
            <w:r>
              <w:rPr>
                <w:sz w:val="17"/>
              </w:rPr>
              <w:t>Temperature</w:t>
            </w:r>
          </w:p>
        </w:tc>
        <w:tc>
          <w:tcPr>
            <w:tcW w:type="dxa" w:w="7560"/>
            <w:tcMar>
              <w:top w:w="100" w:type="dxa"/>
              <w:start w:w="120" w:type="dxa"/>
              <w:bottom w:w="100" w:type="dxa"/>
              <w:end w:w="120" w:type="dxa"/>
            </w:tcMar>
            <w:vAlign w:val="center"/>
          </w:tcPr>
          <w:p>
            <w:r>
              <w:rPr>
                <w:sz w:val="17"/>
              </w:rPr>
              <w:t>Use low variance for extraction and classification.</w:t>
            </w:r>
          </w:p>
        </w:tc>
      </w:tr>
      <w:tr>
        <w:tc>
          <w:tcPr>
            <w:tcW w:type="dxa" w:w="2016"/>
            <w:tcMar>
              <w:top w:w="100" w:type="dxa"/>
              <w:start w:w="120" w:type="dxa"/>
              <w:bottom w:w="100" w:type="dxa"/>
              <w:end w:w="120" w:type="dxa"/>
            </w:tcMar>
            <w:vAlign w:val="center"/>
          </w:tcPr>
          <w:p>
            <w:r>
              <w:rPr>
                <w:sz w:val="17"/>
              </w:rPr>
              <w:t>Schema validation</w:t>
            </w:r>
          </w:p>
        </w:tc>
        <w:tc>
          <w:tcPr>
            <w:tcW w:type="dxa" w:w="7560"/>
            <w:tcMar>
              <w:top w:w="100" w:type="dxa"/>
              <w:start w:w="120" w:type="dxa"/>
              <w:bottom w:w="100" w:type="dxa"/>
              <w:end w:w="120" w:type="dxa"/>
            </w:tcMar>
            <w:vAlign w:val="center"/>
          </w:tcPr>
          <w:p>
            <w:r>
              <w:rPr>
                <w:sz w:val="17"/>
              </w:rPr>
              <w:t>Validate JSON against versioned schema before persistence.</w:t>
            </w:r>
          </w:p>
        </w:tc>
      </w:tr>
      <w:tr>
        <w:tc>
          <w:tcPr>
            <w:tcW w:type="dxa" w:w="2016"/>
            <w:tcMar>
              <w:top w:w="100" w:type="dxa"/>
              <w:start w:w="120" w:type="dxa"/>
              <w:bottom w:w="100" w:type="dxa"/>
              <w:end w:w="120" w:type="dxa"/>
            </w:tcMar>
            <w:vAlign w:val="center"/>
          </w:tcPr>
          <w:p>
            <w:r>
              <w:rPr>
                <w:sz w:val="17"/>
              </w:rPr>
              <w:t>Confidence calibration</w:t>
            </w:r>
          </w:p>
        </w:tc>
        <w:tc>
          <w:tcPr>
            <w:tcW w:type="dxa" w:w="7560"/>
            <w:tcMar>
              <w:top w:w="100" w:type="dxa"/>
              <w:start w:w="120" w:type="dxa"/>
              <w:bottom w:w="100" w:type="dxa"/>
              <w:end w:w="120" w:type="dxa"/>
            </w:tcMar>
            <w:vAlign w:val="center"/>
          </w:tcPr>
          <w:p>
            <w:r>
              <w:rPr>
                <w:sz w:val="17"/>
              </w:rPr>
              <w:t>Store model confidence but do not equate it with truth.</w:t>
            </w:r>
          </w:p>
        </w:tc>
      </w:tr>
      <w:tr>
        <w:tc>
          <w:tcPr>
            <w:tcW w:type="dxa" w:w="2016"/>
            <w:tcMar>
              <w:top w:w="100" w:type="dxa"/>
              <w:start w:w="120" w:type="dxa"/>
              <w:bottom w:w="100" w:type="dxa"/>
              <w:end w:w="120" w:type="dxa"/>
            </w:tcMar>
            <w:vAlign w:val="center"/>
          </w:tcPr>
          <w:p>
            <w:r>
              <w:rPr>
                <w:sz w:val="17"/>
              </w:rPr>
              <w:t>Prompt injection</w:t>
            </w:r>
          </w:p>
        </w:tc>
        <w:tc>
          <w:tcPr>
            <w:tcW w:type="dxa" w:w="7560"/>
            <w:tcMar>
              <w:top w:w="100" w:type="dxa"/>
              <w:start w:w="120" w:type="dxa"/>
              <w:bottom w:w="100" w:type="dxa"/>
              <w:end w:w="120" w:type="dxa"/>
            </w:tcMar>
            <w:vAlign w:val="center"/>
          </w:tcPr>
          <w:p>
            <w:r>
              <w:rPr>
                <w:sz w:val="17"/>
              </w:rPr>
              <w:t>Treat source documents as untrusted data; never execute embedded instructions.</w:t>
            </w:r>
          </w:p>
        </w:tc>
      </w:tr>
      <w:tr>
        <w:tc>
          <w:tcPr>
            <w:tcW w:type="dxa" w:w="2016"/>
            <w:tcMar>
              <w:top w:w="100" w:type="dxa"/>
              <w:start w:w="120" w:type="dxa"/>
              <w:bottom w:w="100" w:type="dxa"/>
              <w:end w:w="120" w:type="dxa"/>
            </w:tcMar>
            <w:vAlign w:val="center"/>
          </w:tcPr>
          <w:p>
            <w:r>
              <w:rPr>
                <w:sz w:val="17"/>
              </w:rPr>
              <w:t>PII filtering</w:t>
            </w:r>
          </w:p>
        </w:tc>
        <w:tc>
          <w:tcPr>
            <w:tcW w:type="dxa" w:w="7560"/>
            <w:tcMar>
              <w:top w:w="100" w:type="dxa"/>
              <w:start w:w="120" w:type="dxa"/>
              <w:bottom w:w="100" w:type="dxa"/>
              <w:end w:w="120" w:type="dxa"/>
            </w:tcMar>
            <w:vAlign w:val="center"/>
          </w:tcPr>
          <w:p>
            <w:r>
              <w:rPr>
                <w:sz w:val="17"/>
              </w:rPr>
              <w:t>Avoid extracting unnecessary personal data from documents.</w:t>
            </w:r>
          </w:p>
        </w:tc>
      </w:tr>
      <w:tr>
        <w:tc>
          <w:tcPr>
            <w:tcW w:type="dxa" w:w="2016"/>
            <w:tcMar>
              <w:top w:w="100" w:type="dxa"/>
              <w:start w:w="120" w:type="dxa"/>
              <w:bottom w:w="100" w:type="dxa"/>
              <w:end w:w="120" w:type="dxa"/>
            </w:tcMar>
            <w:vAlign w:val="center"/>
          </w:tcPr>
          <w:p>
            <w:r>
              <w:rPr>
                <w:sz w:val="17"/>
              </w:rPr>
              <w:t>Versioning</w:t>
            </w:r>
          </w:p>
        </w:tc>
        <w:tc>
          <w:tcPr>
            <w:tcW w:type="dxa" w:w="7560"/>
            <w:tcMar>
              <w:top w:w="100" w:type="dxa"/>
              <w:start w:w="120" w:type="dxa"/>
              <w:bottom w:w="100" w:type="dxa"/>
              <w:end w:w="120" w:type="dxa"/>
            </w:tcMar>
            <w:vAlign w:val="center"/>
          </w:tcPr>
          <w:p>
            <w:r>
              <w:rPr>
                <w:sz w:val="17"/>
              </w:rPr>
              <w:t>Store model, prompt, schema, and code versions for every result.</w:t>
            </w:r>
          </w:p>
        </w:tc>
      </w:tr>
      <w:tr>
        <w:tc>
          <w:tcPr>
            <w:tcW w:type="dxa" w:w="2016"/>
            <w:tcMar>
              <w:top w:w="100" w:type="dxa"/>
              <w:start w:w="120" w:type="dxa"/>
              <w:bottom w:w="100" w:type="dxa"/>
              <w:end w:w="120" w:type="dxa"/>
            </w:tcMar>
            <w:vAlign w:val="center"/>
          </w:tcPr>
          <w:p>
            <w:r>
              <w:rPr>
                <w:sz w:val="17"/>
              </w:rPr>
              <w:t>Fallback</w:t>
            </w:r>
          </w:p>
        </w:tc>
        <w:tc>
          <w:tcPr>
            <w:tcW w:type="dxa" w:w="7560"/>
            <w:tcMar>
              <w:top w:w="100" w:type="dxa"/>
              <w:start w:w="120" w:type="dxa"/>
              <w:bottom w:w="100" w:type="dxa"/>
              <w:end w:w="120" w:type="dxa"/>
            </w:tcMar>
            <w:vAlign w:val="center"/>
          </w:tcPr>
          <w:p>
            <w:r>
              <w:rPr>
                <w:sz w:val="17"/>
              </w:rPr>
              <w:t>On model failure, preserve document and route to retry or human review.</w:t>
            </w:r>
          </w:p>
        </w:tc>
      </w:tr>
    </w:tbl>
    <w:p/>
    <w:p>
      <w:pPr>
        <w:pStyle w:val="Heading1"/>
      </w:pPr>
      <w:r>
        <w:t>13. Admin and Human Review</w:t>
      </w:r>
    </w:p>
    <w:p>
      <w:pPr>
        <w:pStyle w:val="Heading2"/>
      </w:pPr>
      <w:r>
        <w:t>13.1 Review queue columns</w:t>
      </w:r>
    </w:p>
    <w:p>
      <w:pPr>
        <w:pStyle w:val="ListBullet"/>
      </w:pPr>
      <w:r>
        <w:t>Candidate ID, company/ticker, catalyst type, detected date, source count, primary-source flag, mapping confidence, materiality estimate, risk flags, duplicate likelihood, and SLA age.</w:t>
      </w:r>
    </w:p>
    <w:p>
      <w:pPr>
        <w:pStyle w:val="Heading2"/>
      </w:pPr>
      <w:r>
        <w:t>13.2 Reviewer actions</w:t>
      </w:r>
    </w:p>
    <w:p>
      <w:pPr>
        <w:pStyle w:val="ListBullet"/>
      </w:pPr>
      <w:r>
        <w:t>Approve, approve and publish, request evidence, edit, reject, merge, mark promotional, escalate legal, suppress security, and invalidate published item.</w:t>
      </w:r>
    </w:p>
    <w:p>
      <w:pPr>
        <w:pStyle w:val="ListBullet"/>
      </w:pPr>
      <w:r>
        <w:t>Every action requires a reason for material edits, overrides, rejection, suppression, or legal escalation.</w:t>
      </w:r>
    </w:p>
    <w:p>
      <w:pPr>
        <w:pStyle w:val="Heading2"/>
      </w:pPr>
      <w:r>
        <w:t>13.3 Review SLAs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5040"/>
            <w:shd w:fill="17324D"/>
            <w:tcMar>
              <w:top w:w="120" w:type="dxa"/>
              <w:start w:w="100" w:type="dxa"/>
              <w:bottom w:w="120" w:type="dxa"/>
              <w:end w:w="100" w:type="dxa"/>
            </w:tcMar>
            <w:vAlign w:val="center"/>
          </w:tcPr>
          <w:p>
            <w:r>
              <w:rPr>
                <w:b/>
                <w:color w:val="FFFFFF"/>
                <w:sz w:val="18"/>
              </w:rPr>
              <w:t>Candidate class</w:t>
            </w:r>
          </w:p>
        </w:tc>
        <w:tc>
          <w:tcPr>
            <w:tcW w:type="dxa" w:w="4536"/>
            <w:shd w:fill="17324D"/>
            <w:tcMar>
              <w:top w:w="120" w:type="dxa"/>
              <w:start w:w="100" w:type="dxa"/>
              <w:bottom w:w="120" w:type="dxa"/>
              <w:end w:w="100" w:type="dxa"/>
            </w:tcMar>
            <w:vAlign w:val="center"/>
          </w:tcPr>
          <w:p>
            <w:r>
              <w:rPr>
                <w:b/>
                <w:color w:val="FFFFFF"/>
                <w:sz w:val="18"/>
              </w:rPr>
              <w:t>Target review time</w:t>
            </w:r>
          </w:p>
        </w:tc>
      </w:tr>
      <w:tr>
        <w:tc>
          <w:tcPr>
            <w:tcW w:type="dxa" w:w="5040"/>
            <w:tcMar>
              <w:top w:w="100" w:type="dxa"/>
              <w:start w:w="120" w:type="dxa"/>
              <w:bottom w:w="100" w:type="dxa"/>
              <w:end w:w="120" w:type="dxa"/>
            </w:tcMar>
            <w:vAlign w:val="center"/>
          </w:tcPr>
          <w:p>
            <w:r>
              <w:rPr>
                <w:sz w:val="17"/>
              </w:rPr>
              <w:t>High-confidence primary-source, normal liquidity</w:t>
            </w:r>
          </w:p>
        </w:tc>
        <w:tc>
          <w:tcPr>
            <w:tcW w:type="dxa" w:w="4536"/>
            <w:tcMar>
              <w:top w:w="100" w:type="dxa"/>
              <w:start w:w="120" w:type="dxa"/>
              <w:bottom w:w="100" w:type="dxa"/>
              <w:end w:w="120" w:type="dxa"/>
            </w:tcMar>
            <w:vAlign w:val="center"/>
          </w:tcPr>
          <w:p>
            <w:r>
              <w:rPr>
                <w:sz w:val="17"/>
              </w:rPr>
              <w:t>Within 1 business day</w:t>
            </w:r>
          </w:p>
        </w:tc>
      </w:tr>
      <w:tr>
        <w:tc>
          <w:tcPr>
            <w:tcW w:type="dxa" w:w="5040"/>
            <w:tcMar>
              <w:top w:w="100" w:type="dxa"/>
              <w:start w:w="120" w:type="dxa"/>
              <w:bottom w:w="100" w:type="dxa"/>
              <w:end w:w="120" w:type="dxa"/>
            </w:tcMar>
            <w:vAlign w:val="center"/>
          </w:tcPr>
          <w:p>
            <w:r>
              <w:rPr>
                <w:sz w:val="17"/>
              </w:rPr>
              <w:t>Time-sensitive scheduled decision</w:t>
            </w:r>
          </w:p>
        </w:tc>
        <w:tc>
          <w:tcPr>
            <w:tcW w:type="dxa" w:w="4536"/>
            <w:tcMar>
              <w:top w:w="100" w:type="dxa"/>
              <w:start w:w="120" w:type="dxa"/>
              <w:bottom w:w="100" w:type="dxa"/>
              <w:end w:w="120" w:type="dxa"/>
            </w:tcMar>
            <w:vAlign w:val="center"/>
          </w:tcPr>
          <w:p>
            <w:r>
              <w:rPr>
                <w:sz w:val="17"/>
              </w:rPr>
              <w:t>Before catalyst date where feasible</w:t>
            </w:r>
          </w:p>
        </w:tc>
      </w:tr>
      <w:tr>
        <w:tc>
          <w:tcPr>
            <w:tcW w:type="dxa" w:w="5040"/>
            <w:tcMar>
              <w:top w:w="100" w:type="dxa"/>
              <w:start w:w="120" w:type="dxa"/>
              <w:bottom w:w="100" w:type="dxa"/>
              <w:end w:w="120" w:type="dxa"/>
            </w:tcMar>
            <w:vAlign w:val="center"/>
          </w:tcPr>
          <w:p>
            <w:r>
              <w:rPr>
                <w:sz w:val="17"/>
              </w:rPr>
              <w:t>Micro-cap or low-liquidity</w:t>
            </w:r>
          </w:p>
        </w:tc>
        <w:tc>
          <w:tcPr>
            <w:tcW w:type="dxa" w:w="4536"/>
            <w:tcMar>
              <w:top w:w="100" w:type="dxa"/>
              <w:start w:w="120" w:type="dxa"/>
              <w:bottom w:w="100" w:type="dxa"/>
              <w:end w:w="120" w:type="dxa"/>
            </w:tcMar>
            <w:vAlign w:val="center"/>
          </w:tcPr>
          <w:p>
            <w:r>
              <w:rPr>
                <w:sz w:val="17"/>
              </w:rPr>
              <w:t>Manual review required; no auto-publish</w:t>
            </w:r>
          </w:p>
        </w:tc>
      </w:tr>
      <w:tr>
        <w:tc>
          <w:tcPr>
            <w:tcW w:type="dxa" w:w="5040"/>
            <w:tcMar>
              <w:top w:w="100" w:type="dxa"/>
              <w:start w:w="120" w:type="dxa"/>
              <w:bottom w:w="100" w:type="dxa"/>
              <w:end w:w="120" w:type="dxa"/>
            </w:tcMar>
            <w:vAlign w:val="center"/>
          </w:tcPr>
          <w:p>
            <w:r>
              <w:rPr>
                <w:sz w:val="17"/>
              </w:rPr>
              <w:t>Legal allegation or investigation</w:t>
            </w:r>
          </w:p>
        </w:tc>
        <w:tc>
          <w:tcPr>
            <w:tcW w:type="dxa" w:w="4536"/>
            <w:tcMar>
              <w:top w:w="100" w:type="dxa"/>
              <w:start w:w="120" w:type="dxa"/>
              <w:bottom w:w="100" w:type="dxa"/>
              <w:end w:w="120" w:type="dxa"/>
            </w:tcMar>
            <w:vAlign w:val="center"/>
          </w:tcPr>
          <w:p>
            <w:r>
              <w:rPr>
                <w:sz w:val="17"/>
              </w:rPr>
              <w:t>Legal/compliance review before publication</w:t>
            </w:r>
          </w:p>
        </w:tc>
      </w:tr>
      <w:tr>
        <w:tc>
          <w:tcPr>
            <w:tcW w:type="dxa" w:w="5040"/>
            <w:tcMar>
              <w:top w:w="100" w:type="dxa"/>
              <w:start w:w="120" w:type="dxa"/>
              <w:bottom w:w="100" w:type="dxa"/>
              <w:end w:w="120" w:type="dxa"/>
            </w:tcMar>
            <w:vAlign w:val="center"/>
          </w:tcPr>
          <w:p>
            <w:r>
              <w:rPr>
                <w:sz w:val="17"/>
              </w:rPr>
              <w:t>Rumor-only or anonymous source</w:t>
            </w:r>
          </w:p>
        </w:tc>
        <w:tc>
          <w:tcPr>
            <w:tcW w:type="dxa" w:w="4536"/>
            <w:tcMar>
              <w:top w:w="100" w:type="dxa"/>
              <w:start w:w="120" w:type="dxa"/>
              <w:bottom w:w="100" w:type="dxa"/>
              <w:end w:w="120" w:type="dxa"/>
            </w:tcMar>
            <w:vAlign w:val="center"/>
          </w:tcPr>
          <w:p>
            <w:r>
              <w:rPr>
                <w:sz w:val="17"/>
              </w:rPr>
              <w:t>Reject from publishable feed unless independently confirmed</w:t>
            </w:r>
          </w:p>
        </w:tc>
      </w:tr>
    </w:tbl>
    <w:p/>
    <w:p>
      <w:pPr>
        <w:pStyle w:val="Heading1"/>
      </w:pPr>
      <w:r>
        <w:t>14. Security, Legal, and Compliance</w:t>
      </w:r>
    </w:p>
    <w:p>
      <w:pPr>
        <w:pStyle w:val="Heading2"/>
      </w:pPr>
      <w:r>
        <w:t>14.1 Security requirements</w:t>
      </w:r>
    </w:p>
    <w:p>
      <w:pPr>
        <w:pStyle w:val="ListBullet"/>
      </w:pPr>
      <w:r>
        <w:t>Encrypt data in transit and at rest using managed platform capabilities.</w:t>
      </w:r>
    </w:p>
    <w:p>
      <w:pPr>
        <w:pStyle w:val="ListBullet"/>
      </w:pPr>
      <w:r>
        <w:t>Enforce server-side authorization on all admin and user-owned resources.</w:t>
      </w:r>
    </w:p>
    <w:p>
      <w:pPr>
        <w:pStyle w:val="ListBullet"/>
      </w:pPr>
      <w:r>
        <w:t>Use secret manager; never commit API keys or credentials.</w:t>
      </w:r>
    </w:p>
    <w:p>
      <w:pPr>
        <w:pStyle w:val="ListBullet"/>
      </w:pPr>
      <w:r>
        <w:t>Apply rate limiting, CSRF protection where relevant, secure cookies, input validation, and dependency scanning.</w:t>
      </w:r>
    </w:p>
    <w:p>
      <w:pPr>
        <w:pStyle w:val="ListBullet"/>
      </w:pPr>
      <w:r>
        <w:t>Back up PostgreSQL and object storage; test restoration.</w:t>
      </w:r>
    </w:p>
    <w:p>
      <w:pPr>
        <w:pStyle w:val="ListBullet"/>
      </w:pPr>
      <w:r>
        <w:t>Log admin actions and sensitive changes in an append-only audit stream.</w:t>
      </w:r>
    </w:p>
    <w:p>
      <w:pPr>
        <w:pStyle w:val="ListBullet"/>
      </w:pPr>
      <w:r>
        <w:t>Redact secrets and unnecessary personal data from logs.</w:t>
      </w:r>
    </w:p>
    <w:p>
      <w:pPr>
        <w:pStyle w:val="Heading2"/>
      </w:pPr>
      <w:r>
        <w:t>14.2 Legal and market-conduct requirements</w:t>
      </w:r>
    </w:p>
    <w:p>
      <w:pPr>
        <w:pStyle w:val="ListBullet"/>
      </w:pPr>
      <w:r>
        <w:t>Use only public or properly licensed sources.</w:t>
      </w:r>
    </w:p>
    <w:p>
      <w:pPr>
        <w:pStyle w:val="ListBullet"/>
      </w:pPr>
      <w:r>
        <w:t>Do not acquire or encourage material nonpublic information.</w:t>
      </w:r>
    </w:p>
    <w:p>
      <w:pPr>
        <w:pStyle w:val="ListBullet"/>
      </w:pPr>
      <w:r>
        <w:t>Do not publish unsupported accusations or imply wrongdoing beyond source facts.</w:t>
      </w:r>
    </w:p>
    <w:p>
      <w:pPr>
        <w:pStyle w:val="ListBullet"/>
      </w:pPr>
      <w:r>
        <w:t>Disclose that the service is informational research, not personalized investment advice.</w:t>
      </w:r>
    </w:p>
    <w:p>
      <w:pPr>
        <w:pStyle w:val="ListBullet"/>
      </w:pPr>
      <w:r>
        <w:t>Disclose conflicts, sponsorship, holdings, or paid research if ever introduced.</w:t>
      </w:r>
    </w:p>
    <w:p>
      <w:pPr>
        <w:pStyle w:val="ListBullet"/>
      </w:pPr>
      <w:r>
        <w:t>Apply stronger controls to low-liquidity and micro-cap securities to reduce manipulation risk.</w:t>
      </w:r>
    </w:p>
    <w:p>
      <w:pPr>
        <w:pStyle w:val="ListBullet"/>
      </w:pPr>
      <w:r>
        <w:t>Maintain source licensing records, terms reviews, and takedown process.</w:t>
      </w:r>
    </w:p>
    <w:p>
      <w:pPr>
        <w:pStyle w:val="ListBullet"/>
      </w:pPr>
      <w:r>
        <w:t>Do not use artificial urgency, guaranteed outcomes, or sensational promotional copy.</w:t>
      </w:r>
    </w:p>
    <w:p>
      <w:pPr>
        <w:pStyle w:val="Heading1"/>
      </w:pPr>
      <w:r>
        <w:t>15. Analytics and Success Metrics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17324D"/>
            <w:tcMar>
              <w:top w:w="120" w:type="dxa"/>
              <w:start w:w="100" w:type="dxa"/>
              <w:bottom w:w="120" w:type="dxa"/>
              <w:end w:w="100" w:type="dxa"/>
            </w:tcMar>
            <w:vAlign w:val="center"/>
          </w:tcPr>
          <w:p>
            <w:r>
              <w:rPr>
                <w:b/>
                <w:color w:val="FFFFFF"/>
                <w:sz w:val="18"/>
              </w:rPr>
              <w:t>Metric</w:t>
            </w:r>
          </w:p>
        </w:tc>
        <w:tc>
          <w:tcPr>
            <w:tcW w:type="dxa" w:w="4824"/>
            <w:shd w:fill="17324D"/>
            <w:tcMar>
              <w:top w:w="120" w:type="dxa"/>
              <w:start w:w="100" w:type="dxa"/>
              <w:bottom w:w="120" w:type="dxa"/>
              <w:end w:w="100" w:type="dxa"/>
            </w:tcMar>
            <w:vAlign w:val="center"/>
          </w:tcPr>
          <w:p>
            <w:r>
              <w:rPr>
                <w:b/>
                <w:color w:val="FFFFFF"/>
                <w:sz w:val="18"/>
              </w:rPr>
              <w:t>Definition</w:t>
            </w:r>
          </w:p>
        </w:tc>
        <w:tc>
          <w:tcPr>
            <w:tcW w:type="dxa" w:w="2160"/>
            <w:shd w:fill="17324D"/>
            <w:tcMar>
              <w:top w:w="120" w:type="dxa"/>
              <w:start w:w="100" w:type="dxa"/>
              <w:bottom w:w="120" w:type="dxa"/>
              <w:end w:w="100" w:type="dxa"/>
            </w:tcMar>
            <w:vAlign w:val="center"/>
          </w:tcPr>
          <w:p>
            <w:r>
              <w:rPr>
                <w:b/>
                <w:color w:val="FFFFFF"/>
                <w:sz w:val="18"/>
              </w:rPr>
              <w:t>MVP target direction</w:t>
            </w:r>
          </w:p>
        </w:tc>
      </w:tr>
      <w:tr>
        <w:tc>
          <w:tcPr>
            <w:tcW w:type="dxa" w:w="2592"/>
            <w:tcMar>
              <w:top w:w="100" w:type="dxa"/>
              <w:start w:w="120" w:type="dxa"/>
              <w:bottom w:w="100" w:type="dxa"/>
              <w:end w:w="120" w:type="dxa"/>
            </w:tcMar>
            <w:vAlign w:val="center"/>
          </w:tcPr>
          <w:p>
            <w:r>
              <w:rPr>
                <w:sz w:val="17"/>
              </w:rPr>
              <w:t>Evidence-backed publication rate</w:t>
            </w:r>
          </w:p>
        </w:tc>
        <w:tc>
          <w:tcPr>
            <w:tcW w:type="dxa" w:w="4824"/>
            <w:tcMar>
              <w:top w:w="100" w:type="dxa"/>
              <w:start w:w="120" w:type="dxa"/>
              <w:bottom w:w="100" w:type="dxa"/>
              <w:end w:w="120" w:type="dxa"/>
            </w:tcMar>
            <w:vAlign w:val="center"/>
          </w:tcPr>
          <w:p>
            <w:r>
              <w:rPr>
                <w:sz w:val="17"/>
              </w:rPr>
              <w:t>Published opportunities with at least one primary source and complete traceability.</w:t>
            </w:r>
          </w:p>
        </w:tc>
        <w:tc>
          <w:tcPr>
            <w:tcW w:type="dxa" w:w="2160"/>
            <w:tcMar>
              <w:top w:w="100" w:type="dxa"/>
              <w:start w:w="120" w:type="dxa"/>
              <w:bottom w:w="100" w:type="dxa"/>
              <w:end w:w="120" w:type="dxa"/>
            </w:tcMar>
            <w:vAlign w:val="center"/>
          </w:tcPr>
          <w:p>
            <w:r>
              <w:rPr>
                <w:sz w:val="17"/>
              </w:rPr>
              <w:t>Increase; target near 100% for published items</w:t>
            </w:r>
          </w:p>
        </w:tc>
      </w:tr>
      <w:tr>
        <w:tc>
          <w:tcPr>
            <w:tcW w:type="dxa" w:w="2592"/>
            <w:tcMar>
              <w:top w:w="100" w:type="dxa"/>
              <w:start w:w="120" w:type="dxa"/>
              <w:bottom w:w="100" w:type="dxa"/>
              <w:end w:w="120" w:type="dxa"/>
            </w:tcMar>
            <w:vAlign w:val="center"/>
          </w:tcPr>
          <w:p>
            <w:r>
              <w:rPr>
                <w:sz w:val="17"/>
              </w:rPr>
              <w:t>Precision of reviewed candidates</w:t>
            </w:r>
          </w:p>
        </w:tc>
        <w:tc>
          <w:tcPr>
            <w:tcW w:type="dxa" w:w="4824"/>
            <w:tcMar>
              <w:top w:w="100" w:type="dxa"/>
              <w:start w:w="120" w:type="dxa"/>
              <w:bottom w:w="100" w:type="dxa"/>
              <w:end w:w="120" w:type="dxa"/>
            </w:tcMar>
            <w:vAlign w:val="center"/>
          </w:tcPr>
          <w:p>
            <w:r>
              <w:rPr>
                <w:sz w:val="17"/>
              </w:rPr>
              <w:t>Approved candidates divided by reviewed candidates.</w:t>
            </w:r>
          </w:p>
        </w:tc>
        <w:tc>
          <w:tcPr>
            <w:tcW w:type="dxa" w:w="2160"/>
            <w:tcMar>
              <w:top w:w="100" w:type="dxa"/>
              <w:start w:w="120" w:type="dxa"/>
              <w:bottom w:w="100" w:type="dxa"/>
              <w:end w:w="120" w:type="dxa"/>
            </w:tcMar>
            <w:vAlign w:val="center"/>
          </w:tcPr>
          <w:p>
            <w:r>
              <w:rPr>
                <w:sz w:val="17"/>
              </w:rPr>
              <w:t>Increase while maintaining coverage</w:t>
            </w:r>
          </w:p>
        </w:tc>
      </w:tr>
      <w:tr>
        <w:tc>
          <w:tcPr>
            <w:tcW w:type="dxa" w:w="2592"/>
            <w:tcMar>
              <w:top w:w="100" w:type="dxa"/>
              <w:start w:w="120" w:type="dxa"/>
              <w:bottom w:w="100" w:type="dxa"/>
              <w:end w:w="120" w:type="dxa"/>
            </w:tcMar>
            <w:vAlign w:val="center"/>
          </w:tcPr>
          <w:p>
            <w:r>
              <w:rPr>
                <w:sz w:val="17"/>
              </w:rPr>
              <w:t>Lead time</w:t>
            </w:r>
          </w:p>
        </w:tc>
        <w:tc>
          <w:tcPr>
            <w:tcW w:type="dxa" w:w="4824"/>
            <w:tcMar>
              <w:top w:w="100" w:type="dxa"/>
              <w:start w:w="120" w:type="dxa"/>
              <w:bottom w:w="100" w:type="dxa"/>
              <w:end w:w="120" w:type="dxa"/>
            </w:tcMar>
            <w:vAlign w:val="center"/>
          </w:tcPr>
          <w:p>
            <w:r>
              <w:rPr>
                <w:sz w:val="17"/>
              </w:rPr>
              <w:t>Time between first platform detection and first mainstream coverage.</w:t>
            </w:r>
          </w:p>
        </w:tc>
        <w:tc>
          <w:tcPr>
            <w:tcW w:type="dxa" w:w="2160"/>
            <w:tcMar>
              <w:top w:w="100" w:type="dxa"/>
              <w:start w:w="120" w:type="dxa"/>
              <w:bottom w:w="100" w:type="dxa"/>
              <w:end w:w="120" w:type="dxa"/>
            </w:tcMar>
            <w:vAlign w:val="center"/>
          </w:tcPr>
          <w:p>
            <w:r>
              <w:rPr>
                <w:sz w:val="17"/>
              </w:rPr>
              <w:t>Positive median for qualifying cases</w:t>
            </w:r>
          </w:p>
        </w:tc>
      </w:tr>
      <w:tr>
        <w:tc>
          <w:tcPr>
            <w:tcW w:type="dxa" w:w="2592"/>
            <w:tcMar>
              <w:top w:w="100" w:type="dxa"/>
              <w:start w:w="120" w:type="dxa"/>
              <w:bottom w:w="100" w:type="dxa"/>
              <w:end w:w="120" w:type="dxa"/>
            </w:tcMar>
            <w:vAlign w:val="center"/>
          </w:tcPr>
          <w:p>
            <w:r>
              <w:rPr>
                <w:sz w:val="17"/>
              </w:rPr>
              <w:t>Ticker mapping accuracy</w:t>
            </w:r>
          </w:p>
        </w:tc>
        <w:tc>
          <w:tcPr>
            <w:tcW w:type="dxa" w:w="4824"/>
            <w:tcMar>
              <w:top w:w="100" w:type="dxa"/>
              <w:start w:w="120" w:type="dxa"/>
              <w:bottom w:w="100" w:type="dxa"/>
              <w:end w:w="120" w:type="dxa"/>
            </w:tcMar>
            <w:vAlign w:val="center"/>
          </w:tcPr>
          <w:p>
            <w:r>
              <w:rPr>
                <w:sz w:val="17"/>
              </w:rPr>
              <w:t>Correct security mapping in audited sample.</w:t>
            </w:r>
          </w:p>
        </w:tc>
        <w:tc>
          <w:tcPr>
            <w:tcW w:type="dxa" w:w="2160"/>
            <w:tcMar>
              <w:top w:w="100" w:type="dxa"/>
              <w:start w:w="120" w:type="dxa"/>
              <w:bottom w:w="100" w:type="dxa"/>
              <w:end w:w="120" w:type="dxa"/>
            </w:tcMar>
            <w:vAlign w:val="center"/>
          </w:tcPr>
          <w:p>
            <w:r>
              <w:rPr>
                <w:sz w:val="17"/>
              </w:rPr>
              <w:t>≥ 99% for published items</w:t>
            </w:r>
          </w:p>
        </w:tc>
      </w:tr>
      <w:tr>
        <w:tc>
          <w:tcPr>
            <w:tcW w:type="dxa" w:w="2592"/>
            <w:tcMar>
              <w:top w:w="100" w:type="dxa"/>
              <w:start w:w="120" w:type="dxa"/>
              <w:bottom w:w="100" w:type="dxa"/>
              <w:end w:w="120" w:type="dxa"/>
            </w:tcMar>
            <w:vAlign w:val="center"/>
          </w:tcPr>
          <w:p>
            <w:r>
              <w:rPr>
                <w:sz w:val="17"/>
              </w:rPr>
              <w:t>Relationship accuracy</w:t>
            </w:r>
          </w:p>
        </w:tc>
        <w:tc>
          <w:tcPr>
            <w:tcW w:type="dxa" w:w="4824"/>
            <w:tcMar>
              <w:top w:w="100" w:type="dxa"/>
              <w:start w:w="120" w:type="dxa"/>
              <w:bottom w:w="100" w:type="dxa"/>
              <w:end w:w="120" w:type="dxa"/>
            </w:tcMar>
            <w:vAlign w:val="center"/>
          </w:tcPr>
          <w:p>
            <w:r>
              <w:rPr>
                <w:sz w:val="17"/>
              </w:rPr>
              <w:t>Correct source-backed relationship in audited sample.</w:t>
            </w:r>
          </w:p>
        </w:tc>
        <w:tc>
          <w:tcPr>
            <w:tcW w:type="dxa" w:w="2160"/>
            <w:tcMar>
              <w:top w:w="100" w:type="dxa"/>
              <w:start w:w="120" w:type="dxa"/>
              <w:bottom w:w="100" w:type="dxa"/>
              <w:end w:w="120" w:type="dxa"/>
            </w:tcMar>
            <w:vAlign w:val="center"/>
          </w:tcPr>
          <w:p>
            <w:r>
              <w:rPr>
                <w:sz w:val="17"/>
              </w:rPr>
              <w:t>≥ 95% for published items</w:t>
            </w:r>
          </w:p>
        </w:tc>
      </w:tr>
      <w:tr>
        <w:tc>
          <w:tcPr>
            <w:tcW w:type="dxa" w:w="2592"/>
            <w:tcMar>
              <w:top w:w="100" w:type="dxa"/>
              <w:start w:w="120" w:type="dxa"/>
              <w:bottom w:w="100" w:type="dxa"/>
              <w:end w:w="120" w:type="dxa"/>
            </w:tcMar>
            <w:vAlign w:val="center"/>
          </w:tcPr>
          <w:p>
            <w:r>
              <w:rPr>
                <w:sz w:val="17"/>
              </w:rPr>
              <w:t>False-positive rate</w:t>
            </w:r>
          </w:p>
        </w:tc>
        <w:tc>
          <w:tcPr>
            <w:tcW w:type="dxa" w:w="4824"/>
            <w:tcMar>
              <w:top w:w="100" w:type="dxa"/>
              <w:start w:w="120" w:type="dxa"/>
              <w:bottom w:w="100" w:type="dxa"/>
              <w:end w:w="120" w:type="dxa"/>
            </w:tcMar>
            <w:vAlign w:val="center"/>
          </w:tcPr>
          <w:p>
            <w:r>
              <w:rPr>
                <w:sz w:val="17"/>
              </w:rPr>
              <w:t>Published opportunities later found materially unsupported.</w:t>
            </w:r>
          </w:p>
        </w:tc>
        <w:tc>
          <w:tcPr>
            <w:tcW w:type="dxa" w:w="2160"/>
            <w:tcMar>
              <w:top w:w="100" w:type="dxa"/>
              <w:start w:w="120" w:type="dxa"/>
              <w:bottom w:w="100" w:type="dxa"/>
              <w:end w:w="120" w:type="dxa"/>
            </w:tcMar>
            <w:vAlign w:val="center"/>
          </w:tcPr>
          <w:p>
            <w:r>
              <w:rPr>
                <w:sz w:val="17"/>
              </w:rPr>
              <w:t>Minimize; define strict threshold</w:t>
            </w:r>
          </w:p>
        </w:tc>
      </w:tr>
      <w:tr>
        <w:tc>
          <w:tcPr>
            <w:tcW w:type="dxa" w:w="2592"/>
            <w:tcMar>
              <w:top w:w="100" w:type="dxa"/>
              <w:start w:w="120" w:type="dxa"/>
              <w:bottom w:w="100" w:type="dxa"/>
              <w:end w:w="120" w:type="dxa"/>
            </w:tcMar>
            <w:vAlign w:val="center"/>
          </w:tcPr>
          <w:p>
            <w:r>
              <w:rPr>
                <w:sz w:val="17"/>
              </w:rPr>
              <w:t>Research time saved</w:t>
            </w:r>
          </w:p>
        </w:tc>
        <w:tc>
          <w:tcPr>
            <w:tcW w:type="dxa" w:w="4824"/>
            <w:tcMar>
              <w:top w:w="100" w:type="dxa"/>
              <w:start w:w="120" w:type="dxa"/>
              <w:bottom w:w="100" w:type="dxa"/>
              <w:end w:w="120" w:type="dxa"/>
            </w:tcMar>
            <w:vAlign w:val="center"/>
          </w:tcPr>
          <w:p>
            <w:r>
              <w:rPr>
                <w:sz w:val="17"/>
              </w:rPr>
              <w:t>User-reported reduction versus manual workflow.</w:t>
            </w:r>
          </w:p>
        </w:tc>
        <w:tc>
          <w:tcPr>
            <w:tcW w:type="dxa" w:w="2160"/>
            <w:tcMar>
              <w:top w:w="100" w:type="dxa"/>
              <w:start w:w="120" w:type="dxa"/>
              <w:bottom w:w="100" w:type="dxa"/>
              <w:end w:w="120" w:type="dxa"/>
            </w:tcMar>
            <w:vAlign w:val="center"/>
          </w:tcPr>
          <w:p>
            <w:r>
              <w:rPr>
                <w:sz w:val="17"/>
              </w:rPr>
              <w:t>Increase</w:t>
            </w:r>
          </w:p>
        </w:tc>
      </w:tr>
      <w:tr>
        <w:tc>
          <w:tcPr>
            <w:tcW w:type="dxa" w:w="2592"/>
            <w:tcMar>
              <w:top w:w="100" w:type="dxa"/>
              <w:start w:w="120" w:type="dxa"/>
              <w:bottom w:w="100" w:type="dxa"/>
              <w:end w:w="120" w:type="dxa"/>
            </w:tcMar>
            <w:vAlign w:val="center"/>
          </w:tcPr>
          <w:p>
            <w:r>
              <w:rPr>
                <w:sz w:val="17"/>
              </w:rPr>
              <w:t>Alert usefulness</w:t>
            </w:r>
          </w:p>
        </w:tc>
        <w:tc>
          <w:tcPr>
            <w:tcW w:type="dxa" w:w="4824"/>
            <w:tcMar>
              <w:top w:w="100" w:type="dxa"/>
              <w:start w:w="120" w:type="dxa"/>
              <w:bottom w:w="100" w:type="dxa"/>
              <w:end w:w="120" w:type="dxa"/>
            </w:tcMar>
            <w:vAlign w:val="center"/>
          </w:tcPr>
          <w:p>
            <w:r>
              <w:rPr>
                <w:sz w:val="17"/>
              </w:rPr>
              <w:t>Useful rating or meaningful engagement.</w:t>
            </w:r>
          </w:p>
        </w:tc>
        <w:tc>
          <w:tcPr>
            <w:tcW w:type="dxa" w:w="2160"/>
            <w:tcMar>
              <w:top w:w="100" w:type="dxa"/>
              <w:start w:w="120" w:type="dxa"/>
              <w:bottom w:w="100" w:type="dxa"/>
              <w:end w:w="120" w:type="dxa"/>
            </w:tcMar>
            <w:vAlign w:val="center"/>
          </w:tcPr>
          <w:p>
            <w:r>
              <w:rPr>
                <w:sz w:val="17"/>
              </w:rPr>
              <w:t>Increase</w:t>
            </w:r>
          </w:p>
        </w:tc>
      </w:tr>
      <w:tr>
        <w:tc>
          <w:tcPr>
            <w:tcW w:type="dxa" w:w="2592"/>
            <w:tcMar>
              <w:top w:w="100" w:type="dxa"/>
              <w:start w:w="120" w:type="dxa"/>
              <w:bottom w:w="100" w:type="dxa"/>
              <w:end w:w="120" w:type="dxa"/>
            </w:tcMar>
            <w:vAlign w:val="center"/>
          </w:tcPr>
          <w:p>
            <w:r>
              <w:rPr>
                <w:sz w:val="17"/>
              </w:rPr>
              <w:t>Invalidation responsiveness</w:t>
            </w:r>
          </w:p>
        </w:tc>
        <w:tc>
          <w:tcPr>
            <w:tcW w:type="dxa" w:w="4824"/>
            <w:tcMar>
              <w:top w:w="100" w:type="dxa"/>
              <w:start w:w="120" w:type="dxa"/>
              <w:bottom w:w="100" w:type="dxa"/>
              <w:end w:w="120" w:type="dxa"/>
            </w:tcMar>
            <w:vAlign w:val="center"/>
          </w:tcPr>
          <w:p>
            <w:r>
              <w:rPr>
                <w:sz w:val="17"/>
              </w:rPr>
              <w:t>Time from invalidating evidence to status update.</w:t>
            </w:r>
          </w:p>
        </w:tc>
        <w:tc>
          <w:tcPr>
            <w:tcW w:type="dxa" w:w="2160"/>
            <w:tcMar>
              <w:top w:w="100" w:type="dxa"/>
              <w:start w:w="120" w:type="dxa"/>
              <w:bottom w:w="100" w:type="dxa"/>
              <w:end w:w="120" w:type="dxa"/>
            </w:tcMar>
            <w:vAlign w:val="center"/>
          </w:tcPr>
          <w:p>
            <w:r>
              <w:rPr>
                <w:sz w:val="17"/>
              </w:rPr>
              <w:t>Decrease</w:t>
            </w:r>
          </w:p>
        </w:tc>
      </w:tr>
      <w:tr>
        <w:tc>
          <w:tcPr>
            <w:tcW w:type="dxa" w:w="2592"/>
            <w:tcMar>
              <w:top w:w="100" w:type="dxa"/>
              <w:start w:w="120" w:type="dxa"/>
              <w:bottom w:w="100" w:type="dxa"/>
              <w:end w:w="120" w:type="dxa"/>
            </w:tcMar>
            <w:vAlign w:val="center"/>
          </w:tcPr>
          <w:p>
            <w:r>
              <w:rPr>
                <w:sz w:val="17"/>
              </w:rPr>
              <w:t>Retention</w:t>
            </w:r>
          </w:p>
        </w:tc>
        <w:tc>
          <w:tcPr>
            <w:tcW w:type="dxa" w:w="4824"/>
            <w:tcMar>
              <w:top w:w="100" w:type="dxa"/>
              <w:start w:w="120" w:type="dxa"/>
              <w:bottom w:w="100" w:type="dxa"/>
              <w:end w:w="120" w:type="dxa"/>
            </w:tcMar>
            <w:vAlign w:val="center"/>
          </w:tcPr>
          <w:p>
            <w:r>
              <w:rPr>
                <w:sz w:val="17"/>
              </w:rPr>
              <w:t>Active users returning to feed/watchlists.</w:t>
            </w:r>
          </w:p>
        </w:tc>
        <w:tc>
          <w:tcPr>
            <w:tcW w:type="dxa" w:w="2160"/>
            <w:tcMar>
              <w:top w:w="100" w:type="dxa"/>
              <w:start w:w="120" w:type="dxa"/>
              <w:bottom w:w="100" w:type="dxa"/>
              <w:end w:w="120" w:type="dxa"/>
            </w:tcMar>
            <w:vAlign w:val="center"/>
          </w:tcPr>
          <w:p>
            <w:r>
              <w:rPr>
                <w:sz w:val="17"/>
              </w:rPr>
              <w:t>Improve after beta</w:t>
            </w:r>
          </w:p>
        </w:tc>
      </w:tr>
    </w:tbl>
    <w:p/>
    <w:p>
      <w:pPr>
        <w:pStyle w:val="Heading1"/>
      </w:pPr>
      <w:r>
        <w:t>16. Testing and Acceptance Criteria</w:t>
      </w:r>
    </w:p>
    <w:p>
      <w:pPr>
        <w:pStyle w:val="Heading2"/>
      </w:pPr>
      <w:r>
        <w:t>16.1 Test layers</w:t>
      </w:r>
    </w:p>
    <w:p>
      <w:pPr>
        <w:pStyle w:val="ListBullet"/>
      </w:pPr>
      <w:r>
        <w:t>Unit tests for score calculations, normalization, permissions, filters, and invalidation rules.</w:t>
      </w:r>
    </w:p>
    <w:p>
      <w:pPr>
        <w:pStyle w:val="ListBullet"/>
      </w:pPr>
      <w:r>
        <w:t>Contract tests for connector payloads and API schemas.</w:t>
      </w:r>
    </w:p>
    <w:p>
      <w:pPr>
        <w:pStyle w:val="ListBullet"/>
      </w:pPr>
      <w:r>
        <w:t>Integration tests from document ingestion through candidate creation.</w:t>
      </w:r>
    </w:p>
    <w:p>
      <w:pPr>
        <w:pStyle w:val="ListBullet"/>
      </w:pPr>
      <w:r>
        <w:t>End-to-end tests for sign-in, feed, filtering, detail, watchlists, review approval, and digest delivery.</w:t>
      </w:r>
    </w:p>
    <w:p>
      <w:pPr>
        <w:pStyle w:val="ListBullet"/>
      </w:pPr>
      <w:r>
        <w:t>Golden-dataset tests for entity resolution and extraction.</w:t>
      </w:r>
    </w:p>
    <w:p>
      <w:pPr>
        <w:pStyle w:val="ListBullet"/>
      </w:pPr>
      <w:r>
        <w:t>Security tests for authorization bypass, injection, unsafe file handling, and secret leakage.</w:t>
      </w:r>
    </w:p>
    <w:p>
      <w:pPr>
        <w:pStyle w:val="ListBullet"/>
      </w:pPr>
      <w:r>
        <w:t>Load tests for feed/search and queue throughput at expected beta volume.</w:t>
      </w:r>
    </w:p>
    <w:p>
      <w:pPr>
        <w:pStyle w:val="ListBullet"/>
      </w:pPr>
      <w:r>
        <w:t>Accessibility checks for keyboard navigation, contrast, labels, and screen readers.</w:t>
      </w:r>
    </w:p>
    <w:p>
      <w:pPr>
        <w:pStyle w:val="Heading2"/>
      </w:pPr>
      <w:r>
        <w:t>16.2 MVP release acceptance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324D"/>
            <w:tcMar>
              <w:top w:w="120" w:type="dxa"/>
              <w:start w:w="100" w:type="dxa"/>
              <w:bottom w:w="120" w:type="dxa"/>
              <w:end w:w="100" w:type="dxa"/>
            </w:tcMar>
            <w:vAlign w:val="center"/>
          </w:tcPr>
          <w:p>
            <w:r>
              <w:rPr>
                <w:b/>
                <w:color w:val="FFFFFF"/>
                <w:sz w:val="18"/>
              </w:rPr>
              <w:t>Area</w:t>
            </w:r>
          </w:p>
        </w:tc>
        <w:tc>
          <w:tcPr>
            <w:tcW w:type="dxa" w:w="7056"/>
            <w:shd w:fill="17324D"/>
            <w:tcMar>
              <w:top w:w="120" w:type="dxa"/>
              <w:start w:w="100" w:type="dxa"/>
              <w:bottom w:w="120" w:type="dxa"/>
              <w:end w:w="100" w:type="dxa"/>
            </w:tcMar>
            <w:vAlign w:val="center"/>
          </w:tcPr>
          <w:p>
            <w:r>
              <w:rPr>
                <w:b/>
                <w:color w:val="FFFFFF"/>
                <w:sz w:val="18"/>
              </w:rPr>
              <w:t>Release criterion</w:t>
            </w:r>
          </w:p>
        </w:tc>
      </w:tr>
      <w:tr>
        <w:tc>
          <w:tcPr>
            <w:tcW w:type="dxa" w:w="2520"/>
            <w:tcMar>
              <w:top w:w="100" w:type="dxa"/>
              <w:start w:w="120" w:type="dxa"/>
              <w:bottom w:w="100" w:type="dxa"/>
              <w:end w:w="120" w:type="dxa"/>
            </w:tcMar>
            <w:vAlign w:val="center"/>
          </w:tcPr>
          <w:p>
            <w:r>
              <w:rPr>
                <w:sz w:val="17"/>
              </w:rPr>
              <w:t>End-to-end pipeline</w:t>
            </w:r>
          </w:p>
        </w:tc>
        <w:tc>
          <w:tcPr>
            <w:tcW w:type="dxa" w:w="7056"/>
            <w:tcMar>
              <w:top w:w="100" w:type="dxa"/>
              <w:start w:w="120" w:type="dxa"/>
              <w:bottom w:w="100" w:type="dxa"/>
              <w:end w:w="120" w:type="dxa"/>
            </w:tcMar>
            <w:vAlign w:val="center"/>
          </w:tcPr>
          <w:p>
            <w:r>
              <w:rPr>
                <w:sz w:val="17"/>
              </w:rPr>
              <w:t>At least five approved source connectors can ingest, normalize, and create reviewable candidates.</w:t>
            </w:r>
          </w:p>
        </w:tc>
      </w:tr>
      <w:tr>
        <w:tc>
          <w:tcPr>
            <w:tcW w:type="dxa" w:w="2520"/>
            <w:tcMar>
              <w:top w:w="100" w:type="dxa"/>
              <w:start w:w="120" w:type="dxa"/>
              <w:bottom w:w="100" w:type="dxa"/>
              <w:end w:w="120" w:type="dxa"/>
            </w:tcMar>
            <w:vAlign w:val="center"/>
          </w:tcPr>
          <w:p>
            <w:r>
              <w:rPr>
                <w:sz w:val="17"/>
              </w:rPr>
              <w:t>Data quality</w:t>
            </w:r>
          </w:p>
        </w:tc>
        <w:tc>
          <w:tcPr>
            <w:tcW w:type="dxa" w:w="7056"/>
            <w:tcMar>
              <w:top w:w="100" w:type="dxa"/>
              <w:start w:w="120" w:type="dxa"/>
              <w:bottom w:w="100" w:type="dxa"/>
              <w:end w:w="120" w:type="dxa"/>
            </w:tcMar>
            <w:vAlign w:val="center"/>
          </w:tcPr>
          <w:p>
            <w:r>
              <w:rPr>
                <w:sz w:val="17"/>
              </w:rPr>
              <w:t>Published opportunities have complete evidence links, company mapping, score breakdown, and audit trail.</w:t>
            </w:r>
          </w:p>
        </w:tc>
      </w:tr>
      <w:tr>
        <w:tc>
          <w:tcPr>
            <w:tcW w:type="dxa" w:w="2520"/>
            <w:tcMar>
              <w:top w:w="100" w:type="dxa"/>
              <w:start w:w="120" w:type="dxa"/>
              <w:bottom w:w="100" w:type="dxa"/>
              <w:end w:w="120" w:type="dxa"/>
            </w:tcMar>
            <w:vAlign w:val="center"/>
          </w:tcPr>
          <w:p>
            <w:r>
              <w:rPr>
                <w:sz w:val="17"/>
              </w:rPr>
              <w:t>Website</w:t>
            </w:r>
          </w:p>
        </w:tc>
        <w:tc>
          <w:tcPr>
            <w:tcW w:type="dxa" w:w="7056"/>
            <w:tcMar>
              <w:top w:w="100" w:type="dxa"/>
              <w:start w:w="120" w:type="dxa"/>
              <w:bottom w:w="100" w:type="dxa"/>
              <w:end w:w="120" w:type="dxa"/>
            </w:tcMar>
            <w:vAlign w:val="center"/>
          </w:tcPr>
          <w:p>
            <w:r>
              <w:rPr>
                <w:sz w:val="17"/>
              </w:rPr>
              <w:t>All P0 routes are responsive and usable on desktop and mobile.</w:t>
            </w:r>
          </w:p>
        </w:tc>
      </w:tr>
      <w:tr>
        <w:tc>
          <w:tcPr>
            <w:tcW w:type="dxa" w:w="2520"/>
            <w:tcMar>
              <w:top w:w="100" w:type="dxa"/>
              <w:start w:w="120" w:type="dxa"/>
              <w:bottom w:w="100" w:type="dxa"/>
              <w:end w:w="120" w:type="dxa"/>
            </w:tcMar>
            <w:vAlign w:val="center"/>
          </w:tcPr>
          <w:p>
            <w:r>
              <w:rPr>
                <w:sz w:val="17"/>
              </w:rPr>
              <w:t>Review</w:t>
            </w:r>
          </w:p>
        </w:tc>
        <w:tc>
          <w:tcPr>
            <w:tcW w:type="dxa" w:w="7056"/>
            <w:tcMar>
              <w:top w:w="100" w:type="dxa"/>
              <w:start w:w="120" w:type="dxa"/>
              <w:bottom w:w="100" w:type="dxa"/>
              <w:end w:w="120" w:type="dxa"/>
            </w:tcMar>
            <w:vAlign w:val="center"/>
          </w:tcPr>
          <w:p>
            <w:r>
              <w:rPr>
                <w:sz w:val="17"/>
              </w:rPr>
              <w:t>Analyst can approve, edit, reject, merge, and invalidate without database access.</w:t>
            </w:r>
          </w:p>
        </w:tc>
      </w:tr>
      <w:tr>
        <w:tc>
          <w:tcPr>
            <w:tcW w:type="dxa" w:w="2520"/>
            <w:tcMar>
              <w:top w:w="100" w:type="dxa"/>
              <w:start w:w="120" w:type="dxa"/>
              <w:bottom w:w="100" w:type="dxa"/>
              <w:end w:w="120" w:type="dxa"/>
            </w:tcMar>
            <w:vAlign w:val="center"/>
          </w:tcPr>
          <w:p>
            <w:r>
              <w:rPr>
                <w:sz w:val="17"/>
              </w:rPr>
              <w:t>Alerts</w:t>
            </w:r>
          </w:p>
        </w:tc>
        <w:tc>
          <w:tcPr>
            <w:tcW w:type="dxa" w:w="7056"/>
            <w:tcMar>
              <w:top w:w="100" w:type="dxa"/>
              <w:start w:w="120" w:type="dxa"/>
              <w:bottom w:w="100" w:type="dxa"/>
              <w:end w:w="120" w:type="dxa"/>
            </w:tcMar>
            <w:vAlign w:val="center"/>
          </w:tcPr>
          <w:p>
            <w:r>
              <w:rPr>
                <w:sz w:val="17"/>
              </w:rPr>
              <w:t>Daily digest is idempotent, respects settings, and logs outcome.</w:t>
            </w:r>
          </w:p>
        </w:tc>
      </w:tr>
      <w:tr>
        <w:tc>
          <w:tcPr>
            <w:tcW w:type="dxa" w:w="2520"/>
            <w:tcMar>
              <w:top w:w="100" w:type="dxa"/>
              <w:start w:w="120" w:type="dxa"/>
              <w:bottom w:w="100" w:type="dxa"/>
              <w:end w:w="120" w:type="dxa"/>
            </w:tcMar>
            <w:vAlign w:val="center"/>
          </w:tcPr>
          <w:p>
            <w:r>
              <w:rPr>
                <w:sz w:val="17"/>
              </w:rPr>
              <w:t>Reliability</w:t>
            </w:r>
          </w:p>
        </w:tc>
        <w:tc>
          <w:tcPr>
            <w:tcW w:type="dxa" w:w="7056"/>
            <w:tcMar>
              <w:top w:w="100" w:type="dxa"/>
              <w:start w:w="120" w:type="dxa"/>
              <w:bottom w:w="100" w:type="dxa"/>
              <w:end w:w="120" w:type="dxa"/>
            </w:tcMar>
            <w:vAlign w:val="center"/>
          </w:tcPr>
          <w:p>
            <w:r>
              <w:rPr>
                <w:sz w:val="17"/>
              </w:rPr>
              <w:t>Failed jobs retry safely; connector failures are visible in admin.</w:t>
            </w:r>
          </w:p>
        </w:tc>
      </w:tr>
      <w:tr>
        <w:tc>
          <w:tcPr>
            <w:tcW w:type="dxa" w:w="2520"/>
            <w:tcMar>
              <w:top w:w="100" w:type="dxa"/>
              <w:start w:w="120" w:type="dxa"/>
              <w:bottom w:w="100" w:type="dxa"/>
              <w:end w:w="120" w:type="dxa"/>
            </w:tcMar>
            <w:vAlign w:val="center"/>
          </w:tcPr>
          <w:p>
            <w:r>
              <w:rPr>
                <w:sz w:val="17"/>
              </w:rPr>
              <w:t>Security</w:t>
            </w:r>
          </w:p>
        </w:tc>
        <w:tc>
          <w:tcPr>
            <w:tcW w:type="dxa" w:w="7056"/>
            <w:tcMar>
              <w:top w:w="100" w:type="dxa"/>
              <w:start w:w="120" w:type="dxa"/>
              <w:bottom w:w="100" w:type="dxa"/>
              <w:end w:w="120" w:type="dxa"/>
            </w:tcMar>
            <w:vAlign w:val="center"/>
          </w:tcPr>
          <w:p>
            <w:r>
              <w:rPr>
                <w:sz w:val="17"/>
              </w:rPr>
              <w:t>No known critical vulnerabilities; role authorization tests pass.</w:t>
            </w:r>
          </w:p>
        </w:tc>
      </w:tr>
      <w:tr>
        <w:tc>
          <w:tcPr>
            <w:tcW w:type="dxa" w:w="2520"/>
            <w:tcMar>
              <w:top w:w="100" w:type="dxa"/>
              <w:start w:w="120" w:type="dxa"/>
              <w:bottom w:w="100" w:type="dxa"/>
              <w:end w:w="120" w:type="dxa"/>
            </w:tcMar>
            <w:vAlign w:val="center"/>
          </w:tcPr>
          <w:p>
            <w:r>
              <w:rPr>
                <w:sz w:val="17"/>
              </w:rPr>
              <w:t>Legal</w:t>
            </w:r>
          </w:p>
        </w:tc>
        <w:tc>
          <w:tcPr>
            <w:tcW w:type="dxa" w:w="7056"/>
            <w:tcMar>
              <w:top w:w="100" w:type="dxa"/>
              <w:start w:w="120" w:type="dxa"/>
              <w:bottom w:w="100" w:type="dxa"/>
              <w:end w:w="120" w:type="dxa"/>
            </w:tcMar>
            <w:vAlign w:val="center"/>
          </w:tcPr>
          <w:p>
            <w:r>
              <w:rPr>
                <w:sz w:val="17"/>
              </w:rPr>
              <w:t>Terms, privacy, risk disclosure, source policy, and takedown/contact flow are present.</w:t>
            </w:r>
          </w:p>
        </w:tc>
      </w:tr>
      <w:tr>
        <w:tc>
          <w:tcPr>
            <w:tcW w:type="dxa" w:w="2520"/>
            <w:tcMar>
              <w:top w:w="100" w:type="dxa"/>
              <w:start w:w="120" w:type="dxa"/>
              <w:bottom w:w="100" w:type="dxa"/>
              <w:end w:w="120" w:type="dxa"/>
            </w:tcMar>
            <w:vAlign w:val="center"/>
          </w:tcPr>
          <w:p>
            <w:r>
              <w:rPr>
                <w:sz w:val="17"/>
              </w:rPr>
              <w:t>Observability</w:t>
            </w:r>
          </w:p>
        </w:tc>
        <w:tc>
          <w:tcPr>
            <w:tcW w:type="dxa" w:w="7056"/>
            <w:tcMar>
              <w:top w:w="100" w:type="dxa"/>
              <w:start w:w="120" w:type="dxa"/>
              <w:bottom w:w="100" w:type="dxa"/>
              <w:end w:w="120" w:type="dxa"/>
            </w:tcMar>
            <w:vAlign w:val="center"/>
          </w:tcPr>
          <w:p>
            <w:r>
              <w:rPr>
                <w:sz w:val="17"/>
              </w:rPr>
              <w:t>Errors, job failures, API latency, and connector freshness are measurable.</w:t>
            </w:r>
          </w:p>
        </w:tc>
      </w:tr>
    </w:tbl>
    <w:p/>
    <w:p>
      <w:pPr>
        <w:pStyle w:val="Heading1"/>
      </w:pPr>
      <w:r>
        <w:t>17. Delivery Plan and Engineering Milestones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24D"/>
            <w:tcMar>
              <w:top w:w="120" w:type="dxa"/>
              <w:start w:w="100" w:type="dxa"/>
              <w:bottom w:w="120" w:type="dxa"/>
              <w:end w:w="100" w:type="dxa"/>
            </w:tcMar>
            <w:vAlign w:val="center"/>
          </w:tcPr>
          <w:p>
            <w:r>
              <w:rPr>
                <w:b/>
                <w:color w:val="FFFFFF"/>
                <w:sz w:val="18"/>
              </w:rPr>
              <w:t>Phase</w:t>
            </w:r>
          </w:p>
        </w:tc>
        <w:tc>
          <w:tcPr>
            <w:tcW w:type="dxa" w:w="4680"/>
            <w:shd w:fill="17324D"/>
            <w:tcMar>
              <w:top w:w="120" w:type="dxa"/>
              <w:start w:w="100" w:type="dxa"/>
              <w:bottom w:w="120" w:type="dxa"/>
              <w:end w:w="100" w:type="dxa"/>
            </w:tcMar>
            <w:vAlign w:val="center"/>
          </w:tcPr>
          <w:p>
            <w:r>
              <w:rPr>
                <w:b/>
                <w:color w:val="FFFFFF"/>
                <w:sz w:val="18"/>
              </w:rPr>
              <w:t>Deliverables</w:t>
            </w:r>
          </w:p>
        </w:tc>
        <w:tc>
          <w:tcPr>
            <w:tcW w:type="dxa" w:w="3024"/>
            <w:shd w:fill="17324D"/>
            <w:tcMar>
              <w:top w:w="120" w:type="dxa"/>
              <w:start w:w="100" w:type="dxa"/>
              <w:bottom w:w="120" w:type="dxa"/>
              <w:end w:w="100" w:type="dxa"/>
            </w:tcMar>
            <w:vAlign w:val="center"/>
          </w:tcPr>
          <w:p>
            <w:r>
              <w:rPr>
                <w:b/>
                <w:color w:val="FFFFFF"/>
                <w:sz w:val="18"/>
              </w:rPr>
              <w:t>Exit criteria</w:t>
            </w:r>
          </w:p>
        </w:tc>
      </w:tr>
      <w:tr>
        <w:tc>
          <w:tcPr>
            <w:tcW w:type="dxa" w:w="1872"/>
            <w:tcMar>
              <w:top w:w="100" w:type="dxa"/>
              <w:start w:w="120" w:type="dxa"/>
              <w:bottom w:w="100" w:type="dxa"/>
              <w:end w:w="120" w:type="dxa"/>
            </w:tcMar>
            <w:vAlign w:val="center"/>
          </w:tcPr>
          <w:p>
            <w:r>
              <w:rPr>
                <w:sz w:val="17"/>
              </w:rPr>
              <w:t>0. Repository foundation</w:t>
            </w:r>
          </w:p>
        </w:tc>
        <w:tc>
          <w:tcPr>
            <w:tcW w:type="dxa" w:w="4680"/>
            <w:tcMar>
              <w:top w:w="100" w:type="dxa"/>
              <w:start w:w="120" w:type="dxa"/>
              <w:bottom w:w="100" w:type="dxa"/>
              <w:end w:w="120" w:type="dxa"/>
            </w:tcMar>
            <w:vAlign w:val="center"/>
          </w:tcPr>
          <w:p>
            <w:r>
              <w:rPr>
                <w:sz w:val="17"/>
              </w:rPr>
              <w:t>Monorepo, CI, environments, database migrations, auth, design system, logging.</w:t>
            </w:r>
          </w:p>
        </w:tc>
        <w:tc>
          <w:tcPr>
            <w:tcW w:type="dxa" w:w="3024"/>
            <w:tcMar>
              <w:top w:w="100" w:type="dxa"/>
              <w:start w:w="120" w:type="dxa"/>
              <w:bottom w:w="100" w:type="dxa"/>
              <w:end w:w="120" w:type="dxa"/>
            </w:tcMar>
            <w:vAlign w:val="center"/>
          </w:tcPr>
          <w:p>
            <w:r>
              <w:rPr>
                <w:sz w:val="17"/>
              </w:rPr>
              <w:t>Preview deployment, tests, and migration pipeline work.</w:t>
            </w:r>
          </w:p>
        </w:tc>
      </w:tr>
      <w:tr>
        <w:tc>
          <w:tcPr>
            <w:tcW w:type="dxa" w:w="1872"/>
            <w:tcMar>
              <w:top w:w="100" w:type="dxa"/>
              <w:start w:w="120" w:type="dxa"/>
              <w:bottom w:w="100" w:type="dxa"/>
              <w:end w:w="120" w:type="dxa"/>
            </w:tcMar>
            <w:vAlign w:val="center"/>
          </w:tcPr>
          <w:p>
            <w:r>
              <w:rPr>
                <w:sz w:val="17"/>
              </w:rPr>
              <w:t>1. Read-only product shell</w:t>
            </w:r>
          </w:p>
        </w:tc>
        <w:tc>
          <w:tcPr>
            <w:tcW w:type="dxa" w:w="4680"/>
            <w:tcMar>
              <w:top w:w="100" w:type="dxa"/>
              <w:start w:w="120" w:type="dxa"/>
              <w:bottom w:w="100" w:type="dxa"/>
              <w:end w:w="120" w:type="dxa"/>
            </w:tcMar>
            <w:vAlign w:val="center"/>
          </w:tcPr>
          <w:p>
            <w:r>
              <w:rPr>
                <w:sz w:val="17"/>
              </w:rPr>
              <w:t>Landing, feed mock, opportunity detail mock, company page mock, methodology.</w:t>
            </w:r>
          </w:p>
        </w:tc>
        <w:tc>
          <w:tcPr>
            <w:tcW w:type="dxa" w:w="3024"/>
            <w:tcMar>
              <w:top w:w="100" w:type="dxa"/>
              <w:start w:w="120" w:type="dxa"/>
              <w:bottom w:w="100" w:type="dxa"/>
              <w:end w:w="120" w:type="dxa"/>
            </w:tcMar>
            <w:vAlign w:val="center"/>
          </w:tcPr>
          <w:p>
            <w:r>
              <w:rPr>
                <w:sz w:val="17"/>
              </w:rPr>
              <w:t>Stakeholders approve UX and object model.</w:t>
            </w:r>
          </w:p>
        </w:tc>
      </w:tr>
      <w:tr>
        <w:tc>
          <w:tcPr>
            <w:tcW w:type="dxa" w:w="1872"/>
            <w:tcMar>
              <w:top w:w="100" w:type="dxa"/>
              <w:start w:w="120" w:type="dxa"/>
              <w:bottom w:w="100" w:type="dxa"/>
              <w:end w:w="120" w:type="dxa"/>
            </w:tcMar>
            <w:vAlign w:val="center"/>
          </w:tcPr>
          <w:p>
            <w:r>
              <w:rPr>
                <w:sz w:val="17"/>
              </w:rPr>
              <w:t>2. Core data model and admin</w:t>
            </w:r>
          </w:p>
        </w:tc>
        <w:tc>
          <w:tcPr>
            <w:tcW w:type="dxa" w:w="4680"/>
            <w:tcMar>
              <w:top w:w="100" w:type="dxa"/>
              <w:start w:w="120" w:type="dxa"/>
              <w:bottom w:w="100" w:type="dxa"/>
              <w:end w:w="120" w:type="dxa"/>
            </w:tcMar>
            <w:vAlign w:val="center"/>
          </w:tcPr>
          <w:p>
            <w:r>
              <w:rPr>
                <w:sz w:val="17"/>
              </w:rPr>
              <w:t>Postgres schema, seed data, review queue, opportunity CRUD, audit log.</w:t>
            </w:r>
          </w:p>
        </w:tc>
        <w:tc>
          <w:tcPr>
            <w:tcW w:type="dxa" w:w="3024"/>
            <w:tcMar>
              <w:top w:w="100" w:type="dxa"/>
              <w:start w:w="120" w:type="dxa"/>
              <w:bottom w:w="100" w:type="dxa"/>
              <w:end w:w="120" w:type="dxa"/>
            </w:tcMar>
            <w:vAlign w:val="center"/>
          </w:tcPr>
          <w:p>
            <w:r>
              <w:rPr>
                <w:sz w:val="17"/>
              </w:rPr>
              <w:t>Analyst can publish a manually entered opportunity.</w:t>
            </w:r>
          </w:p>
        </w:tc>
      </w:tr>
      <w:tr>
        <w:tc>
          <w:tcPr>
            <w:tcW w:type="dxa" w:w="1872"/>
            <w:tcMar>
              <w:top w:w="100" w:type="dxa"/>
              <w:start w:w="120" w:type="dxa"/>
              <w:bottom w:w="100" w:type="dxa"/>
              <w:end w:w="120" w:type="dxa"/>
            </w:tcMar>
            <w:vAlign w:val="center"/>
          </w:tcPr>
          <w:p>
            <w:r>
              <w:rPr>
                <w:sz w:val="17"/>
              </w:rPr>
              <w:t>3. First connectors</w:t>
            </w:r>
          </w:p>
        </w:tc>
        <w:tc>
          <w:tcPr>
            <w:tcW w:type="dxa" w:w="4680"/>
            <w:tcMar>
              <w:top w:w="100" w:type="dxa"/>
              <w:start w:w="120" w:type="dxa"/>
              <w:bottom w:w="100" w:type="dxa"/>
              <w:end w:w="120" w:type="dxa"/>
            </w:tcMar>
            <w:vAlign w:val="center"/>
          </w:tcPr>
          <w:p>
            <w:r>
              <w:rPr>
                <w:sz w:val="17"/>
              </w:rPr>
              <w:t>SEC, federal contracts, IR feeds, FDA/ClinicalTrials, patents.</w:t>
            </w:r>
          </w:p>
        </w:tc>
        <w:tc>
          <w:tcPr>
            <w:tcW w:type="dxa" w:w="3024"/>
            <w:tcMar>
              <w:top w:w="100" w:type="dxa"/>
              <w:start w:w="120" w:type="dxa"/>
              <w:bottom w:w="100" w:type="dxa"/>
              <w:end w:w="120" w:type="dxa"/>
            </w:tcMar>
            <w:vAlign w:val="center"/>
          </w:tcPr>
          <w:p>
            <w:r>
              <w:rPr>
                <w:sz w:val="17"/>
              </w:rPr>
              <w:t>Documents ingest idempotently with health metrics.</w:t>
            </w:r>
          </w:p>
        </w:tc>
      </w:tr>
      <w:tr>
        <w:tc>
          <w:tcPr>
            <w:tcW w:type="dxa" w:w="1872"/>
            <w:tcMar>
              <w:top w:w="100" w:type="dxa"/>
              <w:start w:w="120" w:type="dxa"/>
              <w:bottom w:w="100" w:type="dxa"/>
              <w:end w:w="120" w:type="dxa"/>
            </w:tcMar>
            <w:vAlign w:val="center"/>
          </w:tcPr>
          <w:p>
            <w:r>
              <w:rPr>
                <w:sz w:val="17"/>
              </w:rPr>
              <w:t>4. Extraction and entity resolution</w:t>
            </w:r>
          </w:p>
        </w:tc>
        <w:tc>
          <w:tcPr>
            <w:tcW w:type="dxa" w:w="4680"/>
            <w:tcMar>
              <w:top w:w="100" w:type="dxa"/>
              <w:start w:w="120" w:type="dxa"/>
              <w:bottom w:w="100" w:type="dxa"/>
              <w:end w:w="120" w:type="dxa"/>
            </w:tcMar>
            <w:vAlign w:val="center"/>
          </w:tcPr>
          <w:p>
            <w:r>
              <w:rPr>
                <w:sz w:val="17"/>
              </w:rPr>
              <w:t>Structured extraction, ticker/CIK mapping, evidence anchors, duplicate detection.</w:t>
            </w:r>
          </w:p>
        </w:tc>
        <w:tc>
          <w:tcPr>
            <w:tcW w:type="dxa" w:w="3024"/>
            <w:tcMar>
              <w:top w:w="100" w:type="dxa"/>
              <w:start w:w="120" w:type="dxa"/>
              <w:bottom w:w="100" w:type="dxa"/>
              <w:end w:w="120" w:type="dxa"/>
            </w:tcMar>
            <w:vAlign w:val="center"/>
          </w:tcPr>
          <w:p>
            <w:r>
              <w:rPr>
                <w:sz w:val="17"/>
              </w:rPr>
              <w:t>Golden dataset meets mapping/extraction thresholds.</w:t>
            </w:r>
          </w:p>
        </w:tc>
      </w:tr>
      <w:tr>
        <w:tc>
          <w:tcPr>
            <w:tcW w:type="dxa" w:w="1872"/>
            <w:tcMar>
              <w:top w:w="100" w:type="dxa"/>
              <w:start w:w="120" w:type="dxa"/>
              <w:bottom w:w="100" w:type="dxa"/>
              <w:end w:w="120" w:type="dxa"/>
            </w:tcMar>
            <w:vAlign w:val="center"/>
          </w:tcPr>
          <w:p>
            <w:r>
              <w:rPr>
                <w:sz w:val="17"/>
              </w:rPr>
              <w:t>5. Scoring and rules</w:t>
            </w:r>
          </w:p>
        </w:tc>
        <w:tc>
          <w:tcPr>
            <w:tcW w:type="dxa" w:w="4680"/>
            <w:tcMar>
              <w:top w:w="100" w:type="dxa"/>
              <w:start w:w="120" w:type="dxa"/>
              <w:bottom w:w="100" w:type="dxa"/>
              <w:end w:w="120" w:type="dxa"/>
            </w:tcMar>
            <w:vAlign w:val="center"/>
          </w:tcPr>
          <w:p>
            <w:r>
              <w:rPr>
                <w:sz w:val="17"/>
              </w:rPr>
              <w:t>Score calculators, explainability, publication gates, risk flags.</w:t>
            </w:r>
          </w:p>
        </w:tc>
        <w:tc>
          <w:tcPr>
            <w:tcW w:type="dxa" w:w="3024"/>
            <w:tcMar>
              <w:top w:w="100" w:type="dxa"/>
              <w:start w:w="120" w:type="dxa"/>
              <w:bottom w:w="100" w:type="dxa"/>
              <w:end w:w="120" w:type="dxa"/>
            </w:tcMar>
            <w:vAlign w:val="center"/>
          </w:tcPr>
          <w:p>
            <w:r>
              <w:rPr>
                <w:sz w:val="17"/>
              </w:rPr>
              <w:t>Reviewer sees reproducible score breakdown.</w:t>
            </w:r>
          </w:p>
        </w:tc>
      </w:tr>
      <w:tr>
        <w:tc>
          <w:tcPr>
            <w:tcW w:type="dxa" w:w="1872"/>
            <w:tcMar>
              <w:top w:w="100" w:type="dxa"/>
              <w:start w:w="120" w:type="dxa"/>
              <w:bottom w:w="100" w:type="dxa"/>
              <w:end w:w="120" w:type="dxa"/>
            </w:tcMar>
            <w:vAlign w:val="center"/>
          </w:tcPr>
          <w:p>
            <w:r>
              <w:rPr>
                <w:sz w:val="17"/>
              </w:rPr>
              <w:t>6. User features</w:t>
            </w:r>
          </w:p>
        </w:tc>
        <w:tc>
          <w:tcPr>
            <w:tcW w:type="dxa" w:w="4680"/>
            <w:tcMar>
              <w:top w:w="100" w:type="dxa"/>
              <w:start w:w="120" w:type="dxa"/>
              <w:bottom w:w="100" w:type="dxa"/>
              <w:end w:w="120" w:type="dxa"/>
            </w:tcMar>
            <w:vAlign w:val="center"/>
          </w:tcPr>
          <w:p>
            <w:r>
              <w:rPr>
                <w:sz w:val="17"/>
              </w:rPr>
              <w:t>Live feed, search, filters, company pages, watchlists, settings.</w:t>
            </w:r>
          </w:p>
        </w:tc>
        <w:tc>
          <w:tcPr>
            <w:tcW w:type="dxa" w:w="3024"/>
            <w:tcMar>
              <w:top w:w="100" w:type="dxa"/>
              <w:start w:w="120" w:type="dxa"/>
              <w:bottom w:w="100" w:type="dxa"/>
              <w:end w:w="120" w:type="dxa"/>
            </w:tcMar>
            <w:vAlign w:val="center"/>
          </w:tcPr>
          <w:p>
            <w:r>
              <w:rPr>
                <w:sz w:val="17"/>
              </w:rPr>
              <w:t>P0 journeys pass E2E tests.</w:t>
            </w:r>
          </w:p>
        </w:tc>
      </w:tr>
      <w:tr>
        <w:tc>
          <w:tcPr>
            <w:tcW w:type="dxa" w:w="1872"/>
            <w:tcMar>
              <w:top w:w="100" w:type="dxa"/>
              <w:start w:w="120" w:type="dxa"/>
              <w:bottom w:w="100" w:type="dxa"/>
              <w:end w:w="120" w:type="dxa"/>
            </w:tcMar>
            <w:vAlign w:val="center"/>
          </w:tcPr>
          <w:p>
            <w:r>
              <w:rPr>
                <w:sz w:val="17"/>
              </w:rPr>
              <w:t>7. Alerts and monitoring</w:t>
            </w:r>
          </w:p>
        </w:tc>
        <w:tc>
          <w:tcPr>
            <w:tcW w:type="dxa" w:w="4680"/>
            <w:tcMar>
              <w:top w:w="100" w:type="dxa"/>
              <w:start w:w="120" w:type="dxa"/>
              <w:bottom w:w="100" w:type="dxa"/>
              <w:end w:w="120" w:type="dxa"/>
            </w:tcMar>
            <w:vAlign w:val="center"/>
          </w:tcPr>
          <w:p>
            <w:r>
              <w:rPr>
                <w:sz w:val="17"/>
              </w:rPr>
              <w:t>Daily digest, high-confidence alert path, invalidation notifications, admin source health.</w:t>
            </w:r>
          </w:p>
        </w:tc>
        <w:tc>
          <w:tcPr>
            <w:tcW w:type="dxa" w:w="3024"/>
            <w:tcMar>
              <w:top w:w="100" w:type="dxa"/>
              <w:start w:w="120" w:type="dxa"/>
              <w:bottom w:w="100" w:type="dxa"/>
              <w:end w:w="120" w:type="dxa"/>
            </w:tcMar>
            <w:vAlign w:val="center"/>
          </w:tcPr>
          <w:p>
            <w:r>
              <w:rPr>
                <w:sz w:val="17"/>
              </w:rPr>
              <w:t>Delivery and retry tests pass.</w:t>
            </w:r>
          </w:p>
        </w:tc>
      </w:tr>
      <w:tr>
        <w:tc>
          <w:tcPr>
            <w:tcW w:type="dxa" w:w="1872"/>
            <w:tcMar>
              <w:top w:w="100" w:type="dxa"/>
              <w:start w:w="120" w:type="dxa"/>
              <w:bottom w:w="100" w:type="dxa"/>
              <w:end w:w="120" w:type="dxa"/>
            </w:tcMar>
            <w:vAlign w:val="center"/>
          </w:tcPr>
          <w:p>
            <w:r>
              <w:rPr>
                <w:sz w:val="17"/>
              </w:rPr>
              <w:t>8. Closed beta hardening</w:t>
            </w:r>
          </w:p>
        </w:tc>
        <w:tc>
          <w:tcPr>
            <w:tcW w:type="dxa" w:w="4680"/>
            <w:tcMar>
              <w:top w:w="100" w:type="dxa"/>
              <w:start w:w="120" w:type="dxa"/>
              <w:bottom w:w="100" w:type="dxa"/>
              <w:end w:w="120" w:type="dxa"/>
            </w:tcMar>
            <w:vAlign w:val="center"/>
          </w:tcPr>
          <w:p>
            <w:r>
              <w:rPr>
                <w:sz w:val="17"/>
              </w:rPr>
              <w:t>Security, accessibility, performance, legal copy, analytics, support flow.</w:t>
            </w:r>
          </w:p>
        </w:tc>
        <w:tc>
          <w:tcPr>
            <w:tcW w:type="dxa" w:w="3024"/>
            <w:tcMar>
              <w:top w:w="100" w:type="dxa"/>
              <w:start w:w="120" w:type="dxa"/>
              <w:bottom w:w="100" w:type="dxa"/>
              <w:end w:w="120" w:type="dxa"/>
            </w:tcMar>
            <w:vAlign w:val="center"/>
          </w:tcPr>
          <w:p>
            <w:r>
              <w:rPr>
                <w:sz w:val="17"/>
              </w:rPr>
              <w:t>MVP release acceptance criteria met.</w:t>
            </w:r>
          </w:p>
        </w:tc>
      </w:tr>
    </w:tbl>
    <w:p/>
    <w:p>
      <w:pPr>
        <w:pStyle w:val="Heading2"/>
      </w:pPr>
      <w:r>
        <w:t>17.1 Suggested repository structure</w:t>
      </w:r>
    </w:p>
    <w:p>
      <w:pPr>
        <w:pStyle w:val="CodeBlock"/>
      </w:pPr>
      <w:r>
        <w:t>/apps/web                 Next.js website and web API</w:t>
        <w:br/>
        <w:t>/apps/worker              Python or TypeScript ingestion/analysis worker</w:t>
        <w:br/>
        <w:t>/packages/db              Database schema, migrations, generated client</w:t>
        <w:br/>
        <w:t>/packages/domain          Shared types, score formulas, validation schemas</w:t>
        <w:br/>
        <w:t>/packages/ui              Reusable UI components</w:t>
        <w:br/>
        <w:t>/packages/connectors      Connector interfaces and implementations</w:t>
        <w:br/>
        <w:t>/packages/prompts         Versioned AI prompts and JSON schemas</w:t>
        <w:br/>
        <w:t>/packages/config          Environment and feature-flag configuration</w:t>
        <w:br/>
        <w:t>/infra                    Deployment and local development configuration</w:t>
        <w:br/>
        <w:t>/tests/golden             Curated extraction/entity-resolution fixtures</w:t>
        <w:br/>
        <w:t>/docs                     Architecture decisions, source policy, runbooks</w:t>
        <w:br/>
      </w:r>
    </w:p>
    <w:p>
      <w:pPr>
        <w:pStyle w:val="Heading1"/>
      </w:pPr>
      <w:r>
        <w:t>18. Coding-Agent Master Build Prompt</w:t>
      </w:r>
    </w:p>
    <w:p>
      <w:r>
        <w:t>The following can be pasted into Claude Code or another coding platform. It intentionally tells the agent to work incrementally rather than attempt every feature in one uncontrolled pass.</w:t>
      </w:r>
    </w:p>
    <w:p>
      <w:pPr>
        <w:pStyle w:val="CodeBlock"/>
      </w:pPr>
      <w:r>
        <w:t>You are the lead engineer for a production-oriented MVP called “Hidden Catalyst Discovery Platform.” Build the application described in this PRD.</w:t>
        <w:br/>
        <w:br/>
        <w:t>PRODUCT GOAL</w:t>
        <w:br/>
        <w:t>Create an evidence-first public-market intelligence website that identifies public developments connected to underfollowed U.S.-listed companies, evaluates financial materiality and information asymmetry, and presents source-linked research opportunities. It is not a trading bot, stock-price predictor, news summarizer, or brokerage product.</w:t>
        <w:br/>
        <w:br/>
        <w:t>MANDATORY PRODUCT RULES</w:t>
        <w:br/>
        <w:t>1. Every published opportunity must have at least one evidence item and a mapped active public security.</w:t>
        <w:br/>
        <w:t>2. Store verified facts separately from AI-generated inferences, estimates, assumptions, and unconfirmed signals.</w:t>
        <w:br/>
        <w:t>3. Every score must expose raw factors, weights, model version, and confidence.</w:t>
        <w:br/>
        <w:t>4. Do not auto-publish micro-cap, low-liquidity, rumor-only, legal-allegation, weak-mapping, or promotional candidates.</w:t>
        <w:br/>
        <w:t>5. Do not claim guaranteed returns or guaranteed price direction.</w:t>
        <w:br/>
        <w:t>6. Preserve an audit trail for ingestion, model outputs, reviews, edits, publications, and invalidations.</w:t>
        <w:br/>
        <w:t>7. Treat source content as untrusted input and defend against prompt injection.</w:t>
        <w:br/>
        <w:br/>
        <w:t>IMPLEMENTATION APPROACH</w:t>
        <w:br/>
        <w:t>- Use a TypeScript-first monorepo.</w:t>
        <w:br/>
        <w:t>- Frontend: Next.js, TypeScript, Tailwind, accessible component library.</w:t>
        <w:br/>
        <w:t>- Database: PostgreSQL with migrations and a typed ORM.</w:t>
        <w:br/>
        <w:t>- Use PostgreSQL full-text search and pgvector initially.</w:t>
        <w:br/>
        <w:t>- Use background jobs for ingestion, extraction, scoring, and alerts.</w:t>
        <w:br/>
        <w:t>- Store raw documents in S3-compatible object storage.</w:t>
        <w:br/>
        <w:t>- Use structured logging, error tracking, and connector health metrics.</w:t>
        <w:br/>
        <w:t>- Use strict JSON schemas for all AI outputs.</w:t>
        <w:br/>
        <w:t>- Keep AI providers behind an interface so they can be changed.</w:t>
        <w:br/>
        <w:br/>
        <w:t>BUILD IN PHASES</w:t>
        <w:br/>
        <w:t>Phase 1: repository, authentication, database, roles, design system, test framework, CI, and preview deployment.</w:t>
        <w:br/>
        <w:t>Phase 2: implement the core schema and seed data. Build a read-only feed, opportunity detail page, company page, methodology page, watchlists, and settings.</w:t>
        <w:br/>
        <w:t>Phase 3: build admin review queue and manually create/edit/approve/reject/publish/invalidate opportunities.</w:t>
        <w:br/>
        <w:t>Phase 4: implement source connector framework and at least one real connector plus mock connectors for the remaining MVP source families.</w:t>
        <w:br/>
        <w:t>Phase 5: implement evidence extraction, entity resolution, scoring, risk gates, and explainability.</w:t>
        <w:br/>
        <w:t>Phase 6: implement search, filters, daily digest, connector health, audit views, tests, and documentation.</w:t>
        <w:br/>
        <w:br/>
        <w:t>FIRST DELIVERABLE</w:t>
        <w:br/>
        <w:t>Before writing large amounts of code:</w:t>
        <w:br/>
        <w:t>1. Read the PRD.</w:t>
        <w:br/>
        <w:t>2. Produce an architecture decision record with key choices and tradeoffs.</w:t>
        <w:br/>
        <w:t>3. Produce the proposed database schema.</w:t>
        <w:br/>
        <w:t>4. Produce the route map and component tree.</w:t>
        <w:br/>
        <w:t>5. Produce a milestone checklist.</w:t>
        <w:br/>
        <w:t>6. Identify assumptions and gaps, but make reasonable defaults rather than blocking on minor questions.</w:t>
        <w:br/>
        <w:t>7. Then implement Phase 1 and Phase 2 only.</w:t>
        <w:br/>
        <w:br/>
        <w:t>QUALITY REQUIREMENTS</w:t>
        <w:br/>
        <w:t>- Strict TypeScript and runtime validation.</w:t>
        <w:br/>
        <w:t>- Server-side authorization.</w:t>
        <w:br/>
        <w:t>- Database constraints and idempotency keys.</w:t>
        <w:br/>
        <w:t>- Unit, integration, and end-to-end tests.</w:t>
        <w:br/>
        <w:t>- Accessible responsive UI.</w:t>
        <w:br/>
        <w:t>- No secrets in source control.</w:t>
        <w:br/>
        <w:t>- Seed data that demonstrates a government-contract opportunity, an FDA opportunity, a patent opportunity, a supplier relationship, and an invalidated opportunity.</w:t>
        <w:br/>
        <w:t>- A README with local setup, environment variables, migrations, tests, seed, and deployment.</w:t>
        <w:br/>
        <w:t>- An architecture document and source-connector interface specification.</w:t>
        <w:br/>
        <w:br/>
        <w:t>DEFINITION OF DONE FOR THE FIRST BUILD</w:t>
        <w:br/>
        <w:t>- User can sign in.</w:t>
        <w:br/>
        <w:t>- User can browse and filter seeded opportunities.</w:t>
        <w:br/>
        <w:t>- User can open an opportunity and inspect claims, scores, evidence, relationships, risks, and audit data.</w:t>
        <w:br/>
        <w:t>- User can view a company page and create a watchlist.</w:t>
        <w:br/>
        <w:t>- Analyst can review, edit, approve, reject, publish, and invalidate candidates.</w:t>
        <w:br/>
        <w:t>- All critical flows have automated tests.</w:t>
        <w:br/>
        <w:t>- The app runs locally with one command after environment setup.</w:t>
        <w:br/>
        <w:t>- Preview deployment succeeds.</w:t>
        <w:br/>
        <w:br/>
        <w:t>Do not fabricate external APIs or credentials. Where a source cannot be connected without credentials, create a typed connector interface, a fixture-backed mock, and clear setup instructions. Keep the code modular, documented, and ready for the next connector implementation.</w:t>
      </w:r>
    </w:p>
    <w:p>
      <w:pPr>
        <w:pStyle w:val="Heading2"/>
      </w:pPr>
      <w:r>
        <w:t>18.1 Build-agent operating rules</w:t>
      </w:r>
    </w:p>
    <w:p>
      <w:pPr>
        <w:pStyle w:val="ListBullet"/>
      </w:pPr>
      <w:r>
        <w:t>Ask for clarification only when a decision is truly blocking. Otherwise document the assumption and proceed.</w:t>
      </w:r>
    </w:p>
    <w:p>
      <w:pPr>
        <w:pStyle w:val="ListBullet"/>
      </w:pPr>
      <w:r>
        <w:t>Commit work in small coherent increments and keep the app runnable after each phase.</w:t>
      </w:r>
    </w:p>
    <w:p>
      <w:pPr>
        <w:pStyle w:val="ListBullet"/>
      </w:pPr>
      <w:r>
        <w:t>Do not replace real evidence requirements with placeholder AI prose in production paths.</w:t>
      </w:r>
    </w:p>
    <w:p>
      <w:pPr>
        <w:pStyle w:val="ListBullet"/>
      </w:pPr>
      <w:r>
        <w:t>Do not add features outside the PRD until P0 acceptance criteria pass.</w:t>
      </w:r>
    </w:p>
    <w:p>
      <w:pPr>
        <w:pStyle w:val="ListBullet"/>
      </w:pPr>
      <w:r>
        <w:t>Create architecture decision records when deviating from the recommended stack or data model.</w:t>
      </w:r>
    </w:p>
    <w:p>
      <w:pPr>
        <w:pStyle w:val="ListBullet"/>
      </w:pPr>
      <w:r>
        <w:t>Prefer simple managed infrastructure for MVP, while preserving clean service interfaces.</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C88"/>
        <w:sz w:val="16"/>
      </w:rPr>
      <w:t xml:space="preserve">Hidden Catalyst Discovery Platform — Build PRD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C5F7A"/>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D6B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4B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59" w:right="259"/>
    </w:pPr>
    <w:rPr>
      <w:rFonts w:ascii="Consolas" w:hAnsi="Consolas"/>
      <w:sz w:val="16"/>
    </w:rPr>
  </w:style>
  <w:style w:type="paragraph" w:customStyle="1" w:styleId="Callout">
    <w:name w:val="Callout"/>
    <w:pPr>
      <w:spacing w:before="100" w:after="140"/>
      <w:ind w:left="259" w:right="259"/>
    </w:pPr>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