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A365D"/>
          <w:sz w:val="44"/>
        </w:rPr>
        <w:t>Project Documentation: Smart Zone Retail Analytics</w:t>
      </w:r>
    </w:p>
    <w:p>
      <w:pPr>
        <w:spacing w:after="280"/>
      </w:pPr>
      <w:r>
        <w:rPr>
          <w:rFonts w:ascii="Calibri" w:hAnsi="Calibri"/>
          <w:color w:val="718096"/>
          <w:sz w:val="24"/>
        </w:rPr>
        <w:t>NTI Data Analytics Track | End-to-End Business Intelligence &amp; Reporting</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top w:val="none"/>
              <w:left w:val="single" w:sz="24" w:space="0" w:color="2B6CB0"/>
              <w:bottom w:val="none"/>
              <w:right w:val="none"/>
            </w:tcBorders>
          </w:tcPr>
          <w:p>
            <w:pPr>
              <w:spacing w:before="40" w:after="60"/>
            </w:pPr>
            <w:r>
              <w:rPr>
                <w:rFonts w:ascii="Calibri" w:hAnsi="Calibri"/>
                <w:b/>
                <w:color w:val="1A365D"/>
                <w:sz w:val="22"/>
              </w:rPr>
              <w:t>Project Overview &amp; Executive Summary</w:t>
              <w:br/>
            </w:r>
            <w:r>
              <w:rPr>
                <w:rFonts w:ascii="Calibri" w:hAnsi="Calibri"/>
                <w:color w:val="2D3748"/>
                <w:sz w:val="20"/>
              </w:rPr>
              <w:t>• Program: National Telecommunication Institute (NTI) - Data Analytics &amp; BI Track</w:t>
              <w:br/>
              <w:t>• Project Title: Smart Zone Retail Analytics &amp; Performance Intelligence</w:t>
              <w:br/>
              <w:t>• Tools &amp; Technologies: Excel Power Pivot, DAX (Data Analysis Expressions), Star Schema Modeling, Data Storytelling</w:t>
              <w:br/>
              <w:t>• Key Metric Highlights: Total Revenue: 106.40M EGP | Total Profit: 12.07M EGP | Overall Margin: 11.34% | Transactions: 1,200</w:t>
            </w:r>
          </w:p>
        </w:tc>
      </w:tr>
    </w:tbl>
    <w:p>
      <w:pPr>
        <w:keepNext/>
        <w:spacing w:before="280" w:after="80"/>
      </w:pPr>
      <w:r>
        <w:rPr>
          <w:rFonts w:ascii="Calibri" w:hAnsi="Calibri"/>
          <w:b/>
          <w:color w:val="1A365D"/>
          <w:sz w:val="32"/>
        </w:rPr>
        <w:t>1. Project Background &amp; Business Objectives</w:t>
      </w:r>
    </w:p>
    <w:p>
      <w:pPr>
        <w:spacing w:line="276" w:lineRule="auto" w:after="120"/>
      </w:pPr>
      <w:r>
        <w:rPr>
          <w:rFonts w:ascii="Calibri" w:hAnsi="Calibri"/>
          <w:sz w:val="21"/>
        </w:rPr>
        <w:t>Smart Zone is a leading retail electronics enterprise operating multiple branches across key Egyptian governorates (Cairo, Alexandria, and Mansoura). The primary business mandate of this project was to transition from scattered transactional logs into a centralized, scalable Business Intelligence (BI) data model to evaluate financial health, regional profitability, workforce productivity, and payment ecosystem trends.</w:t>
      </w:r>
    </w:p>
    <w:p>
      <w:pPr>
        <w:pStyle w:val="ListBullet"/>
        <w:spacing w:before="40" w:after="60" w:line="276" w:lineRule="auto"/>
      </w:pPr>
      <w:r>
        <w:rPr>
          <w:rFonts w:ascii="Calibri" w:hAnsi="Calibri"/>
          <w:b/>
          <w:color w:val="2D3748"/>
          <w:sz w:val="21"/>
        </w:rPr>
        <w:t xml:space="preserve">Revenue &amp; Profitability Assessment: </w:t>
      </w:r>
      <w:r>
        <w:rPr>
          <w:rFonts w:ascii="Calibri" w:hAnsi="Calibri"/>
          <w:color w:val="2D3748"/>
          <w:sz w:val="21"/>
        </w:rPr>
        <w:t>Quantify total top-line sales and bottom-line margin percentages across stores and departments.</w:t>
      </w:r>
    </w:p>
    <w:p>
      <w:pPr>
        <w:pStyle w:val="ListBullet"/>
        <w:spacing w:before="40" w:after="60" w:line="276" w:lineRule="auto"/>
      </w:pPr>
      <w:r>
        <w:rPr>
          <w:rFonts w:ascii="Calibri" w:hAnsi="Calibri"/>
          <w:b/>
          <w:color w:val="2D3748"/>
          <w:sz w:val="21"/>
        </w:rPr>
        <w:t xml:space="preserve">Operational Efficiency: </w:t>
      </w:r>
      <w:r>
        <w:rPr>
          <w:rFonts w:ascii="Calibri" w:hAnsi="Calibri"/>
          <w:color w:val="2D3748"/>
          <w:sz w:val="21"/>
        </w:rPr>
        <w:t>Evaluate store-level performance and uncover factors driving regional variance in profit margins.</w:t>
      </w:r>
    </w:p>
    <w:p>
      <w:pPr>
        <w:pStyle w:val="ListBullet"/>
        <w:spacing w:before="40" w:after="60" w:line="276" w:lineRule="auto"/>
      </w:pPr>
      <w:r>
        <w:rPr>
          <w:rFonts w:ascii="Calibri" w:hAnsi="Calibri"/>
          <w:b/>
          <w:color w:val="2D3748"/>
          <w:sz w:val="21"/>
        </w:rPr>
        <w:t xml:space="preserve">Workforce Analytics: </w:t>
      </w:r>
      <w:r>
        <w:rPr>
          <w:rFonts w:ascii="Calibri" w:hAnsi="Calibri"/>
          <w:color w:val="2D3748"/>
          <w:sz w:val="21"/>
        </w:rPr>
        <w:t>Identify top-performing sales representatives versus low-activity personnel to optimize incentives and training.</w:t>
      </w:r>
    </w:p>
    <w:p>
      <w:pPr>
        <w:pStyle w:val="ListBullet"/>
        <w:spacing w:before="40" w:after="60" w:line="276" w:lineRule="auto"/>
      </w:pPr>
      <w:r>
        <w:rPr>
          <w:rFonts w:ascii="Calibri" w:hAnsi="Calibri"/>
          <w:b/>
          <w:color w:val="2D3748"/>
          <w:sz w:val="21"/>
        </w:rPr>
        <w:t xml:space="preserve">Product Mix &amp; Payment Preferences: </w:t>
      </w:r>
      <w:r>
        <w:rPr>
          <w:rFonts w:ascii="Calibri" w:hAnsi="Calibri"/>
          <w:color w:val="2D3748"/>
          <w:sz w:val="21"/>
        </w:rPr>
        <w:t>Analyze volume vs. revenue across hardware categories and assess customer reliance on credit, cash, and installment options.</w:t>
      </w:r>
    </w:p>
    <w:p>
      <w:pPr>
        <w:keepNext/>
        <w:spacing w:before="280" w:after="80"/>
      </w:pPr>
      <w:r>
        <w:rPr>
          <w:rFonts w:ascii="Calibri" w:hAnsi="Calibri"/>
          <w:b/>
          <w:color w:val="1A365D"/>
          <w:sz w:val="32"/>
        </w:rPr>
        <w:t>2. Data Architecture &amp; Dimensional Modeling (Star Schema)</w:t>
      </w:r>
    </w:p>
    <w:p>
      <w:pPr>
        <w:spacing w:line="276" w:lineRule="auto" w:after="120"/>
      </w:pPr>
      <w:r>
        <w:rPr>
          <w:rFonts w:ascii="Calibri" w:hAnsi="Calibri"/>
          <w:sz w:val="21"/>
        </w:rPr>
        <w:t>To ensure optimal query performance and intuitive analytical slicing in Power Pivot, the data was modeled into a standard Star Schema. The central Fact table captures granular retail events, linked to Dimension tables via one-to-many (1:*) relationships.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r>
              <w:rPr>
                <w:rFonts w:ascii="Calibri" w:hAnsi="Calibri"/>
                <w:b/>
                <w:color w:val="FFFFFF"/>
                <w:sz w:val="20"/>
              </w:rPr>
              <w:t>Table Name</w:t>
            </w:r>
          </w:p>
        </w:tc>
        <w:tc>
          <w:tcPr>
            <w:tcW w:type="dxa" w:w="2340"/>
            <w:shd w:fill="1A365D"/>
            <w:tcMar>
              <w:top w:w="100" w:type="dxa"/>
              <w:bottom w:w="100" w:type="dxa"/>
              <w:left w:w="120" w:type="dxa"/>
              <w:right w:w="120" w:type="dxa"/>
            </w:tcMar>
          </w:tcPr>
          <w:p>
            <w:r>
              <w:rPr>
                <w:rFonts w:ascii="Calibri" w:hAnsi="Calibri"/>
                <w:b/>
                <w:color w:val="FFFFFF"/>
                <w:sz w:val="20"/>
              </w:rPr>
              <w:t>Table Type</w:t>
            </w:r>
          </w:p>
        </w:tc>
        <w:tc>
          <w:tcPr>
            <w:tcW w:type="dxa" w:w="2340"/>
            <w:shd w:fill="1A365D"/>
            <w:tcMar>
              <w:top w:w="100" w:type="dxa"/>
              <w:bottom w:w="100" w:type="dxa"/>
              <w:left w:w="120" w:type="dxa"/>
              <w:right w:w="120" w:type="dxa"/>
            </w:tcMar>
          </w:tcPr>
          <w:p>
            <w:r>
              <w:rPr>
                <w:rFonts w:ascii="Calibri" w:hAnsi="Calibri"/>
                <w:b/>
                <w:color w:val="FFFFFF"/>
                <w:sz w:val="20"/>
              </w:rPr>
              <w:t>Primary / Foreign Key</w:t>
            </w:r>
          </w:p>
        </w:tc>
        <w:tc>
          <w:tcPr>
            <w:tcW w:type="dxa" w:w="2340"/>
            <w:shd w:fill="1A365D"/>
            <w:tcMar>
              <w:top w:w="100" w:type="dxa"/>
              <w:bottom w:w="100" w:type="dxa"/>
              <w:left w:w="120" w:type="dxa"/>
              <w:right w:w="120" w:type="dxa"/>
            </w:tcMar>
          </w:tcPr>
          <w:p>
            <w:r>
              <w:rPr>
                <w:rFonts w:ascii="Calibri" w:hAnsi="Calibri"/>
                <w:b/>
                <w:color w:val="FFFFFF"/>
                <w:sz w:val="20"/>
              </w:rPr>
              <w:t>Key Attributes &amp; Role</w:t>
            </w:r>
          </w:p>
        </w:tc>
      </w:tr>
      <w:tr>
        <w:tc>
          <w:tcPr>
            <w:tcW w:type="dxa" w:w="2340"/>
            <w:shd w:fill="F7FAFC"/>
            <w:tcMar>
              <w:top w:w="80" w:type="dxa"/>
              <w:bottom w:w="80" w:type="dxa"/>
              <w:left w:w="120" w:type="dxa"/>
              <w:right w:w="120" w:type="dxa"/>
            </w:tcMar>
          </w:tcPr>
          <w:p>
            <w:r>
              <w:rPr>
                <w:rFonts w:ascii="Calibri" w:hAnsi="Calibri"/>
                <w:color w:val="2D3748"/>
                <w:sz w:val="19"/>
              </w:rPr>
              <w:t>Fact_Sales</w:t>
            </w:r>
          </w:p>
        </w:tc>
        <w:tc>
          <w:tcPr>
            <w:tcW w:type="dxa" w:w="2340"/>
            <w:shd w:fill="F7FAFC"/>
            <w:tcMar>
              <w:top w:w="80" w:type="dxa"/>
              <w:bottom w:w="80" w:type="dxa"/>
              <w:left w:w="120" w:type="dxa"/>
              <w:right w:w="120" w:type="dxa"/>
            </w:tcMar>
          </w:tcPr>
          <w:p>
            <w:r>
              <w:rPr>
                <w:rFonts w:ascii="Calibri" w:hAnsi="Calibri"/>
                <w:color w:val="2D3748"/>
                <w:sz w:val="19"/>
              </w:rPr>
              <w:t>Fact Table</w:t>
            </w:r>
          </w:p>
        </w:tc>
        <w:tc>
          <w:tcPr>
            <w:tcW w:type="dxa" w:w="2340"/>
            <w:shd w:fill="F7FAFC"/>
            <w:tcMar>
              <w:top w:w="80" w:type="dxa"/>
              <w:bottom w:w="80" w:type="dxa"/>
              <w:left w:w="120" w:type="dxa"/>
              <w:right w:w="120" w:type="dxa"/>
            </w:tcMar>
          </w:tcPr>
          <w:p>
            <w:r>
              <w:rPr>
                <w:rFonts w:ascii="Calibri" w:hAnsi="Calibri"/>
                <w:color w:val="2D3748"/>
                <w:sz w:val="19"/>
              </w:rPr>
              <w:t>FK: store_id, product_id, emp_id, date</w:t>
            </w:r>
          </w:p>
        </w:tc>
        <w:tc>
          <w:tcPr>
            <w:tcW w:type="dxa" w:w="2340"/>
            <w:shd w:fill="F7FAFC"/>
            <w:tcMar>
              <w:top w:w="80" w:type="dxa"/>
              <w:bottom w:w="80" w:type="dxa"/>
              <w:left w:w="120" w:type="dxa"/>
              <w:right w:w="120" w:type="dxa"/>
            </w:tcMar>
          </w:tcPr>
          <w:p>
            <w:r>
              <w:rPr>
                <w:rFonts w:ascii="Calibri" w:hAnsi="Calibri"/>
                <w:color w:val="2D3748"/>
                <w:sz w:val="19"/>
              </w:rPr>
              <w:t>Transactional records (1,200 rows), quantity sold, payment method, unit financials.</w:t>
            </w:r>
          </w:p>
        </w:tc>
      </w:tr>
      <w:tr>
        <w:tc>
          <w:tcPr>
            <w:tcW w:type="dxa" w:w="2340"/>
            <w:shd w:fill="FFFFFF"/>
            <w:tcMar>
              <w:top w:w="80" w:type="dxa"/>
              <w:bottom w:w="80" w:type="dxa"/>
              <w:left w:w="120" w:type="dxa"/>
              <w:right w:w="120" w:type="dxa"/>
            </w:tcMar>
          </w:tcPr>
          <w:p>
            <w:r>
              <w:rPr>
                <w:rFonts w:ascii="Calibri" w:hAnsi="Calibri"/>
                <w:color w:val="2D3748"/>
                <w:sz w:val="19"/>
              </w:rPr>
              <w:t>Dim_Stores</w:t>
            </w:r>
          </w:p>
        </w:tc>
        <w:tc>
          <w:tcPr>
            <w:tcW w:type="dxa" w:w="2340"/>
            <w:shd w:fill="FFFFFF"/>
            <w:tcMar>
              <w:top w:w="80" w:type="dxa"/>
              <w:bottom w:w="80" w:type="dxa"/>
              <w:left w:w="120" w:type="dxa"/>
              <w:right w:w="120" w:type="dxa"/>
            </w:tcMar>
          </w:tcPr>
          <w:p>
            <w:r>
              <w:rPr>
                <w:rFonts w:ascii="Calibri" w:hAnsi="Calibri"/>
                <w:color w:val="2D3748"/>
                <w:sz w:val="19"/>
              </w:rPr>
              <w:t>Dimension</w:t>
            </w:r>
          </w:p>
        </w:tc>
        <w:tc>
          <w:tcPr>
            <w:tcW w:type="dxa" w:w="2340"/>
            <w:shd w:fill="FFFFFF"/>
            <w:tcMar>
              <w:top w:w="80" w:type="dxa"/>
              <w:bottom w:w="80" w:type="dxa"/>
              <w:left w:w="120" w:type="dxa"/>
              <w:right w:w="120" w:type="dxa"/>
            </w:tcMar>
          </w:tcPr>
          <w:p>
            <w:r>
              <w:rPr>
                <w:rFonts w:ascii="Calibri" w:hAnsi="Calibri"/>
                <w:color w:val="2D3748"/>
                <w:sz w:val="19"/>
              </w:rPr>
              <w:t>PK: store_id</w:t>
            </w:r>
          </w:p>
        </w:tc>
        <w:tc>
          <w:tcPr>
            <w:tcW w:type="dxa" w:w="2340"/>
            <w:shd w:fill="FFFFFF"/>
            <w:tcMar>
              <w:top w:w="80" w:type="dxa"/>
              <w:bottom w:w="80" w:type="dxa"/>
              <w:left w:w="120" w:type="dxa"/>
              <w:right w:w="120" w:type="dxa"/>
            </w:tcMar>
          </w:tcPr>
          <w:p>
            <w:r>
              <w:rPr>
                <w:rFonts w:ascii="Calibri" w:hAnsi="Calibri"/>
                <w:color w:val="2D3748"/>
                <w:sz w:val="19"/>
              </w:rPr>
              <w:t>Branch metadata, store name (Cairo, Alex, Mansoura), location details.</w:t>
            </w:r>
          </w:p>
        </w:tc>
      </w:tr>
      <w:tr>
        <w:tc>
          <w:tcPr>
            <w:tcW w:type="dxa" w:w="2340"/>
            <w:shd w:fill="F7FAFC"/>
            <w:tcMar>
              <w:top w:w="80" w:type="dxa"/>
              <w:bottom w:w="80" w:type="dxa"/>
              <w:left w:w="120" w:type="dxa"/>
              <w:right w:w="120" w:type="dxa"/>
            </w:tcMar>
          </w:tcPr>
          <w:p>
            <w:r>
              <w:rPr>
                <w:rFonts w:ascii="Calibri" w:hAnsi="Calibri"/>
                <w:color w:val="2D3748"/>
                <w:sz w:val="19"/>
              </w:rPr>
              <w:t>Dim_Products</w:t>
            </w:r>
          </w:p>
        </w:tc>
        <w:tc>
          <w:tcPr>
            <w:tcW w:type="dxa" w:w="2340"/>
            <w:shd w:fill="F7FAFC"/>
            <w:tcMar>
              <w:top w:w="80" w:type="dxa"/>
              <w:bottom w:w="80" w:type="dxa"/>
              <w:left w:w="120" w:type="dxa"/>
              <w:right w:w="120" w:type="dxa"/>
            </w:tcMar>
          </w:tcPr>
          <w:p>
            <w:r>
              <w:rPr>
                <w:rFonts w:ascii="Calibri" w:hAnsi="Calibri"/>
                <w:color w:val="2D3748"/>
                <w:sz w:val="19"/>
              </w:rPr>
              <w:t>Dimension</w:t>
            </w:r>
          </w:p>
        </w:tc>
        <w:tc>
          <w:tcPr>
            <w:tcW w:type="dxa" w:w="2340"/>
            <w:shd w:fill="F7FAFC"/>
            <w:tcMar>
              <w:top w:w="80" w:type="dxa"/>
              <w:bottom w:w="80" w:type="dxa"/>
              <w:left w:w="120" w:type="dxa"/>
              <w:right w:w="120" w:type="dxa"/>
            </w:tcMar>
          </w:tcPr>
          <w:p>
            <w:r>
              <w:rPr>
                <w:rFonts w:ascii="Calibri" w:hAnsi="Calibri"/>
                <w:color w:val="2D3748"/>
                <w:sz w:val="19"/>
              </w:rPr>
              <w:t>PK: product_id</w:t>
            </w:r>
          </w:p>
        </w:tc>
        <w:tc>
          <w:tcPr>
            <w:tcW w:type="dxa" w:w="2340"/>
            <w:shd w:fill="F7FAFC"/>
            <w:tcMar>
              <w:top w:w="80" w:type="dxa"/>
              <w:bottom w:w="80" w:type="dxa"/>
              <w:left w:w="120" w:type="dxa"/>
              <w:right w:w="120" w:type="dxa"/>
            </w:tcMar>
          </w:tcPr>
          <w:p>
            <w:r>
              <w:rPr>
                <w:rFonts w:ascii="Calibri" w:hAnsi="Calibri"/>
                <w:color w:val="2D3748"/>
                <w:sz w:val="19"/>
              </w:rPr>
              <w:t>Product category (Laptops, Smartphones, etc.), unit cost, selling price.</w:t>
            </w:r>
          </w:p>
        </w:tc>
      </w:tr>
      <w:tr>
        <w:tc>
          <w:tcPr>
            <w:tcW w:type="dxa" w:w="2340"/>
            <w:shd w:fill="FFFFFF"/>
            <w:tcMar>
              <w:top w:w="80" w:type="dxa"/>
              <w:bottom w:w="80" w:type="dxa"/>
              <w:left w:w="120" w:type="dxa"/>
              <w:right w:w="120" w:type="dxa"/>
            </w:tcMar>
          </w:tcPr>
          <w:p>
            <w:r>
              <w:rPr>
                <w:rFonts w:ascii="Calibri" w:hAnsi="Calibri"/>
                <w:color w:val="2D3748"/>
                <w:sz w:val="19"/>
              </w:rPr>
              <w:t>Dim_Employees</w:t>
            </w:r>
          </w:p>
        </w:tc>
        <w:tc>
          <w:tcPr>
            <w:tcW w:type="dxa" w:w="2340"/>
            <w:shd w:fill="FFFFFF"/>
            <w:tcMar>
              <w:top w:w="80" w:type="dxa"/>
              <w:bottom w:w="80" w:type="dxa"/>
              <w:left w:w="120" w:type="dxa"/>
              <w:right w:w="120" w:type="dxa"/>
            </w:tcMar>
          </w:tcPr>
          <w:p>
            <w:r>
              <w:rPr>
                <w:rFonts w:ascii="Calibri" w:hAnsi="Calibri"/>
                <w:color w:val="2D3748"/>
                <w:sz w:val="19"/>
              </w:rPr>
              <w:t>Dimension</w:t>
            </w:r>
          </w:p>
        </w:tc>
        <w:tc>
          <w:tcPr>
            <w:tcW w:type="dxa" w:w="2340"/>
            <w:shd w:fill="FFFFFF"/>
            <w:tcMar>
              <w:top w:w="80" w:type="dxa"/>
              <w:bottom w:w="80" w:type="dxa"/>
              <w:left w:w="120" w:type="dxa"/>
              <w:right w:w="120" w:type="dxa"/>
            </w:tcMar>
          </w:tcPr>
          <w:p>
            <w:r>
              <w:rPr>
                <w:rFonts w:ascii="Calibri" w:hAnsi="Calibri"/>
                <w:color w:val="2D3748"/>
                <w:sz w:val="19"/>
              </w:rPr>
              <w:t>PK: emp_id</w:t>
            </w:r>
          </w:p>
        </w:tc>
        <w:tc>
          <w:tcPr>
            <w:tcW w:type="dxa" w:w="2340"/>
            <w:shd w:fill="FFFFFF"/>
            <w:tcMar>
              <w:top w:w="80" w:type="dxa"/>
              <w:bottom w:w="80" w:type="dxa"/>
              <w:left w:w="120" w:type="dxa"/>
              <w:right w:w="120" w:type="dxa"/>
            </w:tcMar>
          </w:tcPr>
          <w:p>
            <w:r>
              <w:rPr>
                <w:rFonts w:ascii="Calibri" w:hAnsi="Calibri"/>
                <w:color w:val="2D3748"/>
                <w:sz w:val="19"/>
              </w:rPr>
              <w:t>Sales representative details, branch assignment, transaction volume.</w:t>
            </w:r>
          </w:p>
        </w:tc>
      </w:tr>
    </w:tbl>
    <w:p>
      <w:pPr>
        <w:spacing w:after="80"/>
      </w:pPr>
    </w:p>
    <w:p>
      <w:pPr>
        <w:keepNext/>
        <w:spacing w:before="280" w:after="80"/>
      </w:pPr>
      <w:r>
        <w:rPr>
          <w:rFonts w:ascii="Calibri" w:hAnsi="Calibri"/>
          <w:b/>
          <w:color w:val="1A365D"/>
          <w:sz w:val="32"/>
        </w:rPr>
        <w:t>3. Power Pivot &amp; DAX Measures Implementation</w:t>
      </w:r>
    </w:p>
    <w:p>
      <w:pPr>
        <w:spacing w:line="276" w:lineRule="auto" w:after="120"/>
      </w:pPr>
      <w:r>
        <w:rPr>
          <w:rFonts w:ascii="Calibri" w:hAnsi="Calibri"/>
          <w:sz w:val="21"/>
        </w:rPr>
        <w:t>Key Performance Indicators (KPIs) and analytical metrics were computed inside Power Pivot using Data Analysis Expressions (DAX). The formulas guarantee dynamic recalculation across all pivot dimensions and slicers:</w:t>
      </w:r>
    </w:p>
    <w:p>
      <w:pPr>
        <w:pStyle w:val="ListBullet"/>
        <w:spacing w:before="40" w:after="60" w:line="276" w:lineRule="auto"/>
      </w:pPr>
      <w:r>
        <w:rPr>
          <w:rFonts w:ascii="Calibri" w:hAnsi="Calibri"/>
          <w:b/>
          <w:color w:val="2D3748"/>
          <w:sz w:val="21"/>
        </w:rPr>
        <w:t xml:space="preserve">Total Revenue: </w:t>
      </w:r>
      <w:r>
        <w:rPr>
          <w:rFonts w:ascii="Calibri" w:hAnsi="Calibri"/>
          <w:color w:val="2D3748"/>
          <w:sz w:val="21"/>
        </w:rPr>
        <w:t>Calculates gross sales value across all completed transactions.</w:t>
        <w:br/>
        <w:t xml:space="preserve">   Formula: Total Revenue = SUMX(Fact_Sales, Fact_Sales[quantity] * RELATED(Dim_Products[price]))</w:t>
      </w:r>
    </w:p>
    <w:p>
      <w:pPr>
        <w:pStyle w:val="ListBullet"/>
        <w:spacing w:before="40" w:after="60" w:line="276" w:lineRule="auto"/>
      </w:pPr>
      <w:r>
        <w:rPr>
          <w:rFonts w:ascii="Calibri" w:hAnsi="Calibri"/>
          <w:b/>
          <w:color w:val="2D3748"/>
          <w:sz w:val="21"/>
        </w:rPr>
        <w:t xml:space="preserve">Total Cost: </w:t>
      </w:r>
      <w:r>
        <w:rPr>
          <w:rFonts w:ascii="Calibri" w:hAnsi="Calibri"/>
          <w:color w:val="2D3748"/>
          <w:sz w:val="21"/>
        </w:rPr>
        <w:t>Computes total Cost of Goods Sold (COGS) based on product baseline cost.</w:t>
        <w:br/>
        <w:t xml:space="preserve">   Formula: Total Cost = SUMX(Fact_Sales, Fact_Sales[quantity] * RELATED(Dim_Products[cost]))</w:t>
      </w:r>
    </w:p>
    <w:p>
      <w:pPr>
        <w:pStyle w:val="ListBullet"/>
        <w:spacing w:before="40" w:after="60" w:line="276" w:lineRule="auto"/>
      </w:pPr>
      <w:r>
        <w:rPr>
          <w:rFonts w:ascii="Calibri" w:hAnsi="Calibri"/>
          <w:b/>
          <w:color w:val="2D3748"/>
          <w:sz w:val="21"/>
        </w:rPr>
        <w:t xml:space="preserve">Total Profit: </w:t>
      </w:r>
      <w:r>
        <w:rPr>
          <w:rFonts w:ascii="Calibri" w:hAnsi="Calibri"/>
          <w:color w:val="2D3748"/>
          <w:sz w:val="21"/>
        </w:rPr>
        <w:t>Net operational gross margin generated before OPEX overhead.</w:t>
        <w:br/>
        <w:t xml:space="preserve">   Formula: Total Profit = [Total Revenue] - [Total Cost]</w:t>
      </w:r>
    </w:p>
    <w:p>
      <w:pPr>
        <w:pStyle w:val="ListBullet"/>
        <w:spacing w:before="40" w:after="60" w:line="276" w:lineRule="auto"/>
      </w:pPr>
      <w:r>
        <w:rPr>
          <w:rFonts w:ascii="Calibri" w:hAnsi="Calibri"/>
          <w:b/>
          <w:color w:val="2D3748"/>
          <w:sz w:val="21"/>
        </w:rPr>
        <w:t xml:space="preserve">Profit Margin %: </w:t>
      </w:r>
      <w:r>
        <w:rPr>
          <w:rFonts w:ascii="Calibri" w:hAnsi="Calibri"/>
          <w:color w:val="2D3748"/>
          <w:sz w:val="21"/>
        </w:rPr>
        <w:t>Evaluates percentage return per EGP of revenue generated.</w:t>
        <w:br/>
        <w:t xml:space="preserve">   Formula: Profit Margin % = DIVIDE([Total Profit], [Total Revenue], 0)</w:t>
      </w:r>
    </w:p>
    <w:p>
      <w:pPr>
        <w:pStyle w:val="ListBullet"/>
        <w:spacing w:before="40" w:after="60" w:line="276" w:lineRule="auto"/>
      </w:pPr>
      <w:r>
        <w:rPr>
          <w:rFonts w:ascii="Calibri" w:hAnsi="Calibri"/>
          <w:b/>
          <w:color w:val="2D3748"/>
          <w:sz w:val="21"/>
        </w:rPr>
        <w:t xml:space="preserve">Total Quantity Sold: </w:t>
      </w:r>
      <w:r>
        <w:rPr>
          <w:rFonts w:ascii="Calibri" w:hAnsi="Calibri"/>
          <w:color w:val="2D3748"/>
          <w:sz w:val="21"/>
        </w:rPr>
        <w:t>Total units of physical hardware and accessories sold (7,308 units).</w:t>
        <w:br/>
        <w:t xml:space="preserve">   Formula: Total Quantity Sold = SUM(Fact_Sales[quantity])</w:t>
      </w:r>
    </w:p>
    <w:p>
      <w:pPr>
        <w:pStyle w:val="ListBullet"/>
        <w:spacing w:before="40" w:after="60" w:line="276" w:lineRule="auto"/>
      </w:pPr>
      <w:r>
        <w:rPr>
          <w:rFonts w:ascii="Calibri" w:hAnsi="Calibri"/>
          <w:b/>
          <w:color w:val="2D3748"/>
          <w:sz w:val="21"/>
        </w:rPr>
        <w:t xml:space="preserve">Total Transactions: </w:t>
      </w:r>
      <w:r>
        <w:rPr>
          <w:rFonts w:ascii="Calibri" w:hAnsi="Calibri"/>
          <w:color w:val="2D3748"/>
          <w:sz w:val="21"/>
        </w:rPr>
        <w:t>Total individual checkout receipts recorded (1,200 transactions).</w:t>
        <w:br/>
        <w:t xml:space="preserve">   Formula: Total Transactions = COUNTROWS(Fact_Sales)</w:t>
      </w:r>
    </w:p>
    <w:p>
      <w:pPr>
        <w:pStyle w:val="ListBullet"/>
        <w:spacing w:before="40" w:after="60" w:line="276" w:lineRule="auto"/>
      </w:pPr>
      <w:r>
        <w:rPr>
          <w:rFonts w:ascii="Calibri" w:hAnsi="Calibri"/>
          <w:b/>
          <w:color w:val="2D3748"/>
          <w:sz w:val="21"/>
        </w:rPr>
        <w:t xml:space="preserve">Profit Margin KPI Status: </w:t>
      </w:r>
      <w:r>
        <w:rPr>
          <w:rFonts w:ascii="Calibri" w:hAnsi="Calibri"/>
          <w:color w:val="2D3748"/>
          <w:sz w:val="21"/>
        </w:rPr>
        <w:t>Threshold indicator flagging branches achieving healthy double-digit margins.</w:t>
        <w:br/>
        <w:t xml:space="preserve">   Formula: Profit Margin % Status = IF([Profit Margin %] &gt;= 0.10, 1, 0)</w:t>
      </w:r>
    </w:p>
    <w:p>
      <w:pPr>
        <w:keepNext/>
        <w:spacing w:before="280" w:after="80"/>
      </w:pPr>
      <w:r>
        <w:rPr>
          <w:rFonts w:ascii="Calibri" w:hAnsi="Calibri"/>
          <w:b/>
          <w:color w:val="1A365D"/>
          <w:sz w:val="32"/>
        </w:rPr>
        <w:t>4. Comprehensive Analysis &amp; Executive Findings</w:t>
      </w:r>
    </w:p>
    <w:p>
      <w:pPr>
        <w:keepNext/>
        <w:spacing w:before="280" w:after="80"/>
      </w:pPr>
      <w:r>
        <w:rPr>
          <w:rFonts w:ascii="Calibri" w:hAnsi="Calibri"/>
          <w:b/>
          <w:color w:val="2B6CB0"/>
          <w:sz w:val="26"/>
        </w:rPr>
        <w:t>4.1 Branch Financials &amp; Profitability Analysis</w:t>
      </w:r>
    </w:p>
    <w:p>
      <w:pPr>
        <w:spacing w:line="276" w:lineRule="auto" w:after="120"/>
      </w:pPr>
      <w:r>
        <w:rPr>
          <w:rFonts w:ascii="Calibri" w:hAnsi="Calibri"/>
          <w:sz w:val="21"/>
        </w:rPr>
        <w:t>Analysis of the three operational branches reveals an important commercial paradox: While Smart Zone Cairo drives the highest gross revenue, Smart Zone Mansoura delivers the highest absolute profit and the highest profit margin.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20" w:type="dxa"/>
              <w:right w:w="120" w:type="dxa"/>
            </w:tcMar>
          </w:tcPr>
          <w:p>
            <w:r>
              <w:rPr>
                <w:rFonts w:ascii="Calibri" w:hAnsi="Calibri"/>
                <w:b/>
                <w:color w:val="FFFFFF"/>
                <w:sz w:val="19"/>
              </w:rPr>
              <w:t>Store Name</w:t>
            </w:r>
          </w:p>
        </w:tc>
        <w:tc>
          <w:tcPr>
            <w:tcW w:type="dxa" w:w="1872"/>
            <w:shd w:fill="1A365D"/>
            <w:tcMar>
              <w:top w:w="100" w:type="dxa"/>
              <w:bottom w:w="100" w:type="dxa"/>
              <w:left w:w="120" w:type="dxa"/>
              <w:right w:w="120" w:type="dxa"/>
            </w:tcMar>
          </w:tcPr>
          <w:p>
            <w:r>
              <w:rPr>
                <w:rFonts w:ascii="Calibri" w:hAnsi="Calibri"/>
                <w:b/>
                <w:color w:val="FFFFFF"/>
                <w:sz w:val="19"/>
              </w:rPr>
              <w:t>Total Revenue (EGP)</w:t>
            </w:r>
          </w:p>
        </w:tc>
        <w:tc>
          <w:tcPr>
            <w:tcW w:type="dxa" w:w="1872"/>
            <w:shd w:fill="1A365D"/>
            <w:tcMar>
              <w:top w:w="100" w:type="dxa"/>
              <w:bottom w:w="100" w:type="dxa"/>
              <w:left w:w="120" w:type="dxa"/>
              <w:right w:w="120" w:type="dxa"/>
            </w:tcMar>
          </w:tcPr>
          <w:p>
            <w:r>
              <w:rPr>
                <w:rFonts w:ascii="Calibri" w:hAnsi="Calibri"/>
                <w:b/>
                <w:color w:val="FFFFFF"/>
                <w:sz w:val="19"/>
              </w:rPr>
              <w:t>Total Profit (EGP)</w:t>
            </w:r>
          </w:p>
        </w:tc>
        <w:tc>
          <w:tcPr>
            <w:tcW w:type="dxa" w:w="1872"/>
            <w:shd w:fill="1A365D"/>
            <w:tcMar>
              <w:top w:w="100" w:type="dxa"/>
              <w:bottom w:w="100" w:type="dxa"/>
              <w:left w:w="120" w:type="dxa"/>
              <w:right w:w="120" w:type="dxa"/>
            </w:tcMar>
          </w:tcPr>
          <w:p>
            <w:r>
              <w:rPr>
                <w:rFonts w:ascii="Calibri" w:hAnsi="Calibri"/>
                <w:b/>
                <w:color w:val="FFFFFF"/>
                <w:sz w:val="19"/>
              </w:rPr>
              <w:t>Profit Margin %</w:t>
            </w:r>
          </w:p>
        </w:tc>
        <w:tc>
          <w:tcPr>
            <w:tcW w:type="dxa" w:w="1872"/>
            <w:shd w:fill="1A365D"/>
            <w:tcMar>
              <w:top w:w="100" w:type="dxa"/>
              <w:bottom w:w="100" w:type="dxa"/>
              <w:left w:w="120" w:type="dxa"/>
              <w:right w:w="120" w:type="dxa"/>
            </w:tcMar>
          </w:tcPr>
          <w:p>
            <w:r>
              <w:rPr>
                <w:rFonts w:ascii="Calibri" w:hAnsi="Calibri"/>
                <w:b/>
                <w:color w:val="FFFFFF"/>
                <w:sz w:val="19"/>
              </w:rPr>
              <w:t>KPI Status</w:t>
            </w:r>
          </w:p>
        </w:tc>
      </w:tr>
      <w:tr>
        <w:tc>
          <w:tcPr>
            <w:tcW w:type="dxa" w:w="1872"/>
            <w:shd w:fill="F7FAFC"/>
            <w:tcMar>
              <w:top w:w="80" w:type="dxa"/>
              <w:bottom w:w="80" w:type="dxa"/>
              <w:left w:w="120" w:type="dxa"/>
              <w:right w:w="120" w:type="dxa"/>
            </w:tcMar>
          </w:tcPr>
          <w:p>
            <w:r>
              <w:rPr>
                <w:rFonts w:ascii="Calibri" w:hAnsi="Calibri"/>
                <w:color w:val="2D3748"/>
                <w:sz w:val="19"/>
              </w:rPr>
              <w:t>Smart Zone Cairo</w:t>
            </w:r>
          </w:p>
        </w:tc>
        <w:tc>
          <w:tcPr>
            <w:tcW w:type="dxa" w:w="1872"/>
            <w:shd w:fill="F7FAFC"/>
            <w:tcMar>
              <w:top w:w="80" w:type="dxa"/>
              <w:bottom w:w="80" w:type="dxa"/>
              <w:left w:w="120" w:type="dxa"/>
              <w:right w:w="120" w:type="dxa"/>
            </w:tcMar>
          </w:tcPr>
          <w:p>
            <w:r>
              <w:rPr>
                <w:rFonts w:ascii="Calibri" w:hAnsi="Calibri"/>
                <w:color w:val="2D3748"/>
                <w:sz w:val="19"/>
              </w:rPr>
              <w:t>37,758,146.69</w:t>
            </w:r>
          </w:p>
        </w:tc>
        <w:tc>
          <w:tcPr>
            <w:tcW w:type="dxa" w:w="1872"/>
            <w:shd w:fill="F7FAFC"/>
            <w:tcMar>
              <w:top w:w="80" w:type="dxa"/>
              <w:bottom w:w="80" w:type="dxa"/>
              <w:left w:w="120" w:type="dxa"/>
              <w:right w:w="120" w:type="dxa"/>
            </w:tcMar>
          </w:tcPr>
          <w:p>
            <w:r>
              <w:rPr>
                <w:rFonts w:ascii="Calibri" w:hAnsi="Calibri"/>
                <w:color w:val="2D3748"/>
                <w:sz w:val="19"/>
              </w:rPr>
              <w:t>4,068,750.49</w:t>
            </w:r>
          </w:p>
        </w:tc>
        <w:tc>
          <w:tcPr>
            <w:tcW w:type="dxa" w:w="1872"/>
            <w:shd w:fill="F7FAFC"/>
            <w:tcMar>
              <w:top w:w="80" w:type="dxa"/>
              <w:bottom w:w="80" w:type="dxa"/>
              <w:left w:w="120" w:type="dxa"/>
              <w:right w:w="120" w:type="dxa"/>
            </w:tcMar>
          </w:tcPr>
          <w:p>
            <w:r>
              <w:rPr>
                <w:rFonts w:ascii="Calibri" w:hAnsi="Calibri"/>
                <w:color w:val="2D3748"/>
                <w:sz w:val="19"/>
              </w:rPr>
              <w:t>10.78%</w:t>
            </w:r>
          </w:p>
        </w:tc>
        <w:tc>
          <w:tcPr>
            <w:tcW w:type="dxa" w:w="1872"/>
            <w:shd w:fill="F7FAFC"/>
            <w:tcMar>
              <w:top w:w="80" w:type="dxa"/>
              <w:bottom w:w="80" w:type="dxa"/>
              <w:left w:w="120" w:type="dxa"/>
              <w:right w:w="120" w:type="dxa"/>
            </w:tcMar>
          </w:tcPr>
          <w:p>
            <w:r>
              <w:rPr>
                <w:rFonts w:ascii="Calibri" w:hAnsi="Calibri"/>
                <w:color w:val="2D3748"/>
                <w:sz w:val="19"/>
              </w:rPr>
              <w:t>On Target (1)</w:t>
            </w:r>
          </w:p>
        </w:tc>
      </w:tr>
      <w:tr>
        <w:tc>
          <w:tcPr>
            <w:tcW w:type="dxa" w:w="1872"/>
            <w:shd w:fill="FFFFFF"/>
            <w:tcMar>
              <w:top w:w="80" w:type="dxa"/>
              <w:bottom w:w="80" w:type="dxa"/>
              <w:left w:w="120" w:type="dxa"/>
              <w:right w:w="120" w:type="dxa"/>
            </w:tcMar>
          </w:tcPr>
          <w:p>
            <w:r>
              <w:rPr>
                <w:rFonts w:ascii="Calibri" w:hAnsi="Calibri"/>
                <w:color w:val="2D3748"/>
                <w:sz w:val="19"/>
              </w:rPr>
              <w:t>Smart Zone Alexandria</w:t>
            </w:r>
          </w:p>
        </w:tc>
        <w:tc>
          <w:tcPr>
            <w:tcW w:type="dxa" w:w="1872"/>
            <w:shd w:fill="FFFFFF"/>
            <w:tcMar>
              <w:top w:w="80" w:type="dxa"/>
              <w:bottom w:w="80" w:type="dxa"/>
              <w:left w:w="120" w:type="dxa"/>
              <w:right w:w="120" w:type="dxa"/>
            </w:tcMar>
          </w:tcPr>
          <w:p>
            <w:r>
              <w:rPr>
                <w:rFonts w:ascii="Calibri" w:hAnsi="Calibri"/>
                <w:color w:val="2D3748"/>
                <w:sz w:val="19"/>
              </w:rPr>
              <w:t>36,411,294.59</w:t>
            </w:r>
          </w:p>
        </w:tc>
        <w:tc>
          <w:tcPr>
            <w:tcW w:type="dxa" w:w="1872"/>
            <w:shd w:fill="FFFFFF"/>
            <w:tcMar>
              <w:top w:w="80" w:type="dxa"/>
              <w:bottom w:w="80" w:type="dxa"/>
              <w:left w:w="120" w:type="dxa"/>
              <w:right w:w="120" w:type="dxa"/>
            </w:tcMar>
          </w:tcPr>
          <w:p>
            <w:r>
              <w:rPr>
                <w:rFonts w:ascii="Calibri" w:hAnsi="Calibri"/>
                <w:color w:val="2D3748"/>
                <w:sz w:val="19"/>
              </w:rPr>
              <w:t>3,685,437.67</w:t>
            </w:r>
          </w:p>
        </w:tc>
        <w:tc>
          <w:tcPr>
            <w:tcW w:type="dxa" w:w="1872"/>
            <w:shd w:fill="FFFFFF"/>
            <w:tcMar>
              <w:top w:w="80" w:type="dxa"/>
              <w:bottom w:w="80" w:type="dxa"/>
              <w:left w:w="120" w:type="dxa"/>
              <w:right w:w="120" w:type="dxa"/>
            </w:tcMar>
          </w:tcPr>
          <w:p>
            <w:r>
              <w:rPr>
                <w:rFonts w:ascii="Calibri" w:hAnsi="Calibri"/>
                <w:color w:val="2D3748"/>
                <w:sz w:val="19"/>
              </w:rPr>
              <w:t>10.12%</w:t>
            </w:r>
          </w:p>
        </w:tc>
        <w:tc>
          <w:tcPr>
            <w:tcW w:type="dxa" w:w="1872"/>
            <w:shd w:fill="FFFFFF"/>
            <w:tcMar>
              <w:top w:w="80" w:type="dxa"/>
              <w:bottom w:w="80" w:type="dxa"/>
              <w:left w:w="120" w:type="dxa"/>
              <w:right w:w="120" w:type="dxa"/>
            </w:tcMar>
          </w:tcPr>
          <w:p>
            <w:r>
              <w:rPr>
                <w:rFonts w:ascii="Calibri" w:hAnsi="Calibri"/>
                <w:color w:val="2D3748"/>
                <w:sz w:val="19"/>
              </w:rPr>
              <w:t>On Target (1)</w:t>
            </w:r>
          </w:p>
        </w:tc>
      </w:tr>
      <w:tr>
        <w:tc>
          <w:tcPr>
            <w:tcW w:type="dxa" w:w="1872"/>
            <w:shd w:fill="F7FAFC"/>
            <w:tcMar>
              <w:top w:w="80" w:type="dxa"/>
              <w:bottom w:w="80" w:type="dxa"/>
              <w:left w:w="120" w:type="dxa"/>
              <w:right w:w="120" w:type="dxa"/>
            </w:tcMar>
          </w:tcPr>
          <w:p>
            <w:r>
              <w:rPr>
                <w:rFonts w:ascii="Calibri" w:hAnsi="Calibri"/>
                <w:color w:val="2D3748"/>
                <w:sz w:val="19"/>
              </w:rPr>
              <w:t>Smart Zone Mansoura</w:t>
            </w:r>
          </w:p>
        </w:tc>
        <w:tc>
          <w:tcPr>
            <w:tcW w:type="dxa" w:w="1872"/>
            <w:shd w:fill="F7FAFC"/>
            <w:tcMar>
              <w:top w:w="80" w:type="dxa"/>
              <w:bottom w:w="80" w:type="dxa"/>
              <w:left w:w="120" w:type="dxa"/>
              <w:right w:w="120" w:type="dxa"/>
            </w:tcMar>
          </w:tcPr>
          <w:p>
            <w:r>
              <w:rPr>
                <w:rFonts w:ascii="Calibri" w:hAnsi="Calibri"/>
                <w:color w:val="2D3748"/>
                <w:sz w:val="19"/>
              </w:rPr>
              <w:t>32,230,519.59</w:t>
            </w:r>
          </w:p>
        </w:tc>
        <w:tc>
          <w:tcPr>
            <w:tcW w:type="dxa" w:w="1872"/>
            <w:shd w:fill="F7FAFC"/>
            <w:tcMar>
              <w:top w:w="80" w:type="dxa"/>
              <w:bottom w:w="80" w:type="dxa"/>
              <w:left w:w="120" w:type="dxa"/>
              <w:right w:w="120" w:type="dxa"/>
            </w:tcMar>
          </w:tcPr>
          <w:p>
            <w:r>
              <w:rPr>
                <w:rFonts w:ascii="Calibri" w:hAnsi="Calibri"/>
                <w:color w:val="2D3748"/>
                <w:sz w:val="19"/>
              </w:rPr>
              <w:t>4,313,860.27</w:t>
            </w:r>
          </w:p>
        </w:tc>
        <w:tc>
          <w:tcPr>
            <w:tcW w:type="dxa" w:w="1872"/>
            <w:shd w:fill="F7FAFC"/>
            <w:tcMar>
              <w:top w:w="80" w:type="dxa"/>
              <w:bottom w:w="80" w:type="dxa"/>
              <w:left w:w="120" w:type="dxa"/>
              <w:right w:w="120" w:type="dxa"/>
            </w:tcMar>
          </w:tcPr>
          <w:p>
            <w:r>
              <w:rPr>
                <w:rFonts w:ascii="Calibri" w:hAnsi="Calibri"/>
                <w:color w:val="2D3748"/>
                <w:sz w:val="19"/>
              </w:rPr>
              <w:t>13.38%</w:t>
            </w:r>
          </w:p>
        </w:tc>
        <w:tc>
          <w:tcPr>
            <w:tcW w:type="dxa" w:w="1872"/>
            <w:shd w:fill="F7FAFC"/>
            <w:tcMar>
              <w:top w:w="80" w:type="dxa"/>
              <w:bottom w:w="80" w:type="dxa"/>
              <w:left w:w="120" w:type="dxa"/>
              <w:right w:w="120" w:type="dxa"/>
            </w:tcMar>
          </w:tcPr>
          <w:p>
            <w:r>
              <w:rPr>
                <w:rFonts w:ascii="Calibri" w:hAnsi="Calibri"/>
                <w:color w:val="2D3748"/>
                <w:sz w:val="19"/>
              </w:rPr>
              <w:t>Top Margin (1)</w:t>
            </w:r>
          </w:p>
        </w:tc>
      </w:tr>
      <w:tr>
        <w:tc>
          <w:tcPr>
            <w:tcW w:type="dxa" w:w="1872"/>
            <w:shd w:fill="EBF8FF"/>
            <w:tcMar>
              <w:top w:w="80" w:type="dxa"/>
              <w:bottom w:w="80" w:type="dxa"/>
              <w:left w:w="120" w:type="dxa"/>
              <w:right w:w="120" w:type="dxa"/>
            </w:tcMar>
          </w:tcPr>
          <w:p>
            <w:r>
              <w:rPr>
                <w:rFonts w:ascii="Calibri" w:hAnsi="Calibri"/>
                <w:b/>
                <w:color w:val="2D3748"/>
                <w:sz w:val="19"/>
              </w:rPr>
              <w:t>Grand Total</w:t>
            </w:r>
          </w:p>
        </w:tc>
        <w:tc>
          <w:tcPr>
            <w:tcW w:type="dxa" w:w="1872"/>
            <w:shd w:fill="EBF8FF"/>
            <w:tcMar>
              <w:top w:w="80" w:type="dxa"/>
              <w:bottom w:w="80" w:type="dxa"/>
              <w:left w:w="120" w:type="dxa"/>
              <w:right w:w="120" w:type="dxa"/>
            </w:tcMar>
          </w:tcPr>
          <w:p>
            <w:r>
              <w:rPr>
                <w:rFonts w:ascii="Calibri" w:hAnsi="Calibri"/>
                <w:b/>
                <w:color w:val="2D3748"/>
                <w:sz w:val="19"/>
              </w:rPr>
              <w:t>106,399,960.87</w:t>
            </w:r>
          </w:p>
        </w:tc>
        <w:tc>
          <w:tcPr>
            <w:tcW w:type="dxa" w:w="1872"/>
            <w:shd w:fill="EBF8FF"/>
            <w:tcMar>
              <w:top w:w="80" w:type="dxa"/>
              <w:bottom w:w="80" w:type="dxa"/>
              <w:left w:w="120" w:type="dxa"/>
              <w:right w:w="120" w:type="dxa"/>
            </w:tcMar>
          </w:tcPr>
          <w:p>
            <w:r>
              <w:rPr>
                <w:rFonts w:ascii="Calibri" w:hAnsi="Calibri"/>
                <w:b/>
                <w:color w:val="2D3748"/>
                <w:sz w:val="19"/>
              </w:rPr>
              <w:t>12,068,048.43</w:t>
            </w:r>
          </w:p>
        </w:tc>
        <w:tc>
          <w:tcPr>
            <w:tcW w:type="dxa" w:w="1872"/>
            <w:shd w:fill="EBF8FF"/>
            <w:tcMar>
              <w:top w:w="80" w:type="dxa"/>
              <w:bottom w:w="80" w:type="dxa"/>
              <w:left w:w="120" w:type="dxa"/>
              <w:right w:w="120" w:type="dxa"/>
            </w:tcMar>
          </w:tcPr>
          <w:p>
            <w:r>
              <w:rPr>
                <w:rFonts w:ascii="Calibri" w:hAnsi="Calibri"/>
                <w:b/>
                <w:color w:val="2D3748"/>
                <w:sz w:val="19"/>
              </w:rPr>
              <w:t>11.34%</w:t>
            </w:r>
          </w:p>
        </w:tc>
        <w:tc>
          <w:tcPr>
            <w:tcW w:type="dxa" w:w="1872"/>
            <w:shd w:fill="EBF8FF"/>
            <w:tcMar>
              <w:top w:w="80" w:type="dxa"/>
              <w:bottom w:w="80" w:type="dxa"/>
              <w:left w:w="120" w:type="dxa"/>
              <w:right w:w="120" w:type="dxa"/>
            </w:tcMar>
          </w:tcPr>
          <w:p>
            <w:r>
              <w:rPr>
                <w:rFonts w:ascii="Calibri" w:hAnsi="Calibri"/>
                <w:b/>
                <w:color w:val="2D3748"/>
                <w:sz w:val="19"/>
              </w:rPr>
              <w:t>Overall Healthy</w:t>
            </w:r>
          </w:p>
        </w:tc>
      </w:tr>
    </w:tbl>
    <w:p>
      <w:pPr>
        <w:spacing w:after="80"/>
      </w:pPr>
    </w:p>
    <w:p>
      <w:pPr>
        <w:keepNext/>
        <w:spacing w:before="280" w:after="80"/>
      </w:pPr>
      <w:r>
        <w:rPr>
          <w:rFonts w:ascii="Calibri" w:hAnsi="Calibri"/>
          <w:b/>
          <w:color w:val="2B6CB0"/>
          <w:sz w:val="26"/>
        </w:rPr>
        <w:t>4.2 Sales Performance by Product Category</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00" w:type="dxa"/>
              <w:bottom w:w="100" w:type="dxa"/>
              <w:left w:w="120" w:type="dxa"/>
              <w:right w:w="120" w:type="dxa"/>
            </w:tcMar>
          </w:tcPr>
          <w:p>
            <w:r>
              <w:rPr>
                <w:rFonts w:ascii="Calibri" w:hAnsi="Calibri"/>
                <w:b/>
                <w:color w:val="FFFFFF"/>
                <w:sz w:val="19"/>
              </w:rPr>
              <w:t>Category</w:t>
            </w:r>
          </w:p>
        </w:tc>
        <w:tc>
          <w:tcPr>
            <w:tcW w:type="dxa" w:w="2340"/>
            <w:shd w:fill="2B6CB0"/>
            <w:tcMar>
              <w:top w:w="100" w:type="dxa"/>
              <w:bottom w:w="100" w:type="dxa"/>
              <w:left w:w="120" w:type="dxa"/>
              <w:right w:w="120" w:type="dxa"/>
            </w:tcMar>
          </w:tcPr>
          <w:p>
            <w:r>
              <w:rPr>
                <w:rFonts w:ascii="Calibri" w:hAnsi="Calibri"/>
                <w:b/>
                <w:color w:val="FFFFFF"/>
                <w:sz w:val="19"/>
              </w:rPr>
              <w:t>Units Sold</w:t>
            </w:r>
          </w:p>
        </w:tc>
        <w:tc>
          <w:tcPr>
            <w:tcW w:type="dxa" w:w="2340"/>
            <w:shd w:fill="2B6CB0"/>
            <w:tcMar>
              <w:top w:w="100" w:type="dxa"/>
              <w:bottom w:w="100" w:type="dxa"/>
              <w:left w:w="120" w:type="dxa"/>
              <w:right w:w="120" w:type="dxa"/>
            </w:tcMar>
          </w:tcPr>
          <w:p>
            <w:r>
              <w:rPr>
                <w:rFonts w:ascii="Calibri" w:hAnsi="Calibri"/>
                <w:b/>
                <w:color w:val="FFFFFF"/>
                <w:sz w:val="19"/>
              </w:rPr>
              <w:t>Total Revenue (EGP)</w:t>
            </w:r>
          </w:p>
        </w:tc>
        <w:tc>
          <w:tcPr>
            <w:tcW w:type="dxa" w:w="2340"/>
            <w:shd w:fill="2B6CB0"/>
            <w:tcMar>
              <w:top w:w="100" w:type="dxa"/>
              <w:bottom w:w="100" w:type="dxa"/>
              <w:left w:w="120" w:type="dxa"/>
              <w:right w:w="120" w:type="dxa"/>
            </w:tcMar>
          </w:tcPr>
          <w:p>
            <w:r>
              <w:rPr>
                <w:rFonts w:ascii="Calibri" w:hAnsi="Calibri"/>
                <w:b/>
                <w:color w:val="FFFFFF"/>
                <w:sz w:val="19"/>
              </w:rPr>
              <w:t>% of Total Revenue</w:t>
            </w:r>
          </w:p>
        </w:tc>
      </w:tr>
      <w:tr>
        <w:tc>
          <w:tcPr>
            <w:tcW w:type="dxa" w:w="2340"/>
            <w:shd w:fill="F7FAFC"/>
            <w:tcMar>
              <w:top w:w="70" w:type="dxa"/>
              <w:bottom w:w="70" w:type="dxa"/>
              <w:left w:w="120" w:type="dxa"/>
              <w:right w:w="120" w:type="dxa"/>
            </w:tcMar>
          </w:tcPr>
          <w:p>
            <w:r>
              <w:rPr>
                <w:rFonts w:ascii="Calibri" w:hAnsi="Calibri"/>
                <w:color w:val="2D3748"/>
                <w:sz w:val="19"/>
              </w:rPr>
              <w:t>Laptops</w:t>
            </w:r>
          </w:p>
        </w:tc>
        <w:tc>
          <w:tcPr>
            <w:tcW w:type="dxa" w:w="2340"/>
            <w:shd w:fill="F7FAFC"/>
            <w:tcMar>
              <w:top w:w="70" w:type="dxa"/>
              <w:bottom w:w="70" w:type="dxa"/>
              <w:left w:w="120" w:type="dxa"/>
              <w:right w:w="120" w:type="dxa"/>
            </w:tcMar>
          </w:tcPr>
          <w:p>
            <w:r>
              <w:rPr>
                <w:rFonts w:ascii="Calibri" w:hAnsi="Calibri"/>
                <w:color w:val="2D3748"/>
                <w:sz w:val="19"/>
              </w:rPr>
              <w:t>1,409</w:t>
            </w:r>
          </w:p>
        </w:tc>
        <w:tc>
          <w:tcPr>
            <w:tcW w:type="dxa" w:w="2340"/>
            <w:shd w:fill="F7FAFC"/>
            <w:tcMar>
              <w:top w:w="70" w:type="dxa"/>
              <w:bottom w:w="70" w:type="dxa"/>
              <w:left w:w="120" w:type="dxa"/>
              <w:right w:w="120" w:type="dxa"/>
            </w:tcMar>
          </w:tcPr>
          <w:p>
            <w:r>
              <w:rPr>
                <w:rFonts w:ascii="Calibri" w:hAnsi="Calibri"/>
                <w:color w:val="2D3748"/>
                <w:sz w:val="19"/>
              </w:rPr>
              <w:t>44,939,874.56</w:t>
            </w:r>
          </w:p>
        </w:tc>
        <w:tc>
          <w:tcPr>
            <w:tcW w:type="dxa" w:w="2340"/>
            <w:shd w:fill="F7FAFC"/>
            <w:tcMar>
              <w:top w:w="70" w:type="dxa"/>
              <w:bottom w:w="70" w:type="dxa"/>
              <w:left w:w="120" w:type="dxa"/>
              <w:right w:w="120" w:type="dxa"/>
            </w:tcMar>
          </w:tcPr>
          <w:p>
            <w:r>
              <w:rPr>
                <w:rFonts w:ascii="Calibri" w:hAnsi="Calibri"/>
                <w:color w:val="2D3748"/>
                <w:sz w:val="19"/>
              </w:rPr>
              <w:t>42.24%</w:t>
            </w:r>
          </w:p>
        </w:tc>
      </w:tr>
      <w:tr>
        <w:tc>
          <w:tcPr>
            <w:tcW w:type="dxa" w:w="2340"/>
            <w:shd w:fill="FFFFFF"/>
            <w:tcMar>
              <w:top w:w="70" w:type="dxa"/>
              <w:bottom w:w="70" w:type="dxa"/>
              <w:left w:w="120" w:type="dxa"/>
              <w:right w:w="120" w:type="dxa"/>
            </w:tcMar>
          </w:tcPr>
          <w:p>
            <w:r>
              <w:rPr>
                <w:rFonts w:ascii="Calibri" w:hAnsi="Calibri"/>
                <w:color w:val="2D3748"/>
                <w:sz w:val="19"/>
              </w:rPr>
              <w:t>Smartphones</w:t>
            </w:r>
          </w:p>
        </w:tc>
        <w:tc>
          <w:tcPr>
            <w:tcW w:type="dxa" w:w="2340"/>
            <w:shd w:fill="FFFFFF"/>
            <w:tcMar>
              <w:top w:w="70" w:type="dxa"/>
              <w:bottom w:w="70" w:type="dxa"/>
              <w:left w:w="120" w:type="dxa"/>
              <w:right w:w="120" w:type="dxa"/>
            </w:tcMar>
          </w:tcPr>
          <w:p>
            <w:r>
              <w:rPr>
                <w:rFonts w:ascii="Calibri" w:hAnsi="Calibri"/>
                <w:color w:val="2D3748"/>
                <w:sz w:val="19"/>
              </w:rPr>
              <w:t>1,172</w:t>
            </w:r>
          </w:p>
        </w:tc>
        <w:tc>
          <w:tcPr>
            <w:tcW w:type="dxa" w:w="2340"/>
            <w:shd w:fill="FFFFFF"/>
            <w:tcMar>
              <w:top w:w="70" w:type="dxa"/>
              <w:bottom w:w="70" w:type="dxa"/>
              <w:left w:w="120" w:type="dxa"/>
              <w:right w:w="120" w:type="dxa"/>
            </w:tcMar>
          </w:tcPr>
          <w:p>
            <w:r>
              <w:rPr>
                <w:rFonts w:ascii="Calibri" w:hAnsi="Calibri"/>
                <w:color w:val="2D3748"/>
                <w:sz w:val="19"/>
              </w:rPr>
              <w:t>27,335,631.29</w:t>
            </w:r>
          </w:p>
        </w:tc>
        <w:tc>
          <w:tcPr>
            <w:tcW w:type="dxa" w:w="2340"/>
            <w:shd w:fill="FFFFFF"/>
            <w:tcMar>
              <w:top w:w="70" w:type="dxa"/>
              <w:bottom w:w="70" w:type="dxa"/>
              <w:left w:w="120" w:type="dxa"/>
              <w:right w:w="120" w:type="dxa"/>
            </w:tcMar>
          </w:tcPr>
          <w:p>
            <w:r>
              <w:rPr>
                <w:rFonts w:ascii="Calibri" w:hAnsi="Calibri"/>
                <w:color w:val="2D3748"/>
                <w:sz w:val="19"/>
              </w:rPr>
              <w:t>25.69%</w:t>
            </w:r>
          </w:p>
        </w:tc>
      </w:tr>
      <w:tr>
        <w:tc>
          <w:tcPr>
            <w:tcW w:type="dxa" w:w="2340"/>
            <w:shd w:fill="F7FAFC"/>
            <w:tcMar>
              <w:top w:w="70" w:type="dxa"/>
              <w:bottom w:w="70" w:type="dxa"/>
              <w:left w:w="120" w:type="dxa"/>
              <w:right w:w="120" w:type="dxa"/>
            </w:tcMar>
          </w:tcPr>
          <w:p>
            <w:r>
              <w:rPr>
                <w:rFonts w:ascii="Calibri" w:hAnsi="Calibri"/>
                <w:color w:val="2D3748"/>
                <w:sz w:val="19"/>
              </w:rPr>
              <w:t>Tablets</w:t>
            </w:r>
          </w:p>
        </w:tc>
        <w:tc>
          <w:tcPr>
            <w:tcW w:type="dxa" w:w="2340"/>
            <w:shd w:fill="F7FAFC"/>
            <w:tcMar>
              <w:top w:w="70" w:type="dxa"/>
              <w:bottom w:w="70" w:type="dxa"/>
              <w:left w:w="120" w:type="dxa"/>
              <w:right w:w="120" w:type="dxa"/>
            </w:tcMar>
          </w:tcPr>
          <w:p>
            <w:r>
              <w:rPr>
                <w:rFonts w:ascii="Calibri" w:hAnsi="Calibri"/>
                <w:color w:val="2D3748"/>
                <w:sz w:val="19"/>
              </w:rPr>
              <w:t>1,001</w:t>
            </w:r>
          </w:p>
        </w:tc>
        <w:tc>
          <w:tcPr>
            <w:tcW w:type="dxa" w:w="2340"/>
            <w:shd w:fill="F7FAFC"/>
            <w:tcMar>
              <w:top w:w="70" w:type="dxa"/>
              <w:bottom w:w="70" w:type="dxa"/>
              <w:left w:w="120" w:type="dxa"/>
              <w:right w:w="120" w:type="dxa"/>
            </w:tcMar>
          </w:tcPr>
          <w:p>
            <w:r>
              <w:rPr>
                <w:rFonts w:ascii="Calibri" w:hAnsi="Calibri"/>
                <w:color w:val="2D3748"/>
                <w:sz w:val="19"/>
              </w:rPr>
              <w:t>17,809,826.91</w:t>
            </w:r>
          </w:p>
        </w:tc>
        <w:tc>
          <w:tcPr>
            <w:tcW w:type="dxa" w:w="2340"/>
            <w:shd w:fill="F7FAFC"/>
            <w:tcMar>
              <w:top w:w="70" w:type="dxa"/>
              <w:bottom w:w="70" w:type="dxa"/>
              <w:left w:w="120" w:type="dxa"/>
              <w:right w:w="120" w:type="dxa"/>
            </w:tcMar>
          </w:tcPr>
          <w:p>
            <w:r>
              <w:rPr>
                <w:rFonts w:ascii="Calibri" w:hAnsi="Calibri"/>
                <w:color w:val="2D3748"/>
                <w:sz w:val="19"/>
              </w:rPr>
              <w:t>16.74%</w:t>
            </w:r>
          </w:p>
        </w:tc>
      </w:tr>
      <w:tr>
        <w:tc>
          <w:tcPr>
            <w:tcW w:type="dxa" w:w="2340"/>
            <w:shd w:fill="FFFFFF"/>
            <w:tcMar>
              <w:top w:w="70" w:type="dxa"/>
              <w:bottom w:w="70" w:type="dxa"/>
              <w:left w:w="120" w:type="dxa"/>
              <w:right w:w="120" w:type="dxa"/>
            </w:tcMar>
          </w:tcPr>
          <w:p>
            <w:r>
              <w:rPr>
                <w:rFonts w:ascii="Calibri" w:hAnsi="Calibri"/>
                <w:color w:val="2D3748"/>
                <w:sz w:val="19"/>
              </w:rPr>
              <w:t>Headphones</w:t>
            </w:r>
          </w:p>
        </w:tc>
        <w:tc>
          <w:tcPr>
            <w:tcW w:type="dxa" w:w="2340"/>
            <w:shd w:fill="FFFFFF"/>
            <w:tcMar>
              <w:top w:w="70" w:type="dxa"/>
              <w:bottom w:w="70" w:type="dxa"/>
              <w:left w:w="120" w:type="dxa"/>
              <w:right w:w="120" w:type="dxa"/>
            </w:tcMar>
          </w:tcPr>
          <w:p>
            <w:r>
              <w:rPr>
                <w:rFonts w:ascii="Calibri" w:hAnsi="Calibri"/>
                <w:color w:val="2D3748"/>
                <w:sz w:val="19"/>
              </w:rPr>
              <w:t>1,076</w:t>
            </w:r>
          </w:p>
        </w:tc>
        <w:tc>
          <w:tcPr>
            <w:tcW w:type="dxa" w:w="2340"/>
            <w:shd w:fill="FFFFFF"/>
            <w:tcMar>
              <w:top w:w="70" w:type="dxa"/>
              <w:bottom w:w="70" w:type="dxa"/>
              <w:left w:w="120" w:type="dxa"/>
              <w:right w:w="120" w:type="dxa"/>
            </w:tcMar>
          </w:tcPr>
          <w:p>
            <w:r>
              <w:rPr>
                <w:rFonts w:ascii="Calibri" w:hAnsi="Calibri"/>
                <w:color w:val="2D3748"/>
                <w:sz w:val="19"/>
              </w:rPr>
              <w:t>7,090,520.60</w:t>
            </w:r>
          </w:p>
        </w:tc>
        <w:tc>
          <w:tcPr>
            <w:tcW w:type="dxa" w:w="2340"/>
            <w:shd w:fill="FFFFFF"/>
            <w:tcMar>
              <w:top w:w="70" w:type="dxa"/>
              <w:bottom w:w="70" w:type="dxa"/>
              <w:left w:w="120" w:type="dxa"/>
              <w:right w:w="120" w:type="dxa"/>
            </w:tcMar>
          </w:tcPr>
          <w:p>
            <w:r>
              <w:rPr>
                <w:rFonts w:ascii="Calibri" w:hAnsi="Calibri"/>
                <w:color w:val="2D3748"/>
                <w:sz w:val="19"/>
              </w:rPr>
              <w:t>6.66%</w:t>
            </w:r>
          </w:p>
        </w:tc>
      </w:tr>
      <w:tr>
        <w:tc>
          <w:tcPr>
            <w:tcW w:type="dxa" w:w="2340"/>
            <w:shd w:fill="F7FAFC"/>
            <w:tcMar>
              <w:top w:w="70" w:type="dxa"/>
              <w:bottom w:w="70" w:type="dxa"/>
              <w:left w:w="120" w:type="dxa"/>
              <w:right w:w="120" w:type="dxa"/>
            </w:tcMar>
          </w:tcPr>
          <w:p>
            <w:r>
              <w:rPr>
                <w:rFonts w:ascii="Calibri" w:hAnsi="Calibri"/>
                <w:color w:val="2D3748"/>
                <w:sz w:val="19"/>
              </w:rPr>
              <w:t>Monitors</w:t>
            </w:r>
          </w:p>
        </w:tc>
        <w:tc>
          <w:tcPr>
            <w:tcW w:type="dxa" w:w="2340"/>
            <w:shd w:fill="F7FAFC"/>
            <w:tcMar>
              <w:top w:w="70" w:type="dxa"/>
              <w:bottom w:w="70" w:type="dxa"/>
              <w:left w:w="120" w:type="dxa"/>
              <w:right w:w="120" w:type="dxa"/>
            </w:tcMar>
          </w:tcPr>
          <w:p>
            <w:r>
              <w:rPr>
                <w:rFonts w:ascii="Calibri" w:hAnsi="Calibri"/>
                <w:color w:val="2D3748"/>
                <w:sz w:val="19"/>
              </w:rPr>
              <w:t>762</w:t>
            </w:r>
          </w:p>
        </w:tc>
        <w:tc>
          <w:tcPr>
            <w:tcW w:type="dxa" w:w="2340"/>
            <w:shd w:fill="F7FAFC"/>
            <w:tcMar>
              <w:top w:w="70" w:type="dxa"/>
              <w:bottom w:w="70" w:type="dxa"/>
              <w:left w:w="120" w:type="dxa"/>
              <w:right w:w="120" w:type="dxa"/>
            </w:tcMar>
          </w:tcPr>
          <w:p>
            <w:r>
              <w:rPr>
                <w:rFonts w:ascii="Calibri" w:hAnsi="Calibri"/>
                <w:color w:val="2D3748"/>
                <w:sz w:val="19"/>
              </w:rPr>
              <w:t>6,293,044.06</w:t>
            </w:r>
          </w:p>
        </w:tc>
        <w:tc>
          <w:tcPr>
            <w:tcW w:type="dxa" w:w="2340"/>
            <w:shd w:fill="F7FAFC"/>
            <w:tcMar>
              <w:top w:w="70" w:type="dxa"/>
              <w:bottom w:w="70" w:type="dxa"/>
              <w:left w:w="120" w:type="dxa"/>
              <w:right w:w="120" w:type="dxa"/>
            </w:tcMar>
          </w:tcPr>
          <w:p>
            <w:r>
              <w:rPr>
                <w:rFonts w:ascii="Calibri" w:hAnsi="Calibri"/>
                <w:color w:val="2D3748"/>
                <w:sz w:val="19"/>
              </w:rPr>
              <w:t>5.91%</w:t>
            </w:r>
          </w:p>
        </w:tc>
      </w:tr>
      <w:tr>
        <w:tc>
          <w:tcPr>
            <w:tcW w:type="dxa" w:w="2340"/>
            <w:shd w:fill="FFFFFF"/>
            <w:tcMar>
              <w:top w:w="70" w:type="dxa"/>
              <w:bottom w:w="70" w:type="dxa"/>
              <w:left w:w="120" w:type="dxa"/>
              <w:right w:w="120" w:type="dxa"/>
            </w:tcMar>
          </w:tcPr>
          <w:p>
            <w:r>
              <w:rPr>
                <w:rFonts w:ascii="Calibri" w:hAnsi="Calibri"/>
                <w:color w:val="2D3748"/>
                <w:sz w:val="19"/>
              </w:rPr>
              <w:t>Accessories</w:t>
            </w:r>
          </w:p>
        </w:tc>
        <w:tc>
          <w:tcPr>
            <w:tcW w:type="dxa" w:w="2340"/>
            <w:shd w:fill="FFFFFF"/>
            <w:tcMar>
              <w:top w:w="70" w:type="dxa"/>
              <w:bottom w:w="70" w:type="dxa"/>
              <w:left w:w="120" w:type="dxa"/>
              <w:right w:w="120" w:type="dxa"/>
            </w:tcMar>
          </w:tcPr>
          <w:p>
            <w:r>
              <w:rPr>
                <w:rFonts w:ascii="Calibri" w:hAnsi="Calibri"/>
                <w:color w:val="2D3748"/>
                <w:sz w:val="19"/>
              </w:rPr>
              <w:t>1,104</w:t>
            </w:r>
          </w:p>
        </w:tc>
        <w:tc>
          <w:tcPr>
            <w:tcW w:type="dxa" w:w="2340"/>
            <w:shd w:fill="FFFFFF"/>
            <w:tcMar>
              <w:top w:w="70" w:type="dxa"/>
              <w:bottom w:w="70" w:type="dxa"/>
              <w:left w:w="120" w:type="dxa"/>
              <w:right w:w="120" w:type="dxa"/>
            </w:tcMar>
          </w:tcPr>
          <w:p>
            <w:r>
              <w:rPr>
                <w:rFonts w:ascii="Calibri" w:hAnsi="Calibri"/>
                <w:color w:val="2D3748"/>
                <w:sz w:val="19"/>
              </w:rPr>
              <w:t>1,552,411.00</w:t>
            </w:r>
          </w:p>
        </w:tc>
        <w:tc>
          <w:tcPr>
            <w:tcW w:type="dxa" w:w="2340"/>
            <w:shd w:fill="FFFFFF"/>
            <w:tcMar>
              <w:top w:w="70" w:type="dxa"/>
              <w:bottom w:w="70" w:type="dxa"/>
              <w:left w:w="120" w:type="dxa"/>
              <w:right w:w="120" w:type="dxa"/>
            </w:tcMar>
          </w:tcPr>
          <w:p>
            <w:r>
              <w:rPr>
                <w:rFonts w:ascii="Calibri" w:hAnsi="Calibri"/>
                <w:color w:val="2D3748"/>
                <w:sz w:val="19"/>
              </w:rPr>
              <w:t>1.46%</w:t>
            </w:r>
          </w:p>
        </w:tc>
      </w:tr>
      <w:tr>
        <w:tc>
          <w:tcPr>
            <w:tcW w:type="dxa" w:w="2340"/>
            <w:shd w:fill="F7FAFC"/>
            <w:tcMar>
              <w:top w:w="70" w:type="dxa"/>
              <w:bottom w:w="70" w:type="dxa"/>
              <w:left w:w="120" w:type="dxa"/>
              <w:right w:w="120" w:type="dxa"/>
            </w:tcMar>
          </w:tcPr>
          <w:p>
            <w:r>
              <w:rPr>
                <w:rFonts w:ascii="Calibri" w:hAnsi="Calibri"/>
                <w:color w:val="2D3748"/>
                <w:sz w:val="19"/>
              </w:rPr>
              <w:t>Keyboards &amp; Mice</w:t>
            </w:r>
          </w:p>
        </w:tc>
        <w:tc>
          <w:tcPr>
            <w:tcW w:type="dxa" w:w="2340"/>
            <w:shd w:fill="F7FAFC"/>
            <w:tcMar>
              <w:top w:w="70" w:type="dxa"/>
              <w:bottom w:w="70" w:type="dxa"/>
              <w:left w:w="120" w:type="dxa"/>
              <w:right w:w="120" w:type="dxa"/>
            </w:tcMar>
          </w:tcPr>
          <w:p>
            <w:r>
              <w:rPr>
                <w:rFonts w:ascii="Calibri" w:hAnsi="Calibri"/>
                <w:color w:val="2D3748"/>
                <w:sz w:val="19"/>
              </w:rPr>
              <w:t>784</w:t>
            </w:r>
          </w:p>
        </w:tc>
        <w:tc>
          <w:tcPr>
            <w:tcW w:type="dxa" w:w="2340"/>
            <w:shd w:fill="F7FAFC"/>
            <w:tcMar>
              <w:top w:w="70" w:type="dxa"/>
              <w:bottom w:w="70" w:type="dxa"/>
              <w:left w:w="120" w:type="dxa"/>
              <w:right w:w="120" w:type="dxa"/>
            </w:tcMar>
          </w:tcPr>
          <w:p>
            <w:r>
              <w:rPr>
                <w:rFonts w:ascii="Calibri" w:hAnsi="Calibri"/>
                <w:color w:val="2D3748"/>
                <w:sz w:val="19"/>
              </w:rPr>
              <w:t>1,378,652.45</w:t>
            </w:r>
          </w:p>
        </w:tc>
        <w:tc>
          <w:tcPr>
            <w:tcW w:type="dxa" w:w="2340"/>
            <w:shd w:fill="F7FAFC"/>
            <w:tcMar>
              <w:top w:w="70" w:type="dxa"/>
              <w:bottom w:w="70" w:type="dxa"/>
              <w:left w:w="120" w:type="dxa"/>
              <w:right w:w="120" w:type="dxa"/>
            </w:tcMar>
          </w:tcPr>
          <w:p>
            <w:r>
              <w:rPr>
                <w:rFonts w:ascii="Calibri" w:hAnsi="Calibri"/>
                <w:color w:val="2D3748"/>
                <w:sz w:val="19"/>
              </w:rPr>
              <w:t>1.30%</w:t>
            </w:r>
          </w:p>
        </w:tc>
      </w:tr>
      <w:tr>
        <w:tc>
          <w:tcPr>
            <w:tcW w:type="dxa" w:w="2340"/>
            <w:shd w:fill="EBF8FF"/>
            <w:tcMar>
              <w:top w:w="70" w:type="dxa"/>
              <w:bottom w:w="70" w:type="dxa"/>
              <w:left w:w="120" w:type="dxa"/>
              <w:right w:w="120" w:type="dxa"/>
            </w:tcMar>
          </w:tcPr>
          <w:p>
            <w:r>
              <w:rPr>
                <w:rFonts w:ascii="Calibri" w:hAnsi="Calibri"/>
                <w:b/>
                <w:color w:val="2D3748"/>
                <w:sz w:val="19"/>
              </w:rPr>
              <w:t>Grand Total</w:t>
            </w:r>
          </w:p>
        </w:tc>
        <w:tc>
          <w:tcPr>
            <w:tcW w:type="dxa" w:w="2340"/>
            <w:shd w:fill="EBF8FF"/>
            <w:tcMar>
              <w:top w:w="70" w:type="dxa"/>
              <w:bottom w:w="70" w:type="dxa"/>
              <w:left w:w="120" w:type="dxa"/>
              <w:right w:w="120" w:type="dxa"/>
            </w:tcMar>
          </w:tcPr>
          <w:p>
            <w:r>
              <w:rPr>
                <w:rFonts w:ascii="Calibri" w:hAnsi="Calibri"/>
                <w:b/>
                <w:color w:val="2D3748"/>
                <w:sz w:val="19"/>
              </w:rPr>
              <w:t>7,308</w:t>
            </w:r>
          </w:p>
        </w:tc>
        <w:tc>
          <w:tcPr>
            <w:tcW w:type="dxa" w:w="2340"/>
            <w:shd w:fill="EBF8FF"/>
            <w:tcMar>
              <w:top w:w="70" w:type="dxa"/>
              <w:bottom w:w="70" w:type="dxa"/>
              <w:left w:w="120" w:type="dxa"/>
              <w:right w:w="120" w:type="dxa"/>
            </w:tcMar>
          </w:tcPr>
          <w:p>
            <w:r>
              <w:rPr>
                <w:rFonts w:ascii="Calibri" w:hAnsi="Calibri"/>
                <w:b/>
                <w:color w:val="2D3748"/>
                <w:sz w:val="19"/>
              </w:rPr>
              <w:t>106,399,960.87</w:t>
            </w:r>
          </w:p>
        </w:tc>
        <w:tc>
          <w:tcPr>
            <w:tcW w:type="dxa" w:w="2340"/>
            <w:shd w:fill="EBF8FF"/>
            <w:tcMar>
              <w:top w:w="70" w:type="dxa"/>
              <w:bottom w:w="70" w:type="dxa"/>
              <w:left w:w="120" w:type="dxa"/>
              <w:right w:w="120" w:type="dxa"/>
            </w:tcMar>
          </w:tcPr>
          <w:p>
            <w:r>
              <w:rPr>
                <w:rFonts w:ascii="Calibri" w:hAnsi="Calibri"/>
                <w:b/>
                <w:color w:val="2D3748"/>
                <w:sz w:val="19"/>
              </w:rPr>
              <w:t>100.00%</w:t>
            </w:r>
          </w:p>
        </w:tc>
      </w:tr>
    </w:tbl>
    <w:p>
      <w:pPr>
        <w:spacing w:after="80"/>
      </w:pPr>
    </w:p>
    <w:p>
      <w:pPr>
        <w:keepNext/>
        <w:spacing w:before="280" w:after="80"/>
      </w:pPr>
      <w:r>
        <w:rPr>
          <w:rFonts w:ascii="Calibri" w:hAnsi="Calibri"/>
          <w:b/>
          <w:color w:val="2B6CB0"/>
          <w:sz w:val="26"/>
        </w:rPr>
        <w:t>4.3 Payment Method Dynamics &amp; Workforce Productivity</w:t>
      </w:r>
    </w:p>
    <w:p>
      <w:pPr>
        <w:pStyle w:val="ListBullet"/>
        <w:spacing w:before="40" w:after="60" w:line="276" w:lineRule="auto"/>
      </w:pPr>
      <w:r>
        <w:rPr>
          <w:rFonts w:ascii="Calibri" w:hAnsi="Calibri"/>
          <w:b/>
          <w:color w:val="2D3748"/>
          <w:sz w:val="21"/>
        </w:rPr>
        <w:t xml:space="preserve">Installment &amp; Credit Dominance: </w:t>
      </w:r>
      <w:r>
        <w:rPr>
          <w:rFonts w:ascii="Calibri" w:hAnsi="Calibri"/>
          <w:color w:val="2D3748"/>
          <w:sz w:val="21"/>
        </w:rPr>
        <w:t>Installment plans generated the single highest revenue stream (22.89M EGP across 211 transactions), followed closely by Credit Cards (22.01M EGP across 232 transactions). Combined, deferred credit mechanisms account for over 42% of company turnover.</w:t>
      </w:r>
    </w:p>
    <w:p>
      <w:pPr>
        <w:pStyle w:val="ListBullet"/>
        <w:spacing w:before="40" w:after="60" w:line="276" w:lineRule="auto"/>
      </w:pPr>
      <w:r>
        <w:rPr>
          <w:rFonts w:ascii="Calibri" w:hAnsi="Calibri"/>
          <w:b/>
          <w:color w:val="2D3748"/>
          <w:sz w:val="21"/>
        </w:rPr>
        <w:t xml:space="preserve">Mobile Wallets as Volume Driver: </w:t>
      </w:r>
      <w:r>
        <w:rPr>
          <w:rFonts w:ascii="Calibri" w:hAnsi="Calibri"/>
          <w:color w:val="2D3748"/>
          <w:sz w:val="21"/>
        </w:rPr>
        <w:t>Mobile Wallets captured the highest transaction count (259 transactions, generating 20.16M EGP), proving high consumer adoption in Egyptian retail.</w:t>
      </w:r>
    </w:p>
    <w:p>
      <w:pPr>
        <w:pStyle w:val="ListBullet"/>
        <w:spacing w:before="40" w:after="60" w:line="276" w:lineRule="auto"/>
      </w:pPr>
      <w:r>
        <w:rPr>
          <w:rFonts w:ascii="Calibri" w:hAnsi="Calibri"/>
          <w:b/>
          <w:color w:val="2D3748"/>
          <w:sz w:val="21"/>
        </w:rPr>
        <w:t xml:space="preserve">Data Quality Anomaly: </w:t>
      </w:r>
      <w:r>
        <w:rPr>
          <w:rFonts w:ascii="Calibri" w:hAnsi="Calibri"/>
          <w:color w:val="2D3748"/>
          <w:sz w:val="21"/>
        </w:rPr>
        <w:t>The presence of 41 'Unknown' payment transactions (worth 5.45M EGP) represents a POS data validation gap requiring immediate system-level enforcement.</w:t>
      </w:r>
    </w:p>
    <w:p>
      <w:pPr>
        <w:pStyle w:val="ListBullet"/>
        <w:spacing w:before="40" w:after="60" w:line="276" w:lineRule="auto"/>
      </w:pPr>
      <w:r>
        <w:rPr>
          <w:rFonts w:ascii="Calibri" w:hAnsi="Calibri"/>
          <w:b/>
          <w:color w:val="2D3748"/>
          <w:sz w:val="21"/>
        </w:rPr>
        <w:t xml:space="preserve">Sales Workforce Distribution: </w:t>
      </w:r>
      <w:r>
        <w:rPr>
          <w:rFonts w:ascii="Calibri" w:hAnsi="Calibri"/>
          <w:color w:val="2D3748"/>
          <w:sz w:val="21"/>
        </w:rPr>
        <w:t>Ibrahim Ashraf led the organization in revenue generation (12.93M EGP, 112 transactions), closely followed by Tamer Ehab (12.50M EGP, 79 transactions). Shorouk Youssef registered the highest transaction count (122 transactions, 7.28M EGP). In contrast, low-frequency personnel (e.g., Magdy Zidan with 31 transactions / 707K EGP) highlight potential staffing or territory imbalances.</w:t>
      </w:r>
    </w:p>
    <w:p>
      <w:pPr>
        <w:keepNext/>
        <w:spacing w:before="280" w:after="80"/>
      </w:pPr>
      <w:r>
        <w:rPr>
          <w:rFonts w:ascii="Calibri" w:hAnsi="Calibri"/>
          <w:b/>
          <w:color w:val="1A365D"/>
          <w:sz w:val="32"/>
        </w:rPr>
        <w:t>5. Strategic Recommendations &amp; Action Plan</w:t>
      </w:r>
    </w:p>
    <w:p>
      <w:pPr>
        <w:pStyle w:val="ListBullet"/>
        <w:spacing w:before="40" w:after="60" w:line="276" w:lineRule="auto"/>
      </w:pPr>
      <w:r>
        <w:rPr>
          <w:rFonts w:ascii="Calibri" w:hAnsi="Calibri"/>
          <w:b/>
          <w:color w:val="2D3748"/>
          <w:sz w:val="21"/>
        </w:rPr>
        <w:t xml:space="preserve">1. Replicate Mansoura's High-Margin Strategy: </w:t>
      </w:r>
      <w:r>
        <w:rPr>
          <w:rFonts w:ascii="Calibri" w:hAnsi="Calibri"/>
          <w:color w:val="2D3748"/>
          <w:sz w:val="21"/>
        </w:rPr>
        <w:t>Analyze Mansoura's exact product bundle mix and sales techniques to elevate Alexandria (10.12%) and Cairo (10.78%) margins toward the 13.38% benchmark.</w:t>
      </w:r>
    </w:p>
    <w:p>
      <w:pPr>
        <w:pStyle w:val="ListBullet"/>
        <w:spacing w:before="40" w:after="60" w:line="276" w:lineRule="auto"/>
      </w:pPr>
      <w:r>
        <w:rPr>
          <w:rFonts w:ascii="Calibri" w:hAnsi="Calibri"/>
          <w:b/>
          <w:color w:val="2D3748"/>
          <w:sz w:val="21"/>
        </w:rPr>
        <w:t xml:space="preserve">2. Expand High-Margin Accessories Attachment: </w:t>
      </w:r>
      <w:r>
        <w:rPr>
          <w:rFonts w:ascii="Calibri" w:hAnsi="Calibri"/>
          <w:color w:val="2D3748"/>
          <w:sz w:val="21"/>
        </w:rPr>
        <w:t>Accessories and Keyboards/Mice currently represent under 3% of sales despite high unit volume. Implement mandatory cross-selling prompts at checkout (e.g., laptop sleeves, screen protectors, wireless mice).</w:t>
      </w:r>
    </w:p>
    <w:p>
      <w:pPr>
        <w:pStyle w:val="ListBullet"/>
        <w:spacing w:before="40" w:after="60" w:line="276" w:lineRule="auto"/>
      </w:pPr>
      <w:r>
        <w:rPr>
          <w:rFonts w:ascii="Calibri" w:hAnsi="Calibri"/>
          <w:b/>
          <w:color w:val="2D3748"/>
          <w:sz w:val="21"/>
        </w:rPr>
        <w:t xml:space="preserve">3. Formalize BNPL &amp; Fintech Partnerships: </w:t>
      </w:r>
      <w:r>
        <w:rPr>
          <w:rFonts w:ascii="Calibri" w:hAnsi="Calibri"/>
          <w:color w:val="2D3748"/>
          <w:sz w:val="21"/>
        </w:rPr>
        <w:t>Given that installment and mobile wallet payments drive over 43M EGP in revenue, partner directly with BNPL providers (ValU, Sympl, Aman) to reduce transaction fees and offer zero-interest promotions.</w:t>
      </w:r>
    </w:p>
    <w:p>
      <w:pPr>
        <w:pStyle w:val="ListBullet"/>
        <w:spacing w:before="40" w:after="60" w:line="276" w:lineRule="auto"/>
      </w:pPr>
      <w:r>
        <w:rPr>
          <w:rFonts w:ascii="Calibri" w:hAnsi="Calibri"/>
          <w:b/>
          <w:color w:val="2D3748"/>
          <w:sz w:val="21"/>
        </w:rPr>
        <w:t xml:space="preserve">4. Workforce Incentive Restructuring: </w:t>
      </w:r>
      <w:r>
        <w:rPr>
          <w:rFonts w:ascii="Calibri" w:hAnsi="Calibri"/>
          <w:color w:val="2D3748"/>
          <w:sz w:val="21"/>
        </w:rPr>
        <w:t>Institute tiered commission structures rewarding both revenue volume (benchmarked by Ibrahim Ashraf and Tamer Ehab) and high-margin product push.</w:t>
      </w:r>
    </w:p>
    <w:p>
      <w:pPr>
        <w:pStyle w:val="ListBullet"/>
        <w:spacing w:before="40" w:after="60" w:line="276" w:lineRule="auto"/>
      </w:pPr>
      <w:r>
        <w:rPr>
          <w:rFonts w:ascii="Calibri" w:hAnsi="Calibri"/>
          <w:b/>
          <w:color w:val="2D3748"/>
          <w:sz w:val="21"/>
        </w:rPr>
        <w:t xml:space="preserve">5. POS Data Governance: </w:t>
      </w:r>
      <w:r>
        <w:rPr>
          <w:rFonts w:ascii="Calibri" w:hAnsi="Calibri"/>
          <w:color w:val="2D3748"/>
          <w:sz w:val="21"/>
        </w:rPr>
        <w:t>Mandate mandatory payment method selection at point-of-sale systems to eliminate 'Unknown' payment records.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