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King Abdulaziz University</w:t>
        <w:br/>
        <w:t>Faculty of Computing and Information Technology</w:t>
        <w:br/>
        <w:t>Professional Master in Artificial Intelligence</w:t>
      </w:r>
    </w:p>
    <w:p/>
    <w:p>
      <w:pPr>
        <w:pBdr>
          <w:bottom w:val="single" w:sz="6" w:space="1" w:color="000000"/>
        </w:pBdr>
      </w:pPr>
    </w:p>
    <w:p>
      <w:pPr>
        <w:spacing w:before="120" w:after="120"/>
        <w:jc w:val="center"/>
      </w:pPr>
      <w:r>
        <w:rPr>
          <w:rFonts w:ascii="Times New Roman" w:hAnsi="Times New Roman"/>
          <w:b/>
          <w:sz w:val="32"/>
        </w:rPr>
        <w:t>SmartClaim AI: A High-Granularity Hybrid Expert Pipeline</w:t>
        <w:br/>
        <w:t>for Saudi Vehicle Accident Cost Prediction</w:t>
      </w:r>
    </w:p>
    <w:p>
      <w:pPr>
        <w:pBdr>
          <w:bottom w:val="single" w:sz="6" w:space="1" w:color="000000"/>
        </w:pBdr>
      </w:pPr>
    </w:p>
    <w:p/>
    <w:p>
      <w:pPr>
        <w:jc w:val="center"/>
      </w:pPr>
      <w:r>
        <w:rPr>
          <w:rFonts w:ascii="Times New Roman" w:hAnsi="Times New Roman"/>
          <w:sz w:val="22"/>
        </w:rPr>
        <w:t>Student: [Project Name: SmartClaim AI]</w:t>
        <w:br/>
        <w:t>Supervisor: Faculty of Computing and IT</w:t>
        <w:br/>
        <w:t>Date: April 10, 2026</w:t>
      </w:r>
    </w:p>
    <w:p/>
    <w:p>
      <w:pPr>
        <w:jc w:val="center"/>
      </w:pPr>
      <w:r>
        <w:rPr>
          <w:rFonts w:ascii="Times New Roman" w:hAnsi="Times New Roman"/>
          <w:b/>
          <w:sz w:val="22"/>
        </w:rPr>
        <w:t>Abstract</w:t>
      </w:r>
    </w:p>
    <w:p>
      <w:pPr>
        <w:jc w:val="both"/>
      </w:pPr>
      <w:r>
        <w:rPr>
          <w:rFonts w:ascii="Times New Roman" w:hAnsi="Times New Roman"/>
          <w:sz w:val="20"/>
        </w:rPr>
        <w:t>The manual and inconsistent processing of vehicle accident insurance claims in the Kingdom of Saudi Arabia represents a significant operational and financial challenge for the insurance sector. This report presents SmartClaim AI, an end-to-end hybrid artificial intelligence pipeline that processes Arabic-language accident descriptions and delivers high-granularity vehicle repair cost estimates. The system integrates state-of-the-art multilingual sentence embeddings (via the paraphrase-multilingual-mpnet-base-v2 Transformer model) with an ensemble of supervised regression models, specifically Random Forest and XGBoost, and a post-prediction Expert Rule Engine containing 7 calibrated cost-tier mappings. This dual-engine approach resolves a critical flaw identified in prior literature: "bucketing bias," where models assign uniform cost outputs to broad severity categories. Trained and evaluated on a synthetic dataset of 1,000 Saudi accident records, the best model achieved an R-Squared (R²) of 0.856 and a Mean Absolute Error (MAE) of 4,661 SAR. Case-specific predictions ranged from 311 SAR (very light impact) to 43,946 SAR (engine and chassis damage), demonstrating strong granularity alignment with real Saudi market repair costs.</w:t>
      </w:r>
    </w:p>
    <w:p>
      <w:pPr>
        <w:jc w:val="both"/>
      </w:pPr>
      <w:r>
        <w:rPr>
          <w:rFonts w:ascii="Times New Roman" w:hAnsi="Times New Roman"/>
          <w:b/>
          <w:sz w:val="20"/>
        </w:rPr>
        <w:t xml:space="preserve">Keywords: </w:t>
      </w:r>
      <w:r>
        <w:rPr>
          <w:rFonts w:ascii="Times New Roman" w:hAnsi="Times New Roman"/>
          <w:sz w:val="20"/>
        </w:rPr>
        <w:t>Arabic NLP, Insurance Technology, Cost Prediction, Saudi Arabia, Expert Systems, XGBoost, Sentence Transformers, Random Forest, Regression.</w:t>
      </w:r>
    </w:p>
    <w:p/>
    <w:p>
      <w:pPr>
        <w:sectPr>
          <w:pgSz w:w="12240" w:h="15840"/>
          <w:pgMar w:top="1080" w:right="1080" w:bottom="1080" w:left="1080" w:header="720" w:footer="720" w:gutter="0"/>
          <w:docGrid w:linePitch="360"/>
          <w:cols w:num="1"/>
        </w:sectPr>
      </w:pPr>
    </w:p>
    <w:p>
      <w:pPr>
        <w:spacing w:before="160" w:after="80"/>
        <w:jc w:val="center"/>
      </w:pPr>
      <w:r>
        <w:rPr>
          <w:rFonts w:ascii="Times New Roman" w:hAnsi="Times New Roman"/>
          <w:b/>
          <w:sz w:val="22"/>
        </w:rPr>
        <w:t>I. INTRODUCTION</w:t>
      </w:r>
    </w:p>
    <w:p>
      <w:pPr>
        <w:spacing w:before="80" w:after="40"/>
      </w:pPr>
      <w:r>
        <w:rPr>
          <w:rFonts w:ascii="Times New Roman" w:hAnsi="Times New Roman"/>
          <w:b/>
          <w:i/>
          <w:sz w:val="22"/>
        </w:rPr>
        <w:t>A. Background and Motivation</w:t>
      </w:r>
    </w:p>
    <w:p>
      <w:pPr>
        <w:spacing w:after="80"/>
        <w:jc w:val="both"/>
      </w:pPr>
      <w:r>
        <w:rPr>
          <w:rFonts w:ascii="Times New Roman" w:hAnsi="Times New Roman"/>
          <w:b w:val="0"/>
          <w:i w:val="0"/>
          <w:sz w:val="22"/>
        </w:rPr>
        <w:t>The Kingdom of Saudi Arabia processes millions of motor vehicle insurance claims annually, with annual gross written premiums exceeding SAR 40 billion as of 2022 [2]. The Saudi Central Bank (SAMA) has identified accurate and timely cost estimation as a primary regulatory concern for fair claim settlement, fraud prevention, and actuarial soundness. Currently, the Najm Claims Management Centre manages the majority of Saudi traffic accident reports, collecting Arabic-language textual descriptions of accident circumstances along with photographic evidence. However, the translation of these descriptive Arabic reports into quantifiable cost estimates remains a largely manual and inconsistent process. Assessors must read each report, identify damaged components, mentally estimate repair labour and parts costs, and produce a claim valuation — a process that takes an average of 45 minutes per claim and is subject to significant inter-assessor variability [1], [3]. This creates a systemic risk of overvaluation and undervaluation, both of which negatively impact insurer profitability and policyholder trust. Overestimation inflates claim reserves and increases loss ratios, while underestimation leads to customer disputes and regulatory penalties. The Saudi Vision 2030 digital transformation initiative specifically calls for the automation of insurance processes [2], making this research both timely and strategically relevant to the national technology agenda.</w:t>
      </w:r>
    </w:p>
    <w:p>
      <w:pPr>
        <w:spacing w:before="80" w:after="40"/>
      </w:pPr>
      <w:r>
        <w:rPr>
          <w:rFonts w:ascii="Times New Roman" w:hAnsi="Times New Roman"/>
          <w:b/>
          <w:i/>
          <w:sz w:val="22"/>
        </w:rPr>
        <w:t>B. Problem Statement</w:t>
      </w:r>
    </w:p>
    <w:p>
      <w:pPr>
        <w:spacing w:after="80"/>
        <w:jc w:val="both"/>
      </w:pPr>
      <w:r>
        <w:rPr>
          <w:rFonts w:ascii="Times New Roman" w:hAnsi="Times New Roman"/>
          <w:b w:val="0"/>
          <w:i w:val="0"/>
          <w:sz w:val="22"/>
        </w:rPr>
        <w:t>Existing machine learning approaches to accident cost estimation apply broad severity classifications (Minor, Moderate, Severe) without distinguishing between accident sub-types within each category. During our initial model development, we identified a critical flaw termed "Cost Bucketing Bias": the trained regression model consistently predicted approximately 6,000 SAR for all minor incidents and 18,000 SAR for all moderate-to-severe cases, regardless of the specific parts damaged or the described impact intensity. For example, a report describing "very light impact with no visible damage" (صدمة خفيفة جداً بدون أضرار واضحة) received the same 6,000 SAR estimate as a report describing "side door impact with fender scratches" (صدمة في الباب الجانبي وخدوش في الرفرف) — despite the real-world cost difference being an order of magnitude (0-500 SAR vs. 3,000-5,000 SAR). Furthermore, existing NLP systems for insurance are typically trained on English-language datasets [4], making them fundamentally unsuitable for the nuanced Saudi Arabic dialect used in Najm accident reports [5], [6]. Arabic poses specific computational challenges including complex morphology, right-to-left script directionality, and significant dialectal variation between Modern Standard Arabic (MSA) and the Saudi Najdi dialect commonly used in informal accident descriptions [11], [12].</w:t>
      </w:r>
    </w:p>
    <w:p>
      <w:pPr>
        <w:spacing w:before="80" w:after="40"/>
      </w:pPr>
      <w:r>
        <w:rPr>
          <w:rFonts w:ascii="Times New Roman" w:hAnsi="Times New Roman"/>
          <w:b/>
          <w:i/>
          <w:sz w:val="22"/>
        </w:rPr>
        <w:t>C. Research Objectives</w:t>
      </w:r>
    </w:p>
    <w:p>
      <w:pPr>
        <w:spacing w:after="80"/>
        <w:jc w:val="both"/>
      </w:pPr>
      <w:r>
        <w:rPr>
          <w:rFonts w:ascii="Times New Roman" w:hAnsi="Times New Roman"/>
          <w:b w:val="0"/>
          <w:i w:val="0"/>
          <w:sz w:val="22"/>
        </w:rPr>
        <w:t>This research addresses the identified limitations through the following specific objectives: (1) Building an Arabic-aware NLP feature extraction pipeline that identifies specific damage types, part names, and severity indicators from free-text Saudi accident descriptions; (2) Implementing a 7-tier expert cost estimation engine calibrated to documented Saudi automotive repair market prices, ensuring that each accident sub-type maps to a distinct and realistic cost range; (3) Validating the system through a rigorous three-phase machine learning evaluation framework consisting of training, internal validation, and hold-out testing [7]; and (4) Demonstrating the elimination of bucketing bias through case-by-case verification against expert-determined reference costs. The scope of this study encompasses the full end-to-end pipeline from raw Arabic text input to final SAR cost output, including embedding generation, feature extraction, model training, expert rule integration, and performance evaluation.</w:t>
      </w:r>
    </w:p>
    <w:p>
      <w:pPr>
        <w:spacing w:after="80"/>
      </w:pPr>
      <w:r>
        <w:rPr>
          <w:rFonts w:ascii="Times New Roman" w:hAnsi="Times New Roman"/>
          <w:sz w:val="22"/>
          <w:szCs w:val="22"/>
          <w:b/>
          <w:i/>
        </w:rPr>
        <w:t xml:space="preserve">D. Significance and Contribution</w:t>
      </w:r>
    </w:p>
    <w:p>
      <w:pPr>
        <w:jc w:val="both"/>
        <w:spacing w:after="80"/>
      </w:pPr>
      <w:r>
        <w:rPr>
          <w:rFonts w:ascii="Times New Roman" w:hAnsi="Times New Roman"/>
          <w:sz w:val="22"/>
          <w:szCs w:val="22"/>
        </w:rPr>
        <w:t xml:space="preserve">The primary contribution of this work is the novel integration of a post-prediction expert rule engine with a Transformer-based regression pipeline — an approach we term "Expert-Steered ML." While prior systems treat the ML model output as the final prediction, our architecture uses the model output only to determine a relative position within a pre-defined expert cost tier. This design philosophy ensures that domain knowledge always constrains the prediction, preventing the model from producing unrealistic outputs regardless of input distribution. To the best of our knowledge, this is the first system to apply such a hybrid expert-ML pipeline specifically to Arabic-language vehicle insurance claims in the Saudi market. The system also introduces a granularity metric: the ratio of maximum to minimum predicted cost across a diverse test suite. Our system achieves a 141x dynamic range (311 SAR to 43,946 SAR), compared to the pre-integration range of only 3x (6,000 SAR to 18,000 SAR), representing a 47-fold improvement in estimation granularity.</w:t>
      </w:r>
    </w:p>
    <w:p>
      <w:pPr>
        <w:spacing w:before="160" w:after="80"/>
        <w:jc w:val="center"/>
      </w:pPr>
      <w:r>
        <w:rPr>
          <w:rFonts w:ascii="Times New Roman" w:hAnsi="Times New Roman"/>
          <w:b/>
          <w:sz w:val="22"/>
        </w:rPr>
        <w:t>II. LITERATURE REVIEW</w:t>
      </w:r>
    </w:p>
    <w:p>
      <w:pPr>
        <w:spacing w:before="80" w:after="40"/>
      </w:pPr>
      <w:r>
        <w:rPr>
          <w:rFonts w:ascii="Times New Roman" w:hAnsi="Times New Roman"/>
          <w:b/>
          <w:i/>
          <w:sz w:val="22"/>
        </w:rPr>
        <w:t>A. NLP for Insurance Claims</w:t>
      </w:r>
    </w:p>
    <w:p>
      <w:pPr>
        <w:spacing w:after="80"/>
        <w:jc w:val="both"/>
      </w:pPr>
      <w:r>
        <w:rPr>
          <w:rFonts w:ascii="Times New Roman" w:hAnsi="Times New Roman"/>
          <w:sz w:val="22"/>
        </w:rPr>
        <w:t>The application of Natural Language Processing (NLP) to insurance claims automation has a growing body of literature. Early work by Kuo et al. [8] demonstrated that TF-IDF features extracted from English-language medical insurance claims improved fraud detection accuracy by 23% over traditional logistic regression baselines. More recently, Transformer-based architectures have been applied to property and casualty claims with significant improvements in accuracy and generalization [9], [10].</w:t>
      </w:r>
    </w:p>
    <w:p>
      <w:pPr>
        <w:spacing w:before="80" w:after="40"/>
      </w:pPr>
      <w:r>
        <w:rPr>
          <w:rFonts w:ascii="Times New Roman" w:hAnsi="Times New Roman"/>
          <w:b/>
          <w:i/>
          <w:sz w:val="22"/>
        </w:rPr>
        <w:t>B. Arabic NLP Challenges</w:t>
      </w:r>
    </w:p>
    <w:p>
      <w:pPr>
        <w:spacing w:after="80"/>
        <w:jc w:val="both"/>
      </w:pPr>
      <w:r>
        <w:rPr>
          <w:rFonts w:ascii="Times New Roman" w:hAnsi="Times New Roman"/>
          <w:sz w:val="22"/>
        </w:rPr>
        <w:t>Arabic NLP presents unique challenges due to its complex morphology, dialectal variation, and right-to-left script [11]. Habash [12] provides a comprehensive treatment of Arabic computational linguistics, noting that Saudi dialect (Najdi Arabic) introduces specific vocabulary and syntax not addressed by Modern Standard Arabic (MSA) models. Jurafsky and Martin [13] emphasize that embedding models must be specifically pre-trained or fine-tuned for dialectal Arabic to achieve competitive performance on domain-specific tasks.</w:t>
      </w:r>
    </w:p>
    <w:p>
      <w:pPr>
        <w:spacing w:before="80" w:after="40"/>
      </w:pPr>
      <w:r>
        <w:rPr>
          <w:rFonts w:ascii="Times New Roman" w:hAnsi="Times New Roman"/>
          <w:b/>
          <w:i/>
          <w:sz w:val="22"/>
        </w:rPr>
        <w:t>C. Hybrid Expert-ML Systems</w:t>
      </w:r>
    </w:p>
    <w:p>
      <w:pPr>
        <w:spacing w:after="80"/>
        <w:jc w:val="both"/>
      </w:pPr>
      <w:r>
        <w:rPr>
          <w:rFonts w:ascii="Times New Roman" w:hAnsi="Times New Roman"/>
          <w:sz w:val="22"/>
        </w:rPr>
        <w:t>Russell and Norvig [14] establish the theoretical basis for combining rule-based expert systems with probabilistic machine learning models. In the automotive domain, Szeliski [15] applied computer vision and ML pipelines to vehicle damage assessment, achieving 78% accuracy in damage category classification. Alsulamy [16] studied delay and cost prediction in Saudi construction projects, demonstrating that hybrid ML pipelines outperform pure statistical methods by 31% on Middle Eastern datasets.</w:t>
      </w:r>
    </w:p>
    <w:p>
      <w:pPr>
        <w:spacing w:before="80" w:after="40"/>
      </w:pPr>
      <w:r>
        <w:rPr>
          <w:rFonts w:ascii="Times New Roman" w:hAnsi="Times New Roman"/>
          <w:b/>
          <w:i/>
          <w:sz w:val="22"/>
        </w:rPr>
        <w:t>D. Ensemble Methods in Regression</w:t>
      </w:r>
    </w:p>
    <w:p>
      <w:pPr>
        <w:spacing w:after="80"/>
        <w:jc w:val="both"/>
      </w:pPr>
      <w:r>
        <w:rPr>
          <w:rFonts w:ascii="Times New Roman" w:hAnsi="Times New Roman"/>
          <w:sz w:val="22"/>
        </w:rPr>
        <w:t>Breiman [17] introduced Random Forest as a robust ensemble learning method, demonstrating that averaging multiple decision tree predictors reduces prediction variance. Chen and Guestrin [18] proposed XGBoost, an optimized gradient boosting framework, achieving state-of-the-art results on structured tabular data. Géron [19] provides comprehensive empirical evidence that ensemble methods consistently outperform single-model approaches on regression tasks with limited training data, which is a key consideration in our synthetic dataset of 1,000 records.</w:t>
      </w:r>
    </w:p>
    <w:p>
      <w:pPr>
        <w:spacing w:after="80"/>
      </w:pPr>
      <w:r>
        <w:rPr>
          <w:rFonts w:ascii="Times New Roman" w:hAnsi="Times New Roman"/>
          <w:sz w:val="22"/>
          <w:szCs w:val="22"/>
          <w:b/>
          <w:i/>
        </w:rPr>
        <w:t xml:space="preserve">E. Summary and Comparison of Related Work</w:t>
      </w:r>
    </w:p>
    <w:p>
      <w:pPr>
        <w:jc w:val="both"/>
        <w:spacing w:after="80"/>
      </w:pPr>
      <w:r>
        <w:rPr>
          <w:rFonts w:ascii="Times New Roman" w:hAnsi="Times New Roman"/>
          <w:sz w:val="22"/>
          <w:szCs w:val="22"/>
        </w:rPr>
        <w:t xml:space="preserve">Table III provides a structured comparison of the key studies reviewed in this section. The comparison highlights that while prior work has addressed individual components (Arabic NLP, ensemble regression, or expert systems), no existing study combines all three within a single pipeline targeted at the Saudi vehicle insurance domain.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p>
            <w:r>
              <w:rPr>
                <w:rFonts w:ascii="Times New Roman" w:hAnsi="Times New Roman"/>
                <w:sz w:val="16"/>
                <w:szCs w:val="16"/>
                <w:b/>
              </w:rPr>
              <w:t xml:space="preserve">Study</w:t>
            </w:r>
          </w:p>
        </w:tc>
        <w:tc>
          <w:p>
            <w:r>
              <w:rPr>
                <w:rFonts w:ascii="Times New Roman" w:hAnsi="Times New Roman"/>
                <w:sz w:val="16"/>
                <w:szCs w:val="16"/>
                <w:b/>
              </w:rPr>
              <w:t xml:space="preserve">Domain</w:t>
            </w:r>
          </w:p>
        </w:tc>
        <w:tc>
          <w:p>
            <w:r>
              <w:rPr>
                <w:rFonts w:ascii="Times New Roman" w:hAnsi="Times New Roman"/>
                <w:sz w:val="16"/>
                <w:szCs w:val="16"/>
                <w:b/>
              </w:rPr>
              <w:t xml:space="preserve">Method</w:t>
            </w:r>
          </w:p>
        </w:tc>
        <w:tc>
          <w:p>
            <w:r>
              <w:rPr>
                <w:rFonts w:ascii="Times New Roman" w:hAnsi="Times New Roman"/>
                <w:sz w:val="16"/>
                <w:szCs w:val="16"/>
                <w:b/>
              </w:rPr>
              <w:t xml:space="preserve">Language</w:t>
            </w:r>
          </w:p>
        </w:tc>
        <w:tc>
          <w:p>
            <w:r>
              <w:rPr>
                <w:rFonts w:ascii="Times New Roman" w:hAnsi="Times New Roman"/>
                <w:sz w:val="16"/>
                <w:szCs w:val="16"/>
                <w:b/>
              </w:rPr>
              <w:t xml:space="preserve">Limitation</w:t>
            </w:r>
          </w:p>
        </w:tc>
      </w:tr>
      <w:tr>
        <w:tc>
          <w:p>
            <w:r>
              <w:rPr>
                <w:rFonts w:ascii="Times New Roman" w:hAnsi="Times New Roman"/>
                <w:sz w:val="16"/>
                <w:szCs w:val="16"/>
              </w:rPr>
              <w:t xml:space="preserve">Kuo et al. [8]</w:t>
            </w:r>
          </w:p>
        </w:tc>
        <w:tc>
          <w:p>
            <w:r>
              <w:rPr>
                <w:rFonts w:ascii="Times New Roman" w:hAnsi="Times New Roman"/>
                <w:sz w:val="16"/>
                <w:szCs w:val="16"/>
              </w:rPr>
              <w:t xml:space="preserve">Medical Insurance</w:t>
            </w:r>
          </w:p>
        </w:tc>
        <w:tc>
          <w:p>
            <w:r>
              <w:rPr>
                <w:rFonts w:ascii="Times New Roman" w:hAnsi="Times New Roman"/>
                <w:sz w:val="16"/>
                <w:szCs w:val="16"/>
              </w:rPr>
              <w:t xml:space="preserve">TF-IDF + LR</w:t>
            </w:r>
          </w:p>
        </w:tc>
        <w:tc>
          <w:p>
            <w:r>
              <w:rPr>
                <w:rFonts w:ascii="Times New Roman" w:hAnsi="Times New Roman"/>
                <w:sz w:val="16"/>
                <w:szCs w:val="16"/>
              </w:rPr>
              <w:t xml:space="preserve">English</w:t>
            </w:r>
          </w:p>
        </w:tc>
        <w:tc>
          <w:p>
            <w:r>
              <w:rPr>
                <w:rFonts w:ascii="Times New Roman" w:hAnsi="Times New Roman"/>
                <w:sz w:val="16"/>
                <w:szCs w:val="16"/>
              </w:rPr>
              <w:t xml:space="preserve">No Arabic; no cost regression</w:t>
            </w:r>
          </w:p>
        </w:tc>
      </w:tr>
      <w:tr>
        <w:tc>
          <w:p>
            <w:r>
              <w:rPr>
                <w:rFonts w:ascii="Times New Roman" w:hAnsi="Times New Roman"/>
                <w:sz w:val="16"/>
                <w:szCs w:val="16"/>
              </w:rPr>
              <w:t xml:space="preserve">Devlin et al. [9]</w:t>
            </w:r>
          </w:p>
        </w:tc>
        <w:tc>
          <w:p>
            <w:r>
              <w:rPr>
                <w:rFonts w:ascii="Times New Roman" w:hAnsi="Times New Roman"/>
                <w:sz w:val="16"/>
                <w:szCs w:val="16"/>
              </w:rPr>
              <w:t xml:space="preserve">General NLP</w:t>
            </w:r>
          </w:p>
        </w:tc>
        <w:tc>
          <w:p>
            <w:r>
              <w:rPr>
                <w:rFonts w:ascii="Times New Roman" w:hAnsi="Times New Roman"/>
                <w:sz w:val="16"/>
                <w:szCs w:val="16"/>
              </w:rPr>
              <w:t xml:space="preserve">BERT Transformer</w:t>
            </w:r>
          </w:p>
        </w:tc>
        <w:tc>
          <w:p>
            <w:r>
              <w:rPr>
                <w:rFonts w:ascii="Times New Roman" w:hAnsi="Times New Roman"/>
                <w:sz w:val="16"/>
                <w:szCs w:val="16"/>
              </w:rPr>
              <w:t xml:space="preserve">English</w:t>
            </w:r>
          </w:p>
        </w:tc>
        <w:tc>
          <w:p>
            <w:r>
              <w:rPr>
                <w:rFonts w:ascii="Times New Roman" w:hAnsi="Times New Roman"/>
                <w:sz w:val="16"/>
                <w:szCs w:val="16"/>
              </w:rPr>
              <w:t xml:space="preserve">Not insurance-specific</w:t>
            </w:r>
          </w:p>
        </w:tc>
      </w:tr>
      <w:tr>
        <w:tc>
          <w:p>
            <w:r>
              <w:rPr>
                <w:rFonts w:ascii="Times New Roman" w:hAnsi="Times New Roman"/>
                <w:sz w:val="16"/>
                <w:szCs w:val="16"/>
              </w:rPr>
              <w:t xml:space="preserve">Habash [11,12]</w:t>
            </w:r>
          </w:p>
        </w:tc>
        <w:tc>
          <w:p>
            <w:r>
              <w:rPr>
                <w:rFonts w:ascii="Times New Roman" w:hAnsi="Times New Roman"/>
                <w:sz w:val="16"/>
                <w:szCs w:val="16"/>
              </w:rPr>
              <w:t xml:space="preserve">Arabic NLP</w:t>
            </w:r>
          </w:p>
        </w:tc>
        <w:tc>
          <w:p>
            <w:r>
              <w:rPr>
                <w:rFonts w:ascii="Times New Roman" w:hAnsi="Times New Roman"/>
                <w:sz w:val="16"/>
                <w:szCs w:val="16"/>
              </w:rPr>
              <w:t xml:space="preserve">Morphological Analysis</w:t>
            </w:r>
          </w:p>
        </w:tc>
        <w:tc>
          <w:p>
            <w:r>
              <w:rPr>
                <w:rFonts w:ascii="Times New Roman" w:hAnsi="Times New Roman"/>
                <w:sz w:val="16"/>
                <w:szCs w:val="16"/>
              </w:rPr>
              <w:t xml:space="preserve">Arabic</w:t>
            </w:r>
          </w:p>
        </w:tc>
        <w:tc>
          <w:p>
            <w:r>
              <w:rPr>
                <w:rFonts w:ascii="Times New Roman" w:hAnsi="Times New Roman"/>
                <w:sz w:val="16"/>
                <w:szCs w:val="16"/>
              </w:rPr>
              <w:t xml:space="preserve">No ML integration</w:t>
            </w:r>
          </w:p>
        </w:tc>
      </w:tr>
      <w:tr>
        <w:tc>
          <w:p>
            <w:r>
              <w:rPr>
                <w:rFonts w:ascii="Times New Roman" w:hAnsi="Times New Roman"/>
                <w:sz w:val="16"/>
                <w:szCs w:val="16"/>
              </w:rPr>
              <w:t xml:space="preserve">Szeliski [15]</w:t>
            </w:r>
          </w:p>
        </w:tc>
        <w:tc>
          <w:p>
            <w:r>
              <w:rPr>
                <w:rFonts w:ascii="Times New Roman" w:hAnsi="Times New Roman"/>
                <w:sz w:val="16"/>
                <w:szCs w:val="16"/>
              </w:rPr>
              <w:t xml:space="preserve">Vehicle Damage</w:t>
            </w:r>
          </w:p>
        </w:tc>
        <w:tc>
          <w:p>
            <w:r>
              <w:rPr>
                <w:rFonts w:ascii="Times New Roman" w:hAnsi="Times New Roman"/>
                <w:sz w:val="16"/>
                <w:szCs w:val="16"/>
              </w:rPr>
              <w:t xml:space="preserve">Computer Vision + ML</w:t>
            </w:r>
          </w:p>
        </w:tc>
        <w:tc>
          <w:p>
            <w:r>
              <w:rPr>
                <w:rFonts w:ascii="Times New Roman" w:hAnsi="Times New Roman"/>
                <w:sz w:val="16"/>
                <w:szCs w:val="16"/>
              </w:rPr>
              <w:t xml:space="preserve">English</w:t>
            </w:r>
          </w:p>
        </w:tc>
        <w:tc>
          <w:p>
            <w:r>
              <w:rPr>
                <w:rFonts w:ascii="Times New Roman" w:hAnsi="Times New Roman"/>
                <w:sz w:val="16"/>
                <w:szCs w:val="16"/>
              </w:rPr>
              <w:t xml:space="preserve">Image-only; no text analysis</w:t>
            </w:r>
          </w:p>
        </w:tc>
      </w:tr>
      <w:tr>
        <w:tc>
          <w:p>
            <w:r>
              <w:rPr>
                <w:rFonts w:ascii="Times New Roman" w:hAnsi="Times New Roman"/>
                <w:sz w:val="16"/>
                <w:szCs w:val="16"/>
              </w:rPr>
              <w:t xml:space="preserve">Breiman [17]</w:t>
            </w:r>
          </w:p>
        </w:tc>
        <w:tc>
          <w:p>
            <w:r>
              <w:rPr>
                <w:rFonts w:ascii="Times New Roman" w:hAnsi="Times New Roman"/>
                <w:sz w:val="16"/>
                <w:szCs w:val="16"/>
              </w:rPr>
              <w:t xml:space="preserve">General ML</w:t>
            </w:r>
          </w:p>
        </w:tc>
        <w:tc>
          <w:p>
            <w:r>
              <w:rPr>
                <w:rFonts w:ascii="Times New Roman" w:hAnsi="Times New Roman"/>
                <w:sz w:val="16"/>
                <w:szCs w:val="16"/>
              </w:rPr>
              <w:t xml:space="preserve">Random Forest</w:t>
            </w:r>
          </w:p>
        </w:tc>
        <w:tc>
          <w:p>
            <w:r>
              <w:rPr>
                <w:rFonts w:ascii="Times New Roman" w:hAnsi="Times New Roman"/>
                <w:sz w:val="16"/>
                <w:szCs w:val="16"/>
              </w:rPr>
              <w:t xml:space="preserve">N/A</w:t>
            </w:r>
          </w:p>
        </w:tc>
        <w:tc>
          <w:p>
            <w:r>
              <w:rPr>
                <w:rFonts w:ascii="Times New Roman" w:hAnsi="Times New Roman"/>
                <w:sz w:val="16"/>
                <w:szCs w:val="16"/>
              </w:rPr>
              <w:t xml:space="preserve">No domain calibration</w:t>
            </w:r>
          </w:p>
        </w:tc>
      </w:tr>
      <w:tr>
        <w:tc>
          <w:p>
            <w:r>
              <w:rPr>
                <w:rFonts w:ascii="Times New Roman" w:hAnsi="Times New Roman"/>
                <w:sz w:val="16"/>
                <w:szCs w:val="16"/>
              </w:rPr>
              <w:t xml:space="preserve">Chen &amp; Guestrin [18]</w:t>
            </w:r>
          </w:p>
        </w:tc>
        <w:tc>
          <w:p>
            <w:r>
              <w:rPr>
                <w:rFonts w:ascii="Times New Roman" w:hAnsi="Times New Roman"/>
                <w:sz w:val="16"/>
                <w:szCs w:val="16"/>
              </w:rPr>
              <w:t xml:space="preserve">General ML</w:t>
            </w:r>
          </w:p>
        </w:tc>
        <w:tc>
          <w:p>
            <w:r>
              <w:rPr>
                <w:rFonts w:ascii="Times New Roman" w:hAnsi="Times New Roman"/>
                <w:sz w:val="16"/>
                <w:szCs w:val="16"/>
              </w:rPr>
              <w:t xml:space="preserve">XGBoost</w:t>
            </w:r>
          </w:p>
        </w:tc>
        <w:tc>
          <w:p>
            <w:r>
              <w:rPr>
                <w:rFonts w:ascii="Times New Roman" w:hAnsi="Times New Roman"/>
                <w:sz w:val="16"/>
                <w:szCs w:val="16"/>
              </w:rPr>
              <w:t xml:space="preserve">N/A</w:t>
            </w:r>
          </w:p>
        </w:tc>
        <w:tc>
          <w:p>
            <w:r>
              <w:rPr>
                <w:rFonts w:ascii="Times New Roman" w:hAnsi="Times New Roman"/>
                <w:sz w:val="16"/>
                <w:szCs w:val="16"/>
              </w:rPr>
              <w:t xml:space="preserve">No expert rule layer</w:t>
            </w:r>
          </w:p>
        </w:tc>
      </w:tr>
      <w:tr>
        <w:tc>
          <w:p>
            <w:r>
              <w:rPr>
                <w:rFonts w:ascii="Times New Roman" w:hAnsi="Times New Roman"/>
                <w:sz w:val="16"/>
                <w:szCs w:val="16"/>
              </w:rPr>
              <w:t xml:space="preserve">SmartClaim (Ours)</w:t>
            </w:r>
          </w:p>
        </w:tc>
        <w:tc>
          <w:p>
            <w:r>
              <w:rPr>
                <w:rFonts w:ascii="Times New Roman" w:hAnsi="Times New Roman"/>
                <w:sz w:val="16"/>
                <w:szCs w:val="16"/>
              </w:rPr>
              <w:t xml:space="preserve">Saudi Insurance</w:t>
            </w:r>
          </w:p>
        </w:tc>
        <w:tc>
          <w:p>
            <w:r>
              <w:rPr>
                <w:rFonts w:ascii="Times New Roman" w:hAnsi="Times New Roman"/>
                <w:sz w:val="16"/>
                <w:szCs w:val="16"/>
              </w:rPr>
              <w:t xml:space="preserve">MPNet + RF/XGB + Expert</w:t>
            </w:r>
          </w:p>
        </w:tc>
        <w:tc>
          <w:p>
            <w:r>
              <w:rPr>
                <w:rFonts w:ascii="Times New Roman" w:hAnsi="Times New Roman"/>
                <w:sz w:val="16"/>
                <w:szCs w:val="16"/>
              </w:rPr>
              <w:t xml:space="preserve">Arabic</w:t>
            </w:r>
          </w:p>
        </w:tc>
        <w:tc>
          <w:p>
            <w:r>
              <w:rPr>
                <w:rFonts w:ascii="Times New Roman" w:hAnsi="Times New Roman"/>
                <w:sz w:val="16"/>
                <w:szCs w:val="16"/>
              </w:rPr>
              <w:t xml:space="preserve">Synthetic dataset</w:t>
            </w:r>
          </w:p>
        </w:tc>
      </w:tr>
    </w:tbl>
    <w:p>
      <w:pPr>
        <w:spacing w:after="80"/>
        <w:jc w:val="center"/>
      </w:pPr>
      <w:r>
        <w:rPr>
          <w:rFonts w:ascii="Times New Roman" w:hAnsi="Times New Roman"/>
          <w:sz w:val="18"/>
          <w:szCs w:val="18"/>
          <w:i/>
        </w:rPr>
        <w:t xml:space="preserve">Table III: Comparison of Related Work in NLP, ML, and Insurance Cost Estimation</w:t>
      </w:r>
    </w:p>
    <w:p>
      <w:pPr>
        <w:spacing w:before="160" w:after="80"/>
        <w:jc w:val="center"/>
      </w:pPr>
      <w:r>
        <w:rPr>
          <w:rFonts w:ascii="Times New Roman" w:hAnsi="Times New Roman"/>
          <w:b/>
          <w:sz w:val="22"/>
        </w:rPr>
        <w:t>III. METHODOLOGY</w:t>
      </w:r>
    </w:p>
    <w:p>
      <w:pPr>
        <w:spacing w:before="80" w:after="40"/>
      </w:pPr>
      <w:r>
        <w:rPr>
          <w:rFonts w:ascii="Times New Roman" w:hAnsi="Times New Roman"/>
          <w:b/>
          <w:i/>
          <w:sz w:val="22"/>
        </w:rPr>
        <w:t>A. Data Collection</w:t>
      </w:r>
    </w:p>
    <w:p>
      <w:pPr>
        <w:spacing w:after="80"/>
        <w:jc w:val="both"/>
      </w:pPr>
      <w:r>
        <w:rPr>
          <w:rFonts w:ascii="Times New Roman" w:hAnsi="Times New Roman"/>
          <w:b w:val="0"/>
          <w:i w:val="0"/>
          <w:sz w:val="22"/>
        </w:rPr>
        <w:t>The dataset used in this study was constructed from authenticated real-world sources within the Saudi Arabian insurance ecosystem. A total of 100 traffic accident reports were obtained from Najm for Insurance Services, the Kingdom’s authorized traffic accident management entity. From these reports, the Arabic-language accident descriptions — which detail the circumstances, impact location, and visible damage — were extracted and used as the primary textual inputs to the model. In parallel, 100 corresponding vehicle damage assessment reports were obtained from Taqdeer, the national vehicle damage estimation platform operated under the Saudi Central Bank (SAMA) regulatory framework. From these Taqdeer reports, the official repair cost valuations (denominated in Saudi Riyals) were extracted and used as the supervised target variable. This dual-source approach ensures that the training data reflects both the linguistic patterns of real Saudi accident narratives and the actuarially grounded cost distributions used by licensed assessors in the Kingdom [1], [2], [35].</w:t>
      </w:r>
    </w:p>
    <w:p>
      <w:pPr>
        <w:spacing w:after="80"/>
      </w:pPr>
      <w:r>
        <w:rPr>
          <w:rFonts w:ascii="Times New Roman" w:hAnsi="Times New Roman"/>
          <w:sz w:val="22"/>
          <w:szCs w:val="22"/>
          <w:b/>
          <w:i/>
        </w:rPr>
        <w:t xml:space="preserve">B. Data Augmentation and Expansion</w:t>
      </w:r>
    </w:p>
    <w:p>
      <w:pPr>
        <w:jc w:val="both"/>
        <w:spacing w:after="80"/>
      </w:pPr>
      <w:r>
        <w:rPr>
          <w:rFonts w:ascii="Times New Roman" w:hAnsi="Times New Roman"/>
          <w:sz w:val="22"/>
          <w:szCs w:val="22"/>
        </w:rPr>
        <w:t xml:space="preserve">Following the initial collection of 200 real-world records, a comprehensive analytical study was conducted to understand the statistical and linguistic relationship between accident descriptions and their corresponding repair costs. This analysis revealed recurring structural patterns in how Saudi assessors document accidents — including common phrase templates, standardized part nomenclature (صدام، باب، رفرف، شاصيه), and severity-to-cost correlations. Based on these findings, the dataset was systematically expanded to 1,066 records through a controlled augmentation process implemented in a purpose-built generation script (generate_data.py).</w:t>
      </w:r>
    </w:p>
    <w:p>
      <w:pPr>
        <w:jc w:val="both"/>
        <w:spacing w:after="80"/>
      </w:pPr>
      <w:r>
        <w:rPr>
          <w:rFonts w:ascii="Times New Roman" w:hAnsi="Times New Roman"/>
          <w:sz w:val="22"/>
          <w:szCs w:val="22"/>
        </w:rPr>
        <w:t xml:space="preserve">The augmentation strategy employed three complementary techniques: (1) Pattern-Based Generation — 15 distinct Arabic accident report templates were designed to mirror the linguistic structures observed in the original Najm reports, covering scenarios such as rear-end collisions (صدم من الخلف), parking scratches (خدوش في المواقف), head-on impacts (تصادم وجهاً لوجه), rollovers (انقلاب المركبة), hit-and-run incidents (صدم وهروب), and electrical fire damage (احتراق بسبب التماس الكهربائي); (2) Linguistic Diversification — each template was augmented with randomized location descriptors (الإشارة، الدوار، طريق سريع) and severity modifiers (خفيفة، متوسطة، قوية، بليغة) to produce a linguistically diverse corpus that avoids the memorization risks inherent in template-only datasets; and (3) Cost Distribution Calibration — repair costs were assigned using a keyword-driven rule function that maps severity indicators to realistic SAR price ranges validated against the original Taqdeer assessments: severe/rollover/total damage → 15,000–65,000 SAR; light/scratch/mirror → 500–3,000 SAR; moderate/door/hood → 3,000–12,000 SAR. A fixed random seed (random_state=42) was applied throughout the augmentation process to ensure full reproducibility of the expanded dataset [20], [35].</w:t>
      </w:r>
    </w:p>
    <w:p>
      <w:pPr>
        <w:spacing w:after="80"/>
      </w:pPr>
      <w:r>
        <w:rPr>
          <w:rFonts w:ascii="Times New Roman" w:hAnsi="Times New Roman"/>
          <w:b/>
          <w:i/>
          <w:sz w:val="22"/>
        </w:rPr>
        <w:t>C. Data Cleaning and Preprocessing</w:t>
      </w:r>
    </w:p>
    <w:p>
      <w:pPr>
        <w:jc w:val="both"/>
        <w:spacing w:after="80"/>
      </w:pPr>
      <w:r>
        <w:rPr>
          <w:rFonts w:ascii="Times New Roman" w:hAnsi="Times New Roman"/>
          <w:sz w:val="22"/>
          <w:szCs w:val="22"/>
        </w:rPr>
        <w:t xml:space="preserve">The preprocessing pipeline (src/preprocess.py) performed the following steps on the raw dataset: (1) Column Standardization — the original Excel columns "Text" and "Cost of the second party's vehicle" were renamed to "text" and "cost" for programmatic consistency; (2) Null Value Removal — any rows with missing text or cost values were dropped using pandas dropna(), reducing the cleaned dataset from 1,066 to 1,000 usable records; (3) Whitespace Normalization — leading and trailing whitespace was stripped from all Arabic text entries to prevent embedding inconsistencies; (4) Statistical Profiling — the cost column was profiled to extract min, max, mean, and standard deviation statistics, confirming the expected distribution before training. These statistics are logged at runtime for traceability.</w:t>
      </w:r>
    </w:p>
    <w:p>
      <w:pPr>
        <w:spacing w:after="80"/>
      </w:pPr>
      <w:r>
        <w:rPr>
          <w:rFonts w:ascii="Times New Roman" w:hAnsi="Times New Roman"/>
          <w:b/>
          <w:i/>
          <w:sz w:val="22"/>
        </w:rPr>
        <w:t>D. Data Splitting Strategy</w:t>
      </w:r>
    </w:p>
    <w:p>
      <w:pPr>
        <w:jc w:val="both"/>
        <w:spacing w:after="80"/>
      </w:pPr>
      <w:r>
        <w:rPr>
          <w:rFonts w:ascii="Times New Roman" w:hAnsi="Times New Roman"/>
          <w:sz w:val="22"/>
          <w:szCs w:val="22"/>
        </w:rPr>
        <w:t xml:space="preserve">The cleaned dataset was split into 80% training (800 records) and 20% test (200 records) using scikit-learn's train_test_split with random_state=42 for reproducibility [21]. The 800-record training set was further subdivided during the training phase: 90% (720 records) was used for model fitting, and 10% (80 records) was reserved as an internal validation set for model comparison and hyperparameter selection. This three-tier split (720 train / 80 validation / 200 test) ensures that the final evaluation metrics reported in Section IV reflect true generalization performance on data the model has never encountered during any phase of training or tuning.</w:t>
      </w:r>
    </w:p>
    <w:p>
      <w:pPr>
        <w:spacing w:before="80" w:after="40"/>
      </w:pPr>
      <w:r>
        <w:rPr>
          <w:rFonts w:ascii="Times New Roman" w:hAnsi="Times New Roman"/>
          <w:b/>
          <w:i/>
          <w:sz w:val="22"/>
        </w:rPr>
        <w:t>E. Embedding Architecture</w:t>
      </w:r>
    </w:p>
    <w:p>
      <w:pPr>
        <w:spacing w:after="80"/>
        <w:jc w:val="both"/>
      </w:pPr>
      <w:r>
        <w:rPr>
          <w:rFonts w:ascii="Times New Roman" w:hAnsi="Times New Roman"/>
          <w:sz w:val="22"/>
        </w:rPr>
        <w:t>The sentence-transformer model paraphrase-multilingual-mpnet-base-v2 [22] was selected for its demonstrated cross-lingual performance across 50+ languages including Arabic. Each accident description is encoded into a dense 768-dimensional vector representation. These embeddings capture semantic similarity between descriptions, allowing the model to generalize from seen to unseen accident types. Embedding generation was cached to disk using joblib to reduce repeated inference latency [23].</w:t>
      </w:r>
    </w:p>
    <w:p>
      <w:pPr>
        <w:spacing w:before="80" w:after="40"/>
      </w:pPr>
      <w:r>
        <w:rPr>
          <w:rFonts w:ascii="Times New Roman" w:hAnsi="Times New Roman"/>
          <w:b/>
          <w:i/>
          <w:sz w:val="22"/>
        </w:rPr>
        <w:t>F. Arabic Feature Extraction Engine</w:t>
      </w:r>
    </w:p>
    <w:p>
      <w:pPr>
        <w:spacing w:after="80"/>
        <w:jc w:val="both"/>
      </w:pPr>
      <w:r>
        <w:rPr>
          <w:rFonts w:ascii="Times New Roman" w:hAnsi="Times New Roman"/>
          <w:sz w:val="22"/>
        </w:rPr>
        <w:t>A rule-based ArabicAccidentFeatureExtractor was implemented to produce 6 structured numerical features from each description: is_very_light, is_minor, is_severe, is_critical, part_count, and is_scratches. The extractor identifies lexical keywords across 5 granularity levels: Very Light (خفيف جداً، بدون أضرار), Minor (بسيط، خفيف), Moderate (تضرر، إصلاح), Severe (تدمير، شديد), and Critical (شاصيه، ماكينة). These 6 features are concatenated with the 768-dimensional embedding to form a 774-dimensional input to the regression model [24].</w:t>
      </w:r>
    </w:p>
    <w:p>
      <w:pPr>
        <w:spacing w:before="80" w:after="40"/>
      </w:pPr>
      <w:r>
        <w:rPr>
          <w:rFonts w:ascii="Times New Roman" w:hAnsi="Times New Roman"/>
          <w:b/>
          <w:i/>
          <w:sz w:val="22"/>
        </w:rPr>
        <w:t>G. The 7-Tier Expert Estimation Engine</w:t>
      </w:r>
    </w:p>
    <w:p>
      <w:pPr>
        <w:spacing w:after="80"/>
        <w:jc w:val="both"/>
      </w:pPr>
      <w:r>
        <w:rPr>
          <w:rFonts w:ascii="Times New Roman" w:hAnsi="Times New Roman"/>
          <w:sz w:val="22"/>
        </w:rPr>
        <w:t>To address bucketing bias, a post-prediction expert rule engine maps detected features to one of 7 industry-calibrated SAR price ranges: (1) Very Light: 0–1,000, (2) Surface Scratches: 1,000–3,000, (3) Minor with Parts: 3,000–6,000, (4) Moderate Few Parts: 4,000–8,000, (5) Moderate Multi-Parts: 8,000–15,000, (6) Severe-Structural: 15,000–25,000, and (7) Critical-Chassis/Engine: 25,000–60,000+. The ML model prediction is used to locate a relative position within the assigned tier, rather than as the final output, preventing the model from overriding expert domain knowledge [25].</w:t>
      </w:r>
    </w:p>
    <w:p>
      <w:pPr>
        <w:spacing w:before="80" w:after="40"/>
      </w:pPr>
      <w:r>
        <w:rPr>
          <w:rFonts w:ascii="Times New Roman" w:hAnsi="Times New Roman"/>
          <w:b/>
          <w:i/>
          <w:sz w:val="22"/>
        </w:rPr>
        <w:t>H. Training and Evaluation Framework</w:t>
      </w:r>
    </w:p>
    <w:p>
      <w:pPr>
        <w:spacing w:after="80"/>
        <w:jc w:val="both"/>
      </w:pPr>
      <w:r>
        <w:rPr>
          <w:rFonts w:ascii="Times New Roman" w:hAnsi="Times New Roman"/>
          <w:sz w:val="22"/>
        </w:rPr>
        <w:t>The study employs a three-phase framework. Phase 1 (Training): The 800-record training set is further divided 90/10 into train/validation subsets. Three models are trained: Random Forest Baseline, XGBoost Regressor, and a hyperparameter-tuned Random Forest using RandomizedSearchCV with 10 iterations and 3-fold cross-validation. The winner is selected by lowest validation MAE. Phase 2 (Initial Validation): The winner is re-evaluated on the full training set to confirm pattern learning. Phase 3 (Real Testing): The winner is evaluated on the 200-record hold-out test set to measure true generalization [26].</w:t>
      </w:r>
    </w:p>
    <w:p>
      <w:pPr>
        <w:spacing w:before="160" w:after="80"/>
        <w:jc w:val="center"/>
      </w:pPr>
      <w:r>
        <w:rPr>
          <w:rFonts w:ascii="Times New Roman" w:hAnsi="Times New Roman"/>
          <w:b/>
          <w:sz w:val="22"/>
        </w:rPr>
        <w:t>IV. RESULTS AND EVALUATION</w:t>
      </w:r>
    </w:p>
    <w:p>
      <w:pPr>
        <w:spacing w:before="80" w:after="40"/>
      </w:pPr>
      <w:r>
        <w:rPr>
          <w:rFonts w:ascii="Times New Roman" w:hAnsi="Times New Roman"/>
          <w:b/>
          <w:i/>
          <w:sz w:val="22"/>
        </w:rPr>
        <w:t>A. Model Performance Metrics</w:t>
      </w:r>
    </w:p>
    <w:p>
      <w:pPr>
        <w:spacing w:after="80"/>
        <w:jc w:val="both"/>
      </w:pPr>
      <w:r>
        <w:rPr>
          <w:rFonts w:ascii="Times New Roman" w:hAnsi="Times New Roman"/>
          <w:sz w:val="22"/>
        </w:rPr>
        <w:t>Table I summarizes the final evaluation metrics on the hold-out test set. The model achieved a strong R² of 0.856, indicating it explains 85.6% of cost variance in unseen data. The MAE of 4,661 SAR is market-realistic given that Saudi vehicle repair costs range from 500 to 65,000+ SAR. The elevated MAPE of 64.2% is expected and well-documented in cost estimation literature for tasks involving low-value claims [27].</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rFonts w:ascii="Times New Roman" w:hAnsi="Times New Roman"/>
                <w:b/>
                <w:sz w:val="18"/>
              </w:rPr>
              <w:t>Metric</w:t>
            </w:r>
          </w:p>
        </w:tc>
        <w:tc>
          <w:tcPr>
            <w:tcW w:type="dxa" w:w="2520"/>
          </w:tcPr>
          <w:p>
            <w:r>
              <w:rPr>
                <w:rFonts w:ascii="Times New Roman" w:hAnsi="Times New Roman"/>
                <w:b/>
                <w:sz w:val="18"/>
              </w:rPr>
              <w:t>Value</w:t>
            </w:r>
          </w:p>
        </w:tc>
        <w:tc>
          <w:tcPr>
            <w:tcW w:type="dxa" w:w="2520"/>
          </w:tcPr>
          <w:p>
            <w:r>
              <w:rPr>
                <w:rFonts w:ascii="Times New Roman" w:hAnsi="Times New Roman"/>
                <w:b/>
                <w:sz w:val="18"/>
              </w:rPr>
              <w:t>Benchmark</w:t>
            </w:r>
          </w:p>
        </w:tc>
        <w:tc>
          <w:tcPr>
            <w:tcW w:type="dxa" w:w="2520"/>
          </w:tcPr>
          <w:p>
            <w:r>
              <w:rPr>
                <w:rFonts w:ascii="Times New Roman" w:hAnsi="Times New Roman"/>
                <w:b/>
                <w:sz w:val="18"/>
              </w:rPr>
              <w:t>Status</w:t>
            </w:r>
          </w:p>
        </w:tc>
      </w:tr>
      <w:tr>
        <w:tc>
          <w:tcPr>
            <w:tcW w:type="dxa" w:w="2520"/>
          </w:tcPr>
          <w:p>
            <w:r>
              <w:rPr>
                <w:rFonts w:ascii="Times New Roman" w:hAnsi="Times New Roman"/>
                <w:sz w:val="18"/>
              </w:rPr>
              <w:t>R² Score</w:t>
            </w:r>
          </w:p>
        </w:tc>
        <w:tc>
          <w:tcPr>
            <w:tcW w:type="dxa" w:w="2520"/>
          </w:tcPr>
          <w:p>
            <w:r>
              <w:rPr>
                <w:rFonts w:ascii="Times New Roman" w:hAnsi="Times New Roman"/>
                <w:sz w:val="18"/>
              </w:rPr>
              <w:t>0.856</w:t>
            </w:r>
          </w:p>
        </w:tc>
        <w:tc>
          <w:tcPr>
            <w:tcW w:type="dxa" w:w="2520"/>
          </w:tcPr>
          <w:p>
            <w:r>
              <w:rPr>
                <w:rFonts w:ascii="Times New Roman" w:hAnsi="Times New Roman"/>
                <w:sz w:val="18"/>
              </w:rPr>
              <w:t>&gt;0.80 (Good)</w:t>
            </w:r>
          </w:p>
        </w:tc>
        <w:tc>
          <w:tcPr>
            <w:tcW w:type="dxa" w:w="2520"/>
          </w:tcPr>
          <w:p>
            <w:r>
              <w:rPr>
                <w:rFonts w:ascii="Times New Roman" w:hAnsi="Times New Roman"/>
                <w:sz w:val="18"/>
              </w:rPr>
              <w:t>✓ Excellent</w:t>
            </w:r>
          </w:p>
        </w:tc>
      </w:tr>
      <w:tr>
        <w:tc>
          <w:tcPr>
            <w:tcW w:type="dxa" w:w="2520"/>
          </w:tcPr>
          <w:p>
            <w:r>
              <w:rPr>
                <w:rFonts w:ascii="Times New Roman" w:hAnsi="Times New Roman"/>
                <w:sz w:val="18"/>
              </w:rPr>
              <w:t>MAE</w:t>
            </w:r>
          </w:p>
        </w:tc>
        <w:tc>
          <w:tcPr>
            <w:tcW w:type="dxa" w:w="2520"/>
          </w:tcPr>
          <w:p>
            <w:r>
              <w:rPr>
                <w:rFonts w:ascii="Times New Roman" w:hAnsi="Times New Roman"/>
                <w:sz w:val="18"/>
              </w:rPr>
              <w:t>4,661 SAR</w:t>
            </w:r>
          </w:p>
        </w:tc>
        <w:tc>
          <w:tcPr>
            <w:tcW w:type="dxa" w:w="2520"/>
          </w:tcPr>
          <w:p>
            <w:r>
              <w:rPr>
                <w:rFonts w:ascii="Times New Roman" w:hAnsi="Times New Roman"/>
                <w:sz w:val="18"/>
              </w:rPr>
              <w:t>&lt;5,000 SAR</w:t>
            </w:r>
          </w:p>
        </w:tc>
        <w:tc>
          <w:tcPr>
            <w:tcW w:type="dxa" w:w="2520"/>
          </w:tcPr>
          <w:p>
            <w:r>
              <w:rPr>
                <w:rFonts w:ascii="Times New Roman" w:hAnsi="Times New Roman"/>
                <w:sz w:val="18"/>
              </w:rPr>
              <w:t>✓ On Target</w:t>
            </w:r>
          </w:p>
        </w:tc>
      </w:tr>
      <w:tr>
        <w:tc>
          <w:tcPr>
            <w:tcW w:type="dxa" w:w="2520"/>
          </w:tcPr>
          <w:p>
            <w:r>
              <w:rPr>
                <w:rFonts w:ascii="Times New Roman" w:hAnsi="Times New Roman"/>
                <w:sz w:val="18"/>
              </w:rPr>
              <w:t>RMSE</w:t>
            </w:r>
          </w:p>
        </w:tc>
        <w:tc>
          <w:tcPr>
            <w:tcW w:type="dxa" w:w="2520"/>
          </w:tcPr>
          <w:p>
            <w:r>
              <w:rPr>
                <w:rFonts w:ascii="Times New Roman" w:hAnsi="Times New Roman"/>
                <w:sz w:val="18"/>
              </w:rPr>
              <w:t>5,351 SAR</w:t>
            </w:r>
          </w:p>
        </w:tc>
        <w:tc>
          <w:tcPr>
            <w:tcW w:type="dxa" w:w="2520"/>
          </w:tcPr>
          <w:p>
            <w:r>
              <w:rPr>
                <w:rFonts w:ascii="Times New Roman" w:hAnsi="Times New Roman"/>
                <w:sz w:val="18"/>
              </w:rPr>
              <w:t>&lt;7,000 SAR</w:t>
            </w:r>
          </w:p>
        </w:tc>
        <w:tc>
          <w:tcPr>
            <w:tcW w:type="dxa" w:w="2520"/>
          </w:tcPr>
          <w:p>
            <w:r>
              <w:rPr>
                <w:rFonts w:ascii="Times New Roman" w:hAnsi="Times New Roman"/>
                <w:sz w:val="18"/>
              </w:rPr>
              <w:t>✓ Stable</w:t>
            </w:r>
          </w:p>
        </w:tc>
      </w:tr>
      <w:tr>
        <w:tc>
          <w:tcPr>
            <w:tcW w:type="dxa" w:w="2520"/>
          </w:tcPr>
          <w:p>
            <w:r>
              <w:rPr>
                <w:rFonts w:ascii="Times New Roman" w:hAnsi="Times New Roman"/>
                <w:sz w:val="18"/>
              </w:rPr>
              <w:t>MAPE</w:t>
            </w:r>
          </w:p>
        </w:tc>
        <w:tc>
          <w:tcPr>
            <w:tcW w:type="dxa" w:w="2520"/>
          </w:tcPr>
          <w:p>
            <w:r>
              <w:rPr>
                <w:rFonts w:ascii="Times New Roman" w:hAnsi="Times New Roman"/>
                <w:sz w:val="18"/>
              </w:rPr>
              <w:t>64.2%</w:t>
            </w:r>
          </w:p>
        </w:tc>
        <w:tc>
          <w:tcPr>
            <w:tcW w:type="dxa" w:w="2520"/>
          </w:tcPr>
          <w:p>
            <w:r>
              <w:rPr>
                <w:rFonts w:ascii="Times New Roman" w:hAnsi="Times New Roman"/>
                <w:sz w:val="18"/>
              </w:rPr>
              <w:t>High for low-$ tasks</w:t>
            </w:r>
          </w:p>
        </w:tc>
        <w:tc>
          <w:tcPr>
            <w:tcW w:type="dxa" w:w="2520"/>
          </w:tcPr>
          <w:p>
            <w:r>
              <w:rPr>
                <w:rFonts w:ascii="Times New Roman" w:hAnsi="Times New Roman"/>
                <w:sz w:val="18"/>
              </w:rPr>
              <w:t>⚠ Expected</w:t>
            </w:r>
          </w:p>
        </w:tc>
      </w:tr>
    </w:tbl>
    <w:p>
      <w:pPr>
        <w:jc w:val="center"/>
      </w:pPr>
      <w:r>
        <w:rPr>
          <w:rFonts w:ascii="Times New Roman" w:hAnsi="Times New Roman"/>
          <w:i/>
          <w:sz w:val="18"/>
        </w:rPr>
        <w:t>Table I: Model Evaluation Metrics on Hold-Out Test Set</w:t>
      </w:r>
    </w:p>
    <w:p/>
    <w:p>
      <w:pPr>
        <w:spacing w:before="80" w:after="40"/>
      </w:pPr>
      <w:r>
        <w:rPr>
          <w:rFonts w:ascii="Times New Roman" w:hAnsi="Times New Roman"/>
          <w:b/>
          <w:i/>
          <w:sz w:val="22"/>
        </w:rPr>
        <w:t>B. Case-Level Verification Results</w:t>
      </w:r>
    </w:p>
    <w:p>
      <w:pPr>
        <w:spacing w:after="80"/>
        <w:jc w:val="both"/>
      </w:pPr>
      <w:r>
        <w:rPr>
          <w:rFonts w:ascii="Times New Roman" w:hAnsi="Times New Roman"/>
          <w:sz w:val="22"/>
        </w:rPr>
        <w:t>Table II presents case-by-case predictions from the expert engine, demonstrating the elimination of bucketing bias. Each case now receives a unique, context-sensitive estimate.</w:t>
      </w:r>
    </w:p>
    <w:tbl>
      <w:tblPr>
        <w:tblStyle w:val="TableGrid"/>
        <w:tblW w:type="auto" w:w="0"/>
        <w:tblLook w:firstColumn="1" w:firstRow="1" w:lastColumn="0" w:lastRow="0" w:noHBand="0" w:noVBand="1" w:val="04A0"/>
      </w:tblPr>
      <w:tblGrid>
        <w:gridCol w:w="3360"/>
        <w:gridCol w:w="3360"/>
        <w:gridCol w:w="3360"/>
      </w:tblGrid>
      <w:tr>
        <w:tc>
          <w:tcPr>
            <w:tcW w:type="dxa" w:w="3360"/>
          </w:tcPr>
          <w:p>
            <w:r>
              <w:rPr>
                <w:rFonts w:ascii="Times New Roman" w:hAnsi="Times New Roman"/>
                <w:b/>
                <w:sz w:val="18"/>
              </w:rPr>
              <w:t>Case</w:t>
            </w:r>
          </w:p>
        </w:tc>
        <w:tc>
          <w:tcPr>
            <w:tcW w:type="dxa" w:w="3360"/>
          </w:tcPr>
          <w:p>
            <w:r>
              <w:rPr>
                <w:rFonts w:ascii="Times New Roman" w:hAnsi="Times New Roman"/>
                <w:b/>
                <w:sz w:val="18"/>
              </w:rPr>
              <w:t>Tier</w:t>
            </w:r>
          </w:p>
        </w:tc>
        <w:tc>
          <w:tcPr>
            <w:tcW w:type="dxa" w:w="3360"/>
          </w:tcPr>
          <w:p>
            <w:r>
              <w:rPr>
                <w:rFonts w:ascii="Times New Roman" w:hAnsi="Times New Roman"/>
                <w:b/>
                <w:sz w:val="18"/>
              </w:rPr>
              <w:t>Estimate (SAR)</w:t>
            </w:r>
          </w:p>
        </w:tc>
      </w:tr>
      <w:tr>
        <w:tc>
          <w:tcPr>
            <w:tcW w:type="dxa" w:w="3360"/>
          </w:tcPr>
          <w:p>
            <w:r>
              <w:rPr>
                <w:rFonts w:ascii="Times New Roman" w:hAnsi="Times New Roman"/>
                <w:sz w:val="18"/>
              </w:rPr>
              <w:t>Minor rear-end bump</w:t>
            </w:r>
          </w:p>
        </w:tc>
        <w:tc>
          <w:tcPr>
            <w:tcW w:type="dxa" w:w="3360"/>
          </w:tcPr>
          <w:p>
            <w:r>
              <w:rPr>
                <w:rFonts w:ascii="Times New Roman" w:hAnsi="Times New Roman"/>
                <w:sz w:val="18"/>
              </w:rPr>
              <w:t>Minor w/ Parts</w:t>
            </w:r>
          </w:p>
        </w:tc>
        <w:tc>
          <w:tcPr>
            <w:tcW w:type="dxa" w:w="3360"/>
          </w:tcPr>
          <w:p>
            <w:r>
              <w:rPr>
                <w:rFonts w:ascii="Times New Roman" w:hAnsi="Times New Roman"/>
                <w:sz w:val="18"/>
              </w:rPr>
              <w:t>4,295</w:t>
            </w:r>
          </w:p>
        </w:tc>
      </w:tr>
      <w:tr>
        <w:tc>
          <w:tcPr>
            <w:tcW w:type="dxa" w:w="3360"/>
          </w:tcPr>
          <w:p>
            <w:r>
              <w:rPr>
                <w:rFonts w:ascii="Times New Roman" w:hAnsi="Times New Roman"/>
                <w:sz w:val="18"/>
              </w:rPr>
              <w:t>Side hit + scratches</w:t>
            </w:r>
          </w:p>
        </w:tc>
        <w:tc>
          <w:tcPr>
            <w:tcW w:type="dxa" w:w="3360"/>
          </w:tcPr>
          <w:p>
            <w:r>
              <w:rPr>
                <w:rFonts w:ascii="Times New Roman" w:hAnsi="Times New Roman"/>
                <w:sz w:val="18"/>
              </w:rPr>
              <w:t>Minor w/ Parts</w:t>
            </w:r>
          </w:p>
        </w:tc>
        <w:tc>
          <w:tcPr>
            <w:tcW w:type="dxa" w:w="3360"/>
          </w:tcPr>
          <w:p>
            <w:r>
              <w:rPr>
                <w:rFonts w:ascii="Times New Roman" w:hAnsi="Times New Roman"/>
                <w:sz w:val="18"/>
              </w:rPr>
              <w:t>3,973</w:t>
            </w:r>
          </w:p>
        </w:tc>
      </w:tr>
      <w:tr>
        <w:tc>
          <w:tcPr>
            <w:tcW w:type="dxa" w:w="3360"/>
          </w:tcPr>
          <w:p>
            <w:r>
              <w:rPr>
                <w:rFonts w:ascii="Times New Roman" w:hAnsi="Times New Roman"/>
                <w:sz w:val="18"/>
              </w:rPr>
              <w:t>Front + Chassis + Engine</w:t>
            </w:r>
          </w:p>
        </w:tc>
        <w:tc>
          <w:tcPr>
            <w:tcW w:type="dxa" w:w="3360"/>
          </w:tcPr>
          <w:p>
            <w:r>
              <w:rPr>
                <w:rFonts w:ascii="Times New Roman" w:hAnsi="Times New Roman"/>
                <w:sz w:val="18"/>
              </w:rPr>
              <w:t>Severe Critical</w:t>
            </w:r>
          </w:p>
        </w:tc>
        <w:tc>
          <w:tcPr>
            <w:tcW w:type="dxa" w:w="3360"/>
          </w:tcPr>
          <w:p>
            <w:r>
              <w:rPr>
                <w:rFonts w:ascii="Times New Roman" w:hAnsi="Times New Roman"/>
                <w:sz w:val="18"/>
              </w:rPr>
              <w:t>43,946</w:t>
            </w:r>
          </w:p>
        </w:tc>
      </w:tr>
      <w:tr>
        <w:tc>
          <w:tcPr>
            <w:tcW w:type="dxa" w:w="3360"/>
          </w:tcPr>
          <w:p>
            <w:r>
              <w:rPr>
                <w:rFonts w:ascii="Times New Roman" w:hAnsi="Times New Roman"/>
                <w:sz w:val="18"/>
              </w:rPr>
              <w:t>Door + Fender + Bumper</w:t>
            </w:r>
          </w:p>
        </w:tc>
        <w:tc>
          <w:tcPr>
            <w:tcW w:type="dxa" w:w="3360"/>
          </w:tcPr>
          <w:p>
            <w:r>
              <w:rPr>
                <w:rFonts w:ascii="Times New Roman" w:hAnsi="Times New Roman"/>
                <w:sz w:val="18"/>
              </w:rPr>
              <w:t>Moderate Multi</w:t>
            </w:r>
          </w:p>
        </w:tc>
        <w:tc>
          <w:tcPr>
            <w:tcW w:type="dxa" w:w="3360"/>
          </w:tcPr>
          <w:p>
            <w:r>
              <w:rPr>
                <w:rFonts w:ascii="Times New Roman" w:hAnsi="Times New Roman"/>
                <w:sz w:val="18"/>
              </w:rPr>
              <w:t>13,709</w:t>
            </w:r>
          </w:p>
        </w:tc>
      </w:tr>
      <w:tr>
        <w:tc>
          <w:tcPr>
            <w:tcW w:type="dxa" w:w="3360"/>
          </w:tcPr>
          <w:p>
            <w:r>
              <w:rPr>
                <w:rFonts w:ascii="Times New Roman" w:hAnsi="Times New Roman"/>
                <w:sz w:val="18"/>
              </w:rPr>
              <w:t>Very light, no damage</w:t>
            </w:r>
          </w:p>
        </w:tc>
        <w:tc>
          <w:tcPr>
            <w:tcW w:type="dxa" w:w="3360"/>
          </w:tcPr>
          <w:p>
            <w:r>
              <w:rPr>
                <w:rFonts w:ascii="Times New Roman" w:hAnsi="Times New Roman"/>
                <w:sz w:val="18"/>
              </w:rPr>
              <w:t>Very Light</w:t>
            </w:r>
          </w:p>
        </w:tc>
        <w:tc>
          <w:tcPr>
            <w:tcW w:type="dxa" w:w="3360"/>
          </w:tcPr>
          <w:p>
            <w:r>
              <w:rPr>
                <w:rFonts w:ascii="Times New Roman" w:hAnsi="Times New Roman"/>
                <w:sz w:val="18"/>
              </w:rPr>
              <w:t>311</w:t>
            </w:r>
          </w:p>
        </w:tc>
      </w:tr>
    </w:tbl>
    <w:p>
      <w:pPr>
        <w:jc w:val="center"/>
      </w:pPr>
      <w:r>
        <w:rPr>
          <w:rFonts w:ascii="Times New Roman" w:hAnsi="Times New Roman"/>
          <w:i/>
          <w:sz w:val="18"/>
        </w:rPr>
        <w:t>Table II: Expert Engine Case Verification Results</w:t>
      </w:r>
    </w:p>
    <w:p/>
    <w:p>
      <w:pPr>
        <w:spacing w:before="80" w:after="40"/>
      </w:pPr>
      <w:r>
        <w:rPr>
          <w:rFonts w:ascii="Times New Roman" w:hAnsi="Times New Roman"/>
          <w:b/>
          <w:i/>
          <w:sz w:val="22"/>
        </w:rPr>
        <w:t>C. Performance Visualization</w:t>
      </w:r>
    </w:p>
    <w:p>
      <w:pPr>
        <w:spacing w:after="80"/>
        <w:jc w:val="both"/>
      </w:pPr>
      <w:r>
        <w:rPr>
          <w:rFonts w:ascii="Times New Roman" w:hAnsi="Times New Roman"/>
          <w:sz w:val="22"/>
        </w:rPr>
        <w:t>Figures 1–4 present the diagnostic charts generated during Phase 3 evaluation.</w:t>
      </w:r>
    </w:p>
    <w:p>
      <w:r>
        <w:drawing>
          <wp:inline xmlns:a="http://schemas.openxmlformats.org/drawingml/2006/main" xmlns:pic="http://schemas.openxmlformats.org/drawingml/2006/picture">
            <wp:extent cx="2743200" cy="1645920"/>
            <wp:docPr id="1" name="Picture 1"/>
            <wp:cNvGraphicFramePr>
              <a:graphicFrameLocks noChangeAspect="1"/>
            </wp:cNvGraphicFramePr>
            <a:graphic>
              <a:graphicData uri="http://schemas.openxmlformats.org/drawingml/2006/picture">
                <pic:pic>
                  <pic:nvPicPr>
                    <pic:cNvPr id="0" name="actual_vs_predicted.png"/>
                    <pic:cNvPicPr/>
                  </pic:nvPicPr>
                  <pic:blipFill>
                    <a:blip r:embed="rId9"/>
                    <a:stretch>
                      <a:fillRect/>
                    </a:stretch>
                  </pic:blipFill>
                  <pic:spPr>
                    <a:xfrm>
                      <a:off x="0" y="0"/>
                      <a:ext cx="2743200" cy="1645920"/>
                    </a:xfrm>
                    <a:prstGeom prst="rect"/>
                  </pic:spPr>
                </pic:pic>
              </a:graphicData>
            </a:graphic>
          </wp:inline>
        </w:drawing>
      </w:r>
    </w:p>
    <w:p>
      <w:pPr>
        <w:jc w:val="center"/>
      </w:pPr>
      <w:r>
        <w:rPr>
          <w:rFonts w:ascii="Times New Roman" w:hAnsi="Times New Roman"/>
          <w:i/>
          <w:sz w:val="18"/>
        </w:rPr>
        <w:t>Fig. 1: Actual vs. Predicted Cost. Points cluster near the ideal diagonal, confirming strong model correlation.</w:t>
      </w:r>
    </w:p>
    <w:p/>
    <w:p>
      <w:r>
        <w:drawing>
          <wp:inline xmlns:a="http://schemas.openxmlformats.org/drawingml/2006/main" xmlns:pic="http://schemas.openxmlformats.org/drawingml/2006/picture">
            <wp:extent cx="2743200" cy="1645920"/>
            <wp:docPr id="2" name="Picture 2"/>
            <wp:cNvGraphicFramePr>
              <a:graphicFrameLocks noChangeAspect="1"/>
            </wp:cNvGraphicFramePr>
            <a:graphic>
              <a:graphicData uri="http://schemas.openxmlformats.org/drawingml/2006/picture">
                <pic:pic>
                  <pic:nvPicPr>
                    <pic:cNvPr id="0" name="cost_distribution.png"/>
                    <pic:cNvPicPr/>
                  </pic:nvPicPr>
                  <pic:blipFill>
                    <a:blip r:embed="rId10"/>
                    <a:stretch>
                      <a:fillRect/>
                    </a:stretch>
                  </pic:blipFill>
                  <pic:spPr>
                    <a:xfrm>
                      <a:off x="0" y="0"/>
                      <a:ext cx="2743200" cy="1645920"/>
                    </a:xfrm>
                    <a:prstGeom prst="rect"/>
                  </pic:spPr>
                </pic:pic>
              </a:graphicData>
            </a:graphic>
          </wp:inline>
        </w:drawing>
      </w:r>
    </w:p>
    <w:p>
      <w:pPr>
        <w:jc w:val="center"/>
      </w:pPr>
      <w:r>
        <w:rPr>
          <w:rFonts w:ascii="Times New Roman" w:hAnsi="Times New Roman"/>
          <w:i/>
          <w:sz w:val="18"/>
        </w:rPr>
        <w:t>Fig. 2: Repair Cost Distribution across the 1,000-record Saudi dataset.</w:t>
      </w:r>
    </w:p>
    <w:p/>
    <w:p>
      <w:r>
        <w:drawing>
          <wp:inline xmlns:a="http://schemas.openxmlformats.org/drawingml/2006/main" xmlns:pic="http://schemas.openxmlformats.org/drawingml/2006/picture">
            <wp:extent cx="2743200" cy="1371600"/>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1"/>
                    <a:stretch>
                      <a:fillRect/>
                    </a:stretch>
                  </pic:blipFill>
                  <pic:spPr>
                    <a:xfrm>
                      <a:off x="0" y="0"/>
                      <a:ext cx="2743200" cy="1371600"/>
                    </a:xfrm>
                    <a:prstGeom prst="rect"/>
                  </pic:spPr>
                </pic:pic>
              </a:graphicData>
            </a:graphic>
          </wp:inline>
        </w:drawing>
      </w:r>
    </w:p>
    <w:p>
      <w:pPr>
        <w:jc w:val="center"/>
      </w:pPr>
      <w:r>
        <w:rPr>
          <w:rFonts w:ascii="Times New Roman" w:hAnsi="Times New Roman"/>
          <w:i/>
          <w:sz w:val="18"/>
        </w:rPr>
        <w:t>Fig. 3: Top Feature Importances from the Random Forest model, showing key Arabic damage keywords.</w:t>
      </w:r>
    </w:p>
    <w:p/>
    <w:p>
      <w:r>
        <w:drawing>
          <wp:inline xmlns:a="http://schemas.openxmlformats.org/drawingml/2006/main" xmlns:pic="http://schemas.openxmlformats.org/drawingml/2006/picture">
            <wp:extent cx="2743200" cy="1645920"/>
            <wp:docPr id="4" name="Picture 4"/>
            <wp:cNvGraphicFramePr>
              <a:graphicFrameLocks noChangeAspect="1"/>
            </wp:cNvGraphicFramePr>
            <a:graphic>
              <a:graphicData uri="http://schemas.openxmlformats.org/drawingml/2006/picture">
                <pic:pic>
                  <pic:nvPicPr>
                    <pic:cNvPr id="0" name="residuals_distribution.png"/>
                    <pic:cNvPicPr/>
                  </pic:nvPicPr>
                  <pic:blipFill>
                    <a:blip r:embed="rId12"/>
                    <a:stretch>
                      <a:fillRect/>
                    </a:stretch>
                  </pic:blipFill>
                  <pic:spPr>
                    <a:xfrm>
                      <a:off x="0" y="0"/>
                      <a:ext cx="2743200" cy="1645920"/>
                    </a:xfrm>
                    <a:prstGeom prst="rect"/>
                  </pic:spPr>
                </pic:pic>
              </a:graphicData>
            </a:graphic>
          </wp:inline>
        </w:drawing>
      </w:r>
    </w:p>
    <w:p>
      <w:pPr>
        <w:jc w:val="center"/>
      </w:pPr>
      <w:r>
        <w:rPr>
          <w:rFonts w:ascii="Times New Roman" w:hAnsi="Times New Roman"/>
          <w:i/>
          <w:sz w:val="18"/>
        </w:rPr>
        <w:t>Fig. 4: Residuals Distribution — symmetric bell curve near zero confirms unbiased estimation.</w:t>
      </w:r>
    </w:p>
    <w:p/>
    <w:p>
      <w:pPr>
        <w:spacing w:before="160" w:after="80"/>
        <w:jc w:val="center"/>
      </w:pPr>
      <w:r>
        <w:rPr>
          <w:rFonts w:ascii="Times New Roman" w:hAnsi="Times New Roman"/>
          <w:b/>
          <w:sz w:val="22"/>
        </w:rPr>
        <w:t>V. DISCUSSION</w:t>
      </w:r>
    </w:p>
    <w:p>
      <w:pPr>
        <w:spacing w:before="80" w:after="40"/>
      </w:pPr>
      <w:r>
        <w:rPr>
          <w:rFonts w:ascii="Times New Roman" w:hAnsi="Times New Roman"/>
          <w:b/>
          <w:i/>
          <w:sz w:val="22"/>
        </w:rPr>
        <w:t>A. Resolving Bucketing Bias</w:t>
      </w:r>
    </w:p>
    <w:p>
      <w:pPr>
        <w:spacing w:after="80"/>
        <w:jc w:val="both"/>
      </w:pPr>
      <w:r>
        <w:rPr>
          <w:rFonts w:ascii="Times New Roman" w:hAnsi="Times New Roman"/>
          <w:sz w:val="22"/>
        </w:rPr>
        <w:t>The most critical deliverable of this project is the elimination of bucketing bias. Prior to the expert engine integration, the model returned approximately 6,000 SAR for all minor incidents and 18,000 SAR for all moderate/severe cases. Post-integration, estimates now vary from 311 SAR to 43,946 SAR across the five verification cases — a 141x dynamic range [28]. This aligns with the findings of Deepali et al. [29], who demonstrated that expert-steered neural networks achieve 40% better calibration than unconstrained deep learning models for insurance pricing tasks.</w:t>
      </w:r>
    </w:p>
    <w:p>
      <w:pPr>
        <w:spacing w:before="80" w:after="40"/>
      </w:pPr>
      <w:r>
        <w:rPr>
          <w:rFonts w:ascii="Times New Roman" w:hAnsi="Times New Roman"/>
          <w:b/>
          <w:i/>
          <w:sz w:val="22"/>
        </w:rPr>
        <w:t>B. Semantic Quality of Arabic Embeddings</w:t>
      </w:r>
    </w:p>
    <w:p>
      <w:pPr>
        <w:spacing w:after="80"/>
        <w:jc w:val="both"/>
      </w:pPr>
      <w:r>
        <w:rPr>
          <w:rFonts w:ascii="Times New Roman" w:hAnsi="Times New Roman"/>
          <w:sz w:val="22"/>
        </w:rPr>
        <w:t>The paraphrase-multilingual-mpnet-base-v2 model demonstrated robust semantic understanding of Saudi-dialect terms including words for chassis (شاصيه), engine (ماكينة), and fender (رفرف). This confirms the findings of Reimers and Gurevych [22] who showed that cross-lingual MPNet models generalize effectively to low-resource Arabic dialects without explicit fine-tuning. Future iterations should consider fine-tuning on domain-specific Saudi automotive corpora to further reduce the MAPE on low-value claims.</w:t>
      </w:r>
    </w:p>
    <w:p>
      <w:pPr>
        <w:spacing w:before="80" w:after="40"/>
      </w:pPr>
      <w:r>
        <w:rPr>
          <w:rFonts w:ascii="Times New Roman" w:hAnsi="Times New Roman"/>
          <w:b/>
          <w:i/>
          <w:sz w:val="22"/>
        </w:rPr>
        <w:t>C. Model Selection Rationale</w:t>
      </w:r>
    </w:p>
    <w:p>
      <w:pPr>
        <w:spacing w:after="80"/>
        <w:jc w:val="both"/>
      </w:pPr>
      <w:r>
        <w:rPr>
          <w:rFonts w:ascii="Times New Roman" w:hAnsi="Times New Roman"/>
          <w:sz w:val="22"/>
        </w:rPr>
        <w:t>The tuned Random Forest outperformed both the XGBoost baseline and the Random Forest baseline in internal validation, consistent with the meta-analysis by Fernández-Delgado et al. [30], who found that Random Forests are the most reliable out-of-the-box classifier across 121 benchmark datasets. The three-phase evaluation framework adopted here follows the recommendations of Pressman and Maxim [31] for robust software engineering validation in AI-powered systems.</w:t>
      </w:r>
    </w:p>
    <w:p>
      <w:pPr>
        <w:spacing w:before="160" w:after="80"/>
        <w:jc w:val="center"/>
      </w:pPr>
      <w:r>
        <w:rPr>
          <w:rFonts w:ascii="Times New Roman" w:hAnsi="Times New Roman"/>
          <w:b/>
          <w:sz w:val="22"/>
        </w:rPr>
        <w:t>VI. CONCLUSION AND FUTURE WORK</w:t>
      </w:r>
    </w:p>
    <w:p>
      <w:pPr>
        <w:spacing w:before="80" w:after="40"/>
      </w:pPr>
      <w:r>
        <w:rPr>
          <w:rFonts w:ascii="Times New Roman" w:hAnsi="Times New Roman"/>
          <w:b/>
          <w:i/>
          <w:sz w:val="22"/>
        </w:rPr>
        <w:t>A. Conclusions</w:t>
      </w:r>
    </w:p>
    <w:p>
      <w:pPr>
        <w:spacing w:after="80"/>
        <w:jc w:val="both"/>
      </w:pPr>
      <w:r>
        <w:rPr>
          <w:rFonts w:ascii="Times New Roman" w:hAnsi="Times New Roman"/>
          <w:sz w:val="22"/>
        </w:rPr>
        <w:t>This study presents SmartClaim AI, a production-grade hybrid pipeline for Arabic accident cost prediction in the Saudi insurance market. The system achieves strong quantitative performance (R²=0.856, MAE=4,661 SAR) while simultaneously addressing the qualitative problem of bucketing bias through a 7-tier expert rule engine. The three-phase validation framework confirms that the model generalizes effectively to unseen data and produces realistic, granular estimates calibrated to Saudi market pricing.</w:t>
      </w:r>
    </w:p>
    <w:p>
      <w:pPr>
        <w:spacing w:before="80" w:after="40"/>
      </w:pPr>
      <w:r>
        <w:rPr>
          <w:rFonts w:ascii="Times New Roman" w:hAnsi="Times New Roman"/>
          <w:b/>
          <w:i/>
          <w:sz w:val="22"/>
        </w:rPr>
        <w:t>B. Future Work</w:t>
      </w:r>
    </w:p>
    <w:p>
      <w:pPr>
        <w:spacing w:after="80"/>
        <w:jc w:val="both"/>
      </w:pPr>
      <w:r>
        <w:rPr>
          <w:rFonts w:ascii="Times New Roman" w:hAnsi="Times New Roman"/>
          <w:sz w:val="22"/>
        </w:rPr>
        <w:t>The following extensions are planned: (1) Integration of accident scene imagery from the Najm digital report system for multi-modal damage assessment [15], (2) Fine-tuning the MPNet embedding model on a proprietary corpus of 10,000+ Saudi accident reports, (3) Deployment as a FastAPI microservice, connected to the Najm API to provide real-time cost estimates during the claim intake process [32], (4) Expanding the expert rule engine to incorporate vehicle type, model year, and regional parts availability, and (5) A controlled study comparing SmartClaim AI estimates against human assessor valuations on a live dataset of settled claims.</w:t>
      </w:r>
    </w:p>
    <w:p>
      <w:pPr>
        <w:sectPr>
          <w:pgSz w:w="12240" w:h="15840"/>
          <w:pgMar w:top="1080" w:right="1080" w:bottom="1080" w:left="1080" w:header="720" w:footer="720" w:gutter="0"/>
          <w:docGrid w:linePitch="360"/>
          <w:cols w:num="2" w:space="360" w:equalWidth="1"/>
        </w:sectPr>
      </w:pPr>
    </w:p>
    <w:p>
      <w:pPr>
        <w:spacing w:before="160" w:after="80"/>
        <w:jc w:val="center"/>
      </w:pPr>
      <w:r>
        <w:rPr>
          <w:rFonts w:ascii="Times New Roman" w:hAnsi="Times New Roman"/>
          <w:b/>
          <w:sz w:val="22"/>
        </w:rPr>
        <w:t>REFERENCES</w:t>
      </w:r>
    </w:p>
    <w:p>
      <w:pPr>
        <w:spacing w:after="40"/>
      </w:pPr>
      <w:r>
        <w:rPr>
          <w:rFonts w:ascii="Times New Roman" w:hAnsi="Times New Roman"/>
          <w:sz w:val="20"/>
        </w:rPr>
        <w:t>[1]  Najm for Insurance Services, “Saudi Motor Insurance Market Report,” Riyadh, KSA, 2023.</w:t>
      </w:r>
    </w:p>
    <w:p>
      <w:pPr>
        <w:spacing w:after="40"/>
      </w:pPr>
      <w:r>
        <w:rPr>
          <w:rFonts w:ascii="Times New Roman" w:hAnsi="Times New Roman"/>
          <w:sz w:val="20"/>
        </w:rPr>
        <w:t>[2]  Saudi Central Bank (SAMA), “Insurance Market Annual Report,” 2022.</w:t>
      </w:r>
    </w:p>
    <w:p>
      <w:pPr>
        <w:spacing w:after="40"/>
      </w:pPr>
      <w:r>
        <w:rPr>
          <w:rFonts w:ascii="Times New Roman" w:hAnsi="Times New Roman"/>
          <w:sz w:val="20"/>
        </w:rPr>
        <w:t>[3]  M. L. Freihat, “Automating Insurance Claim Assessment with Machine Learning in the GCC,” J. Financial Tech., vol. 5, no. 2, pp. 34-52, 2023.</w:t>
      </w:r>
    </w:p>
    <w:p>
      <w:pPr>
        <w:spacing w:after="40"/>
      </w:pPr>
      <w:r>
        <w:rPr>
          <w:rFonts w:ascii="Times New Roman" w:hAnsi="Times New Roman"/>
          <w:sz w:val="20"/>
        </w:rPr>
        <w:t>[4]  A. Shah and T. Al-Qahtani, “Bias in Severity-Based Insurance Pricing Models,” IEEE Trans. Reliability, vol. 72, no. 1, pp. 101-115, 2024.</w:t>
      </w:r>
    </w:p>
    <w:p>
      <w:pPr>
        <w:spacing w:after="40"/>
      </w:pPr>
      <w:r>
        <w:rPr>
          <w:rFonts w:ascii="Times New Roman" w:hAnsi="Times New Roman"/>
          <w:sz w:val="20"/>
        </w:rPr>
        <w:t>[5]  T. Zerrouki and A. Balla, “Pyarabic: An Arabic Language Library for Python,” SoftwareX, vol. 15, 2021.</w:t>
      </w:r>
    </w:p>
    <w:p>
      <w:pPr>
        <w:spacing w:after="40"/>
      </w:pPr>
      <w:r>
        <w:rPr>
          <w:rFonts w:ascii="Times New Roman" w:hAnsi="Times New Roman"/>
          <w:sz w:val="20"/>
        </w:rPr>
        <w:t>[6]  M. Abbas et al., “Sentiment Analysis of Arabic Texts Using Deep Learning,” Alexandria Eng. J., vol. 61, no. 8, 2022.</w:t>
      </w:r>
    </w:p>
    <w:p>
      <w:pPr>
        <w:spacing w:after="40"/>
      </w:pPr>
      <w:r>
        <w:rPr>
          <w:rFonts w:ascii="Times New Roman" w:hAnsi="Times New Roman"/>
          <w:sz w:val="20"/>
        </w:rPr>
        <w:t>[7]  R. S. Pressman and B. R. Maxim, Software Engineering: A Practitioner’s Approach, 9th ed., McGraw-Hill, 2019.</w:t>
      </w:r>
    </w:p>
    <w:p>
      <w:pPr>
        <w:spacing w:after="40"/>
      </w:pPr>
      <w:r>
        <w:rPr>
          <w:rFonts w:ascii="Times New Roman" w:hAnsi="Times New Roman"/>
          <w:sz w:val="20"/>
        </w:rPr>
        <w:t>[8]  K. Kuo et al., “Deep learning in insurance: Classification and fraud detection,” J. Risk Ins., vol. 88, no. 3, pp. 745-770, 2021.</w:t>
      </w:r>
    </w:p>
    <w:p>
      <w:pPr>
        <w:spacing w:after="40"/>
      </w:pPr>
      <w:r>
        <w:rPr>
          <w:rFonts w:ascii="Times New Roman" w:hAnsi="Times New Roman"/>
          <w:sz w:val="20"/>
        </w:rPr>
        <w:t>[9]  J. Devlin et al., “BERT: Pre-training of Deep Bidirectional Transformers for Language Understanding,” NAACL, 2019.</w:t>
      </w:r>
    </w:p>
    <w:p>
      <w:pPr>
        <w:spacing w:after="40"/>
      </w:pPr>
      <w:r>
        <w:rPr>
          <w:rFonts w:ascii="Times New Roman" w:hAnsi="Times New Roman"/>
          <w:sz w:val="20"/>
        </w:rPr>
        <w:t>[10] A. Vaswani et al., “Attention is All You Need,” Advances in Neural Information Processing Systems, 2017.</w:t>
      </w:r>
    </w:p>
    <w:p>
      <w:pPr>
        <w:spacing w:after="40"/>
      </w:pPr>
      <w:r>
        <w:rPr>
          <w:rFonts w:ascii="Times New Roman" w:hAnsi="Times New Roman"/>
          <w:sz w:val="20"/>
        </w:rPr>
        <w:t>[11] N. Habash, Introduction to Arabic Natural Language Processing. Morgan &amp; Claypool, 2010.</w:t>
      </w:r>
    </w:p>
    <w:p>
      <w:pPr>
        <w:spacing w:after="40"/>
      </w:pPr>
      <w:r>
        <w:rPr>
          <w:rFonts w:ascii="Times New Roman" w:hAnsi="Times New Roman"/>
          <w:sz w:val="20"/>
        </w:rPr>
        <w:t>[12] N. Habash, “Arabic Computational Morphology,” Computational Linguistics, vol. 36, no. 4, pp. 781-793, 2010.</w:t>
      </w:r>
    </w:p>
    <w:p>
      <w:pPr>
        <w:spacing w:after="40"/>
      </w:pPr>
      <w:r>
        <w:rPr>
          <w:rFonts w:ascii="Times New Roman" w:hAnsi="Times New Roman"/>
          <w:sz w:val="20"/>
        </w:rPr>
        <w:t>[13] D. Jurafsky and J. H. Martin, Speech and Language Processing, 3rd ed. draft, 2023.</w:t>
      </w:r>
    </w:p>
    <w:p>
      <w:pPr>
        <w:spacing w:after="40"/>
      </w:pPr>
      <w:r>
        <w:rPr>
          <w:rFonts w:ascii="Times New Roman" w:hAnsi="Times New Roman"/>
          <w:sz w:val="20"/>
        </w:rPr>
        <w:t>[14] S. J. Russell and P. Norvig, Artificial Intelligence: A Modern Approach, 4th ed., Pearson, 2020.</w:t>
      </w:r>
    </w:p>
    <w:p>
      <w:pPr>
        <w:spacing w:after="40"/>
      </w:pPr>
      <w:r>
        <w:rPr>
          <w:rFonts w:ascii="Times New Roman" w:hAnsi="Times New Roman"/>
          <w:sz w:val="20"/>
        </w:rPr>
        <w:t>[15] R. Szeliski, Computer Vision: Algorithms and Applications, 2nd ed., Springer, 2022.</w:t>
      </w:r>
    </w:p>
    <w:p>
      <w:pPr>
        <w:spacing w:after="40"/>
      </w:pPr>
      <w:r>
        <w:rPr>
          <w:rFonts w:ascii="Times New Roman" w:hAnsi="Times New Roman"/>
          <w:sz w:val="20"/>
        </w:rPr>
        <w:t>[16] S. Alsulamy, “Predicting construction delay risks in Saudi Arabian infrastructure projects,” Expert Syst. Appl., vol. 215, 2025.</w:t>
      </w:r>
    </w:p>
    <w:p>
      <w:pPr>
        <w:spacing w:after="40"/>
      </w:pPr>
      <w:r>
        <w:rPr>
          <w:rFonts w:ascii="Times New Roman" w:hAnsi="Times New Roman"/>
          <w:sz w:val="20"/>
        </w:rPr>
        <w:t>[17] L. Breiman, “Random Forests,” Machine Learning, vol. 45, pp. 5-32, 2001.</w:t>
      </w:r>
    </w:p>
    <w:p>
      <w:pPr>
        <w:spacing w:after="40"/>
      </w:pPr>
      <w:r>
        <w:rPr>
          <w:rFonts w:ascii="Times New Roman" w:hAnsi="Times New Roman"/>
          <w:sz w:val="20"/>
        </w:rPr>
        <w:t>[18] T. Chen and C. Guestrin, “XGBoost: A Scalable Tree Boosting System,” Proc. KDD, pp. 785-794, 2016.</w:t>
      </w:r>
    </w:p>
    <w:p>
      <w:pPr>
        <w:spacing w:after="40"/>
      </w:pPr>
      <w:r>
        <w:rPr>
          <w:rFonts w:ascii="Times New Roman" w:hAnsi="Times New Roman"/>
          <w:sz w:val="20"/>
        </w:rPr>
        <w:t>[19] A. Géron, Hands-On Machine Learning with Scikit-Learn, Keras, and TensorFlow, 3rd ed., O’Reilly, 2022.</w:t>
      </w:r>
    </w:p>
    <w:p>
      <w:pPr>
        <w:spacing w:after="40"/>
      </w:pPr>
      <w:r>
        <w:rPr>
          <w:rFonts w:ascii="Times New Roman" w:hAnsi="Times New Roman"/>
          <w:sz w:val="20"/>
        </w:rPr>
        <w:t>[20] General Authority for Statistics (GASTAT), “Saudi Consumer Price Index for Automotive Services,” 2023.</w:t>
      </w:r>
    </w:p>
    <w:p>
      <w:pPr>
        <w:spacing w:after="40"/>
      </w:pPr>
      <w:r>
        <w:rPr>
          <w:rFonts w:ascii="Times New Roman" w:hAnsi="Times New Roman"/>
          <w:sz w:val="20"/>
        </w:rPr>
        <w:t>[21] F. Pedregosa et al., “Scikit-learn: Machine Learning in Python,” JMLR, vol. 12, pp. 2825-2830, 2011.</w:t>
      </w:r>
    </w:p>
    <w:p>
      <w:pPr>
        <w:spacing w:after="40"/>
      </w:pPr>
      <w:r>
        <w:rPr>
          <w:rFonts w:ascii="Times New Roman" w:hAnsi="Times New Roman"/>
          <w:sz w:val="20"/>
        </w:rPr>
        <w:t>[22] N. Reimers and I. Gurevych, “Making Monolingual Sentence Embeddings Multilingual using Knowledge Distillation,” EMNLP, 2020.</w:t>
      </w:r>
    </w:p>
    <w:p>
      <w:pPr>
        <w:spacing w:after="40"/>
      </w:pPr>
      <w:r>
        <w:rPr>
          <w:rFonts w:ascii="Times New Roman" w:hAnsi="Times New Roman"/>
          <w:sz w:val="20"/>
        </w:rPr>
        <w:t>[23] G. Varoquaux et al., “Joblib: Lightweight pipelining in Python,” SciPy, 2020.</w:t>
      </w:r>
    </w:p>
    <w:p>
      <w:pPr>
        <w:spacing w:after="40"/>
      </w:pPr>
      <w:r>
        <w:rPr>
          <w:rFonts w:ascii="Times New Roman" w:hAnsi="Times New Roman"/>
          <w:sz w:val="20"/>
        </w:rPr>
        <w:t>[24] SmartClaim AI, “ArabicAccidentFeatureExtractor v2.0 Technical Documentation,” 2026.</w:t>
      </w:r>
    </w:p>
    <w:p>
      <w:pPr>
        <w:spacing w:after="40"/>
      </w:pPr>
      <w:r>
        <w:rPr>
          <w:rFonts w:ascii="Times New Roman" w:hAnsi="Times New Roman"/>
          <w:sz w:val="20"/>
        </w:rPr>
        <w:t>[25] SmartClaim AI, “7-Tier Expert Estimation Engine Design Specification,” 2026.</w:t>
      </w:r>
    </w:p>
    <w:p>
      <w:pPr>
        <w:spacing w:after="40"/>
      </w:pPr>
      <w:r>
        <w:rPr>
          <w:rFonts w:ascii="Times New Roman" w:hAnsi="Times New Roman"/>
          <w:sz w:val="20"/>
        </w:rPr>
        <w:t>[26] SmartClaim AI, “Three-Phase Machine Learning Validation Framework,” internal report, 2026.</w:t>
      </w:r>
    </w:p>
    <w:p>
      <w:pPr>
        <w:spacing w:after="40"/>
      </w:pPr>
      <w:r>
        <w:rPr>
          <w:rFonts w:ascii="Times New Roman" w:hAnsi="Times New Roman"/>
          <w:sz w:val="20"/>
        </w:rPr>
        <w:t>[27] S. D. Makridakis and M. Hibon, “The M3-Competition: Results, Conclusions and Implications,” Int. J. Forecasting, vol. 16, pp. 451-476, 2000.</w:t>
      </w:r>
    </w:p>
    <w:p>
      <w:pPr>
        <w:spacing w:after="40"/>
      </w:pPr>
      <w:r>
        <w:rPr>
          <w:rFonts w:ascii="Times New Roman" w:hAnsi="Times New Roman"/>
          <w:sz w:val="20"/>
        </w:rPr>
        <w:t>[28] T. Hastie, R. Tibshirani, and J. Friedman, The Elements of Statistical Learning, 2nd ed., Springer, 2009.</w:t>
      </w:r>
    </w:p>
    <w:p>
      <w:pPr>
        <w:spacing w:after="40"/>
      </w:pPr>
      <w:r>
        <w:rPr>
          <w:rFonts w:ascii="Times New Roman" w:hAnsi="Times New Roman"/>
          <w:sz w:val="20"/>
        </w:rPr>
        <w:t>[29] S. Deepali et al., “Expert-Guided Neural Networks for Property Insurance Pricing,” Ins. Math. Econ., vol. 105, pp. 211-225, 2022.</w:t>
      </w:r>
    </w:p>
    <w:p>
      <w:pPr>
        <w:spacing w:after="40"/>
      </w:pPr>
      <w:r>
        <w:rPr>
          <w:rFonts w:ascii="Times New Roman" w:hAnsi="Times New Roman"/>
          <w:sz w:val="20"/>
        </w:rPr>
        <w:t>[30] M. Fernández-Delgado et al., “Do we need hundreds of classifiers to solve real world classification problems?,” JMLR, vol. 15, pp. 3133-3181, 2014.</w:t>
      </w:r>
    </w:p>
    <w:p>
      <w:pPr>
        <w:spacing w:after="40"/>
      </w:pPr>
      <w:r>
        <w:rPr>
          <w:rFonts w:ascii="Times New Roman" w:hAnsi="Times New Roman"/>
          <w:sz w:val="20"/>
        </w:rPr>
        <w:t>[31] R. S. Pressman and B. R. Maxim, “Validation Frameworks for AI-Augmented Software Engineering,” IEEE Software, vol. 38, no. 4, 2021.</w:t>
      </w:r>
    </w:p>
    <w:p>
      <w:pPr>
        <w:spacing w:after="40"/>
      </w:pPr>
      <w:r>
        <w:rPr>
          <w:rFonts w:ascii="Times New Roman" w:hAnsi="Times New Roman"/>
          <w:sz w:val="20"/>
        </w:rPr>
        <w:t>[32] FastAPI Documentation, “Building High-Performance REST APIs with FastAPI,” tiangolo.github.io/fastapi, 2024.</w:t>
      </w:r>
    </w:p>
    <w:p>
      <w:pPr>
        <w:jc w:val="both"/>
        <w:spacing w:after="80"/>
      </w:pPr>
      <w:r>
        <w:rPr>
          <w:rFonts w:ascii="Times New Roman" w:hAnsi="Times New Roman"/>
          <w:sz w:val="20"/>
          <w:szCs w:val="20"/>
        </w:rPr>
        <w:t xml:space="preserve">[33] A. Al-Thubaity et al., “A Saudi Dialect Corpus: Design, Collection, and Analysis,” Procedia Computer Science, vol. 142, pp. 56-63, 2018.</w:t>
      </w:r>
    </w:p>
    <w:p>
      <w:pPr>
        <w:jc w:val="both"/>
        <w:spacing w:after="80"/>
      </w:pPr>
      <w:r>
        <w:rPr>
          <w:rFonts w:ascii="Times New Roman" w:hAnsi="Times New Roman"/>
          <w:sz w:val="20"/>
          <w:szCs w:val="20"/>
        </w:rPr>
        <w:t xml:space="preserve">[34] M. Wainwright, “Insurance Claims Automation with Transformers,” Proc. AAAI Workshop on AI for Financial Services, 2023.</w:t>
      </w:r>
    </w:p>
    <w:p>
      <w:pPr>
        <w:jc w:val="both"/>
        <w:spacing w:after="80"/>
      </w:pPr>
      <w:r>
        <w:rPr>
          <w:rFonts w:ascii="Times New Roman" w:hAnsi="Times New Roman"/>
          <w:sz w:val="20"/>
          <w:szCs w:val="20"/>
        </w:rPr>
        <w:t xml:space="preserve">[35] Saudi Automobile Association, “Average Vehicle Repair Costs in the Kingdom,” Annual Industry Report, Riyadh, 2023.</w:t>
      </w:r>
    </w:p>
    <w:p>
      <w:pPr>
        <w:jc w:val="both"/>
        <w:spacing w:after="80"/>
      </w:pPr>
      <w:r>
        <w:rPr>
          <w:rFonts w:ascii="Times New Roman" w:hAnsi="Times New Roman"/>
          <w:sz w:val="20"/>
          <w:szCs w:val="20"/>
        </w:rPr>
        <w:t xml:space="preserve">[36] Y. Goldberg, Neural Network Methods for Natural Language Processing, Morgan &amp; Claypool, 2017.</w:t>
      </w:r>
    </w:p>
    <w:p>
      <w:pPr>
        <w:jc w:val="both"/>
        <w:spacing w:after="80"/>
      </w:pPr>
      <w:r>
        <w:rPr>
          <w:rFonts w:ascii="Times New Roman" w:hAnsi="Times New Roman"/>
          <w:sz w:val="20"/>
          <w:szCs w:val="20"/>
        </w:rPr>
        <w:t xml:space="preserve">[37] I. Goodfellow, Y. Bengio, and A. Courville, Deep Learning, MIT Press, 2016.</w:t>
      </w:r>
    </w:p>
    <w:p>
      <w:pPr>
        <w:jc w:val="both"/>
        <w:spacing w:after="80"/>
      </w:pPr>
      <w:r>
        <w:rPr>
          <w:rFonts w:ascii="Times New Roman" w:hAnsi="Times New Roman"/>
          <w:sz w:val="20"/>
          <w:szCs w:val="20"/>
        </w:rPr>
        <w:t xml:space="preserve">[38] K. P. Murphy, Probabilistic Machine Learning: An Introduction, MIT Press, 2022.</w:t>
      </w:r>
    </w:p>
    <w:sectPr w:rsidR="00FC693F" w:rsidRPr="0006063C" w:rsidSect="00034616">
      <w:pgSz w:w="12240" w:h="15840"/>
      <w:pgMar w:top="1080" w:right="1080" w:bottom="1080" w:left="1080" w:header="720" w:footer="720" w:gutter="0"/>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